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1D955A21-5140-4564-90DB-CD4797DEEC31" style="width:450.7pt;height:348.3pt">
            <v:imagedata r:id="rId12" o:title=""/>
          </v:shape>
        </w:pict>
      </w:r>
    </w:p>
    <w:bookmarkEnd w:id="0"/>
    <w:p>
      <w:pPr>
        <w:pStyle w:val="Pagedecouverture"/>
        <w:rPr>
          <w:noProof/>
        </w:rPr>
        <w:sectPr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pStyle w:val="Pagedecouverture"/>
        <w:rPr>
          <w:noProof/>
        </w:rPr>
      </w:pPr>
      <w:bookmarkStart w:id="1" w:name="_GoBack"/>
      <w:bookmarkEnd w:id="1"/>
    </w:p>
    <w:p>
      <w:pPr>
        <w:pStyle w:val="Heading1"/>
        <w:rPr>
          <w:i/>
          <w:noProof/>
          <w:sz w:val="28"/>
          <w:szCs w:val="28"/>
        </w:rPr>
      </w:pPr>
      <w:r>
        <w:rPr>
          <w:noProof/>
          <w:sz w:val="28"/>
          <w:szCs w:val="28"/>
        </w:rPr>
        <w:t>LEJN EWROPA B’UGWALJANZA BEJN IS-SESSI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“Fl-azzjonijiet kollha tagħha l-Unjoni għandha tfittex li telimina l-inugwaljanzi, u li tinkoraġġixxi ugwaljanza, bejn l-irġiel u n-nisa.” </w:t>
      </w:r>
    </w:p>
    <w:p>
      <w:pPr>
        <w:pStyle w:val="ListParagraph"/>
        <w:spacing w:line="100" w:lineRule="atLeast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L-Artikolu 8 tat-Trattat dwar il-Funzjonament tal-Unjoni Ewropea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“Jenħtieġ li ma nżommux lura u li nkunu kburin dwar il-pożizzjoni li ninsabu fiha u fejn biħsiebna mmorru.”</w:t>
      </w:r>
    </w:p>
    <w:p>
      <w:pPr>
        <w:spacing w:line="100" w:lineRule="atLeast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- Il-President Ursula von der Leyen</w:t>
      </w:r>
      <w:r>
        <w:rPr>
          <w:rFonts w:ascii="Times New Roman" w:hAnsi="Times New Roman"/>
          <w:noProof/>
        </w:rPr>
        <w:br/>
        <w:t>Linji Gwida Politiċi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Il-promozzjoni tal-ugwaljanza bejn in-nisa u l-irġiel hija kompitu tal-Unjoni, fl-attivitajiet kollha tagħha meħtieġa mit-Trattati.</w:t>
      </w:r>
      <w:r>
        <w:rPr>
          <w:rFonts w:ascii="Times New Roman" w:hAnsi="Times New Roman"/>
          <w:noProof/>
        </w:rPr>
        <w:t xml:space="preserve"> L-ugwaljanza bejn is-sessi hija valur fundamentali tal-UE</w:t>
      </w:r>
      <w:r>
        <w:rPr>
          <w:rStyle w:val="FootnoteReference"/>
          <w:rFonts w:ascii="Times New Roman" w:hAnsi="Times New Roman" w:cs="Times New Roman"/>
          <w:noProof/>
        </w:rPr>
        <w:footnoteReference w:id="2"/>
      </w:r>
      <w:r>
        <w:rPr>
          <w:rFonts w:ascii="Times New Roman" w:hAnsi="Times New Roman"/>
          <w:noProof/>
        </w:rPr>
        <w:t>, dritt fundamentali u prinċipju ewlieni tal-Pilastru Ewropew tad-Drittijiet Soċjali</w:t>
      </w:r>
      <w:r>
        <w:rPr>
          <w:rStyle w:val="FootnoteReference"/>
          <w:rFonts w:ascii="Times New Roman" w:hAnsi="Times New Roman" w:cs="Times New Roman"/>
          <w:noProof/>
        </w:rPr>
        <w:footnoteReference w:id="3"/>
      </w:r>
      <w:r>
        <w:rPr>
          <w:rFonts w:ascii="Times New Roman" w:hAnsi="Times New Roman"/>
          <w:noProof/>
        </w:rPr>
        <w:t xml:space="preserve">. Din hija riflessjoni ta’ min aħna. Din hija kundizzjoni essenzjali għal ekonomija Ewropea innovattiva, kompetittiva u li tirnexxi. </w:t>
      </w:r>
      <w:r>
        <w:rPr>
          <w:rFonts w:ascii="Times New Roman" w:hAnsi="Times New Roman"/>
          <w:b/>
          <w:noProof/>
        </w:rPr>
        <w:t xml:space="preserve">Fin-negozju, fil-politika u fis-soċjetà b’mod ġenerali, nistgħu biss nilħqu l-potenzjal kollu tagħna jekk nużaw it-talent u d-diversità kollha li għandna. </w:t>
      </w:r>
      <w:r>
        <w:rPr>
          <w:rFonts w:ascii="Times New Roman" w:hAnsi="Times New Roman"/>
          <w:noProof/>
        </w:rPr>
        <w:t>L-ugwaljanza bejn is-sessi ġġib aktar impjiegi u produttività ogħla</w:t>
      </w:r>
      <w:r>
        <w:rPr>
          <w:rStyle w:val="FootnoteReference"/>
          <w:rFonts w:ascii="Times New Roman" w:hAnsi="Times New Roman" w:cs="Times New Roman"/>
          <w:noProof/>
        </w:rPr>
        <w:footnoteReference w:id="4"/>
      </w:r>
      <w:r>
        <w:rPr>
          <w:rFonts w:ascii="Times New Roman" w:hAnsi="Times New Roman"/>
          <w:noProof/>
        </w:rPr>
        <w:t xml:space="preserve"> – potenzjal li jenħtieġ li jiġi mwettaq hekk kif inħaddnu t-</w:t>
      </w:r>
      <w:r>
        <w:rPr>
          <w:rFonts w:ascii="Times New Roman" w:hAnsi="Times New Roman"/>
          <w:b/>
          <w:noProof/>
        </w:rPr>
        <w:t>tranżizzjonijiet ekoloġiċi u diġitali</w:t>
      </w:r>
      <w:r>
        <w:rPr>
          <w:rFonts w:ascii="Times New Roman" w:hAnsi="Times New Roman"/>
          <w:noProof/>
        </w:rPr>
        <w:t xml:space="preserve"> u niffaċċjaw l-isfidi demografiċi tagħna.</w:t>
      </w:r>
    </w:p>
    <w:p>
      <w:pPr>
        <w:spacing w:line="100" w:lineRule="atLeast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L-Unjoni Ewropea hija mexxej globali fl-ugwaljanza bejn is-sessi: </w:t>
      </w:r>
      <w:r>
        <w:rPr>
          <w:rFonts w:ascii="Times New Roman" w:hAnsi="Times New Roman"/>
          <w:noProof/>
        </w:rPr>
        <w:t>14 mill-20 pajjiż magħruf fid-dinja dwar l-ugwaljanza bejn is-sessi huma Stati Membri tal-UE</w:t>
      </w:r>
      <w:r>
        <w:rPr>
          <w:rStyle w:val="FootnoteReference"/>
          <w:rFonts w:ascii="Times New Roman" w:hAnsi="Times New Roman" w:cs="Times New Roman"/>
          <w:noProof/>
        </w:rPr>
        <w:footnoteReference w:id="5"/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>Bis-saħħa ta’ leġiżlazzjoni robusta u l-ġurisprudenza dwar it-trattament ugwali</w:t>
      </w:r>
      <w:r>
        <w:rPr>
          <w:rStyle w:val="FootnoteReference"/>
          <w:rFonts w:ascii="Times New Roman" w:hAnsi="Times New Roman" w:cs="Times New Roman"/>
          <w:noProof/>
        </w:rPr>
        <w:footnoteReference w:id="6"/>
      </w:r>
      <w:r>
        <w:rPr>
          <w:rFonts w:ascii="Times New Roman" w:hAnsi="Times New Roman"/>
          <w:noProof/>
        </w:rPr>
        <w:t>, l-isforzi biex il-perspettiva tas-sessi</w:t>
      </w:r>
      <w:r>
        <w:rPr>
          <w:rStyle w:val="FootnoteReference"/>
          <w:rFonts w:ascii="Times New Roman" w:hAnsi="Times New Roman" w:cs="Times New Roman"/>
          <w:noProof/>
        </w:rPr>
        <w:footnoteReference w:id="7"/>
      </w:r>
      <w:r>
        <w:rPr>
          <w:rFonts w:ascii="Times New Roman" w:hAnsi="Times New Roman"/>
          <w:noProof/>
        </w:rPr>
        <w:t xml:space="preserve"> tiġi integrata f’oqsma ta’ politika differenti, u l-liġijiet biex jiġu indirizzati l-inugwaljanzi partikolari, l-UE għamlet progress sinifikanti fl-ugwaljanza bejn is-sessi f’dawn l-aħħar għexieren ta’ snin.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Madankollu, l-ebda Stat Membru ma kiseb l-ugwaljanza sħiħa bejn is-sessi u l-progress huwa bil-mod.</w:t>
      </w:r>
      <w:r>
        <w:rPr>
          <w:rFonts w:ascii="Times New Roman" w:hAnsi="Times New Roman"/>
          <w:noProof/>
        </w:rPr>
        <w:t xml:space="preserve"> L-Istati Membri bħala medja kisbu 67,4 punteġġ minn 100 fl-Indiċi tal-Ugwaljanza bejn is-Sessi tal-UE tal-2019</w:t>
      </w:r>
      <w:r>
        <w:rPr>
          <w:rStyle w:val="FootnoteReference"/>
          <w:rFonts w:ascii="Times New Roman" w:hAnsi="Times New Roman" w:cs="Times New Roman"/>
          <w:noProof/>
        </w:rPr>
        <w:footnoteReference w:id="8"/>
      </w:r>
      <w:r>
        <w:rPr>
          <w:rFonts w:ascii="Times New Roman" w:hAnsi="Times New Roman"/>
          <w:noProof/>
        </w:rPr>
        <w:t>, punteġġ li tjieb b’ 5,4 punti biss mill-2005.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Sfortunatament il-progress fir-rigward tal-ugwaljanza bejn is-sessi la huwa inevitabbli u lanqas ma huwa irriversibbli. Jenħtieġ għalhekk li nagħtu spinta ġdida lill-ugwaljanza bejn is-sessi.</w:t>
      </w:r>
      <w:r>
        <w:rPr>
          <w:rFonts w:ascii="Times New Roman" w:hAnsi="Times New Roman"/>
          <w:noProof/>
        </w:rPr>
        <w:t xml:space="preserve"> Filwaqt li d-disparità bejn is-sessi fl-edukazzjoni qed tagħlaq, id-disparitajiet bejn is-sessi fl-impjiegi, fil-pagi, fil-kura, fil-poter u fil-pensjonijiet għadhom jeżistu.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>Hemm wisq nies li għadhom jiksru l-prinċipju ta’ ugwaljanza bejn is-sessi permezz ta’ diskors ta’ mibegħda sessista, u billi jimblokkaw l-azzjoni kontra l-vjolenza sessista u l-isterjotipi tas-sessi. Il-vjolenza u l-fastidju minħabba s-sessi għadhom sejrin f’livelli allarmanti. Il-moviment #</w:t>
      </w:r>
      <w:r>
        <w:rPr>
          <w:rFonts w:ascii="Times New Roman" w:hAnsi="Times New Roman"/>
          <w:i/>
          <w:iCs/>
          <w:noProof/>
        </w:rPr>
        <w:t>MeToo</w:t>
      </w:r>
      <w:r>
        <w:rPr>
          <w:rFonts w:ascii="Times New Roman" w:hAnsi="Times New Roman"/>
          <w:noProof/>
        </w:rPr>
        <w:t xml:space="preserve"> wera l-firxa tas-sessiżmu u l-abbuż li n-nisa u l-bniet għadhom jiffaċċjaw. Fl-istess ħin, dan ta s-setgħa lin-nisa madwar id-dinja biex issa jiġu ’l quddiem u jaqsmu l-esperjenzi tagħhom u jġibu l-każijiet tagħhom quddiem il-qorti.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Din l-Istrateġija ta’ Ugwaljanza lejn is-Sessi tinkwadra l-ħidma tal-Kummissjoni Ewropea dwar l-ugwaljanza bejn is-sessi u tistabbilixxi l-objettivi tal-politika u l-azzjonijiet ewlenin għall-perjodu 2020-2025</w:t>
      </w:r>
      <w:r>
        <w:rPr>
          <w:rStyle w:val="FootnoteReference"/>
          <w:rFonts w:ascii="Times New Roman" w:hAnsi="Times New Roman" w:cs="Times New Roman"/>
          <w:noProof/>
        </w:rPr>
        <w:footnoteReference w:id="9"/>
      </w:r>
      <w:r>
        <w:rPr>
          <w:rFonts w:ascii="Times New Roman" w:hAnsi="Times New Roman"/>
          <w:noProof/>
        </w:rPr>
        <w:t>. Din għandha l-għan li tikseb Ewropa b’ugwaljanza bejn is-sessi fejn il-vjolenza sessista, id-diskriminazzjoni sesswali u l-inugwaljanza strutturali bejn in-nisa u l-irġiel huma ħaġa tal-imgħoddi. Ewropa fejn in-nisa u l-irġiel, il-bniet u s-subien, fid-diversità kollha tagħhom</w:t>
      </w:r>
      <w:r>
        <w:rPr>
          <w:rStyle w:val="FootnoteReference"/>
          <w:rFonts w:ascii="Times New Roman" w:hAnsi="Times New Roman" w:cs="Times New Roman"/>
          <w:bCs/>
          <w:noProof/>
        </w:rPr>
        <w:footnoteReference w:id="10"/>
      </w:r>
      <w:r>
        <w:rPr>
          <w:rFonts w:ascii="Times New Roman" w:hAnsi="Times New Roman"/>
          <w:noProof/>
        </w:rPr>
        <w:t xml:space="preserve">, huma ugwali. Fejn huma </w:t>
      </w:r>
      <w:r>
        <w:rPr>
          <w:rFonts w:ascii="Times New Roman" w:hAnsi="Times New Roman"/>
          <w:b/>
          <w:i/>
          <w:noProof/>
        </w:rPr>
        <w:t>liberi</w:t>
      </w:r>
      <w:r>
        <w:rPr>
          <w:rFonts w:ascii="Times New Roman" w:hAnsi="Times New Roman"/>
          <w:noProof/>
        </w:rPr>
        <w:t xml:space="preserve"> li jsegwu l-mogħdija magħżula tagħhom fil-ħajja, fejn ikollhom opportunitajiet indaqs biex </w:t>
      </w:r>
      <w:r>
        <w:rPr>
          <w:rFonts w:ascii="Times New Roman" w:hAnsi="Times New Roman"/>
          <w:b/>
          <w:i/>
          <w:noProof/>
        </w:rPr>
        <w:t>jiffjorixxu</w:t>
      </w:r>
      <w:r>
        <w:rPr>
          <w:rFonts w:ascii="Times New Roman" w:hAnsi="Times New Roman"/>
          <w:noProof/>
        </w:rPr>
        <w:t xml:space="preserve">, u fejn jistgħu jipparteċipaw u </w:t>
      </w:r>
      <w:r>
        <w:rPr>
          <w:rFonts w:ascii="Times New Roman" w:hAnsi="Times New Roman"/>
          <w:i/>
          <w:noProof/>
        </w:rPr>
        <w:t>jmexxu</w:t>
      </w:r>
      <w:r>
        <w:rPr>
          <w:rFonts w:ascii="Times New Roman" w:hAnsi="Times New Roman"/>
          <w:noProof/>
        </w:rPr>
        <w:t xml:space="preserve"> bl-istess mod fis-soċjetà Ewropea tagħna.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L-implimentazzjoni ta’ din l-istrateġija se tkun ibbażata fuq l-</w:t>
      </w:r>
      <w:r>
        <w:rPr>
          <w:rFonts w:ascii="Times New Roman" w:hAnsi="Times New Roman"/>
          <w:b/>
          <w:noProof/>
        </w:rPr>
        <w:t>approċċ doppju</w:t>
      </w:r>
      <w:r>
        <w:rPr>
          <w:rFonts w:ascii="Times New Roman" w:hAnsi="Times New Roman"/>
          <w:noProof/>
        </w:rPr>
        <w:t xml:space="preserve"> ta’ miżuri mmirati biex tinkiseb l-ugwaljanza bejn is-sessi, flimkien ma’ integrazzjoni tas-sessi msaħħa. Il-Kummissjoni se ssaħħaħ l-integrazzjoni bejn is-sessi billi </w:t>
      </w:r>
      <w:r>
        <w:rPr>
          <w:rFonts w:ascii="Times New Roman" w:hAnsi="Times New Roman"/>
          <w:b/>
          <w:noProof/>
        </w:rPr>
        <w:t>b’mod sistematiku tinkludi perspettiva ta’ ugwaljanza bejn is-sessi fl-istadji kollha tat-tfassil ta’ politika fl-oqsma interni u esterni kollha ta’ politika tal-UE</w:t>
      </w:r>
      <w:r>
        <w:rPr>
          <w:rFonts w:ascii="Times New Roman" w:hAnsi="Times New Roman"/>
          <w:noProof/>
        </w:rPr>
        <w:t xml:space="preserve">. L-istrateġija se tiġi implimentata </w:t>
      </w:r>
      <w:r>
        <w:rPr>
          <w:rFonts w:ascii="Times New Roman" w:hAnsi="Times New Roman"/>
          <w:b/>
          <w:noProof/>
        </w:rPr>
        <w:t>bl-użu tal-intersezzjonalità</w:t>
      </w:r>
      <w:r>
        <w:rPr>
          <w:rStyle w:val="FootnoteReference"/>
          <w:rFonts w:ascii="Times New Roman" w:eastAsia="Times New Roman" w:hAnsi="Times New Roman" w:cs="Times New Roman"/>
          <w:noProof/>
        </w:rPr>
        <w:footnoteReference w:id="11"/>
      </w:r>
      <w:r>
        <w:rPr>
          <w:rFonts w:ascii="Times New Roman" w:hAnsi="Times New Roman"/>
          <w:noProof/>
        </w:rPr>
        <w:t xml:space="preserve"> - l-ikkombinar tal-ġeneru ma’ karatteristiċi personali jew identitajiet oħra</w:t>
      </w:r>
      <w:r>
        <w:rPr>
          <w:noProof/>
        </w:rPr>
        <w:t xml:space="preserve"> – </w:t>
      </w:r>
      <w:r>
        <w:rPr>
          <w:rFonts w:ascii="Times New Roman" w:hAnsi="Times New Roman"/>
          <w:noProof/>
        </w:rPr>
        <w:t>u kif dawn l-intersezzjonijiet jikkontribwixxu għal esperjenzi uniċi ta’ diskriminazzjoni</w:t>
      </w:r>
      <w:r>
        <w:rPr>
          <w:noProof/>
        </w:rPr>
        <w:t xml:space="preserve"> - </w:t>
      </w:r>
      <w:r>
        <w:rPr>
          <w:rFonts w:ascii="Times New Roman" w:hAnsi="Times New Roman"/>
          <w:b/>
          <w:noProof/>
        </w:rPr>
        <w:t>bħala prinċipju trażversali</w:t>
      </w:r>
      <w:r>
        <w:rPr>
          <w:noProof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</w:rPr>
        <w:t>F’din is-sena tal-2020, li timmarka l-25 anniversarju mill-adozzjoni tad-Dikjarazzjoni ta’ Beijing u l-Pjattaforma għal Azzjoni</w:t>
      </w:r>
      <w:r>
        <w:rPr>
          <w:rStyle w:val="FootnoteReference"/>
          <w:rFonts w:ascii="Times New Roman" w:hAnsi="Times New Roman" w:cs="Times New Roman"/>
          <w:noProof/>
        </w:rPr>
        <w:footnoteReference w:id="12"/>
      </w:r>
      <w:r>
        <w:rPr>
          <w:rFonts w:ascii="Times New Roman" w:hAnsi="Times New Roman"/>
          <w:noProof/>
        </w:rPr>
        <w:t xml:space="preserve"> - l-ewwel impenn universali u pjan ta’ azzjoni biex isir avvanz fl-ugwaljanza bejn l-irġiel u n-nisa - </w:t>
      </w:r>
      <w:r>
        <w:rPr>
          <w:rFonts w:ascii="Times New Roman" w:hAnsi="Times New Roman"/>
          <w:b/>
          <w:noProof/>
        </w:rPr>
        <w:t>din l-istrateġija hija l-kontribut tal-UE biex tissawwar dinja aħjar għan-nisa u għall-irġiel, għall-bniet u għas-subien</w:t>
      </w:r>
      <w:r>
        <w:rPr>
          <w:rFonts w:ascii="Times New Roman" w:hAnsi="Times New Roman"/>
          <w:noProof/>
        </w:rPr>
        <w:t>. Hija twettaq l-Għan ta’ Żvilupp Sostenibbli tal-ugwaljanza bejn is-sessi (SDG 5), u l-ugwaljanza bejn is-sessi bħala prijorità trażversali tal-SDGs</w:t>
      </w:r>
      <w:r>
        <w:rPr>
          <w:rStyle w:val="FootnoteReference"/>
          <w:rFonts w:ascii="Times New Roman" w:hAnsi="Times New Roman" w:cs="Times New Roman"/>
          <w:noProof/>
        </w:rPr>
        <w:footnoteReference w:id="13"/>
      </w:r>
      <w:r>
        <w:rPr>
          <w:rFonts w:ascii="Times New Roman" w:hAnsi="Times New Roman"/>
          <w:noProof/>
        </w:rPr>
        <w:t xml:space="preserve"> kollha u dwar l-impenn tal-UE għall-Konvenzjoni tan-NU dwar id-Drittijiet ta’ Persuni b’Diżabbiltà.</w:t>
      </w:r>
    </w:p>
    <w:p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1. </w:t>
      </w:r>
      <w:r>
        <w:rPr>
          <w:rFonts w:ascii="Times New Roman" w:hAnsi="Times New Roman"/>
          <w:b/>
          <w:noProof/>
          <w:sz w:val="28"/>
          <w:szCs w:val="28"/>
        </w:rPr>
        <w:tab/>
        <w:t>Li tkun ħielsa mill-vjolenza u mill-isterjotipi</w:t>
      </w:r>
    </w:p>
    <w:p>
      <w:pPr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</w:rPr>
        <w:t>Kulħadd għandu jkun sikur fi djaru, fir-relazzjonijiet mill-qrib tagħhom, fil-postijiet tax-xogħol tagħhom, fi spazji pubbliċi, u online. In-nisa u l-irġiel, il-bniet u s-subien, fid-diversità kollha tagħhom, jenħtieġ li jkunu liberi li jesprimu l-ideat u l-emozzjonijiet tagħhom, u li jsegwu l-mogħdijiet edukattivi u professjonali magħżula minnhom mingħajr restrizzjonijiet ta’ normi ta’ ġeneru stereo tipiċi.</w:t>
      </w:r>
    </w:p>
    <w:p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It-tmiem tal-vjolenza sessista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Il-vjolenza sessista – jew il-vjolenza li hija diretta kontra mara minħabba li hija mara jew li taffettwa lin-nisa b’mod sproporzjonat</w:t>
      </w:r>
      <w:r>
        <w:rPr>
          <w:rStyle w:val="FootnoteReference"/>
          <w:rFonts w:ascii="Times New Roman" w:hAnsi="Times New Roman" w:cs="Times New Roman"/>
          <w:noProof/>
        </w:rPr>
        <w:footnoteReference w:id="14"/>
      </w:r>
      <w:r>
        <w:rPr>
          <w:rFonts w:ascii="Times New Roman" w:hAnsi="Times New Roman"/>
          <w:noProof/>
        </w:rPr>
        <w:t xml:space="preserve"> – tibqa’ waħda mill-akbar sfidi tas-soċjetajiet tagħna u għandha għeruq profondi fl-inugwaljanza bejn is-sessi</w:t>
      </w:r>
      <w:r>
        <w:rPr>
          <w:rStyle w:val="FootnoteReference"/>
          <w:rFonts w:ascii="Times New Roman" w:hAnsi="Times New Roman" w:cs="Times New Roman"/>
          <w:noProof/>
        </w:rPr>
        <w:footnoteReference w:id="15"/>
      </w:r>
      <w:r>
        <w:rPr>
          <w:rFonts w:ascii="Times New Roman" w:hAnsi="Times New Roman"/>
          <w:noProof/>
        </w:rPr>
        <w:t xml:space="preserve">. Il-vjolenza sessista, fil-forom kollha tagħha, għadha sottovalutata u injorata, kemm ġewwa kif ukoll barra l-UE. </w:t>
      </w:r>
      <w:r>
        <w:rPr>
          <w:rFonts w:ascii="Times New Roman" w:hAnsi="Times New Roman"/>
          <w:b/>
          <w:noProof/>
        </w:rPr>
        <w:t>L-UE se tagħmel dak kollu li tista’ biex tipprevjeni u tiġġieled il-vjolenza sessista, tappoġġa u tipproteġi l-vittmi ta’ tali reati, u żżomm lill-awturi ta’ reati responsabbli</w:t>
      </w:r>
      <w:r>
        <w:rPr>
          <w:rFonts w:ascii="Times New Roman" w:hAnsi="Times New Roman"/>
          <w:noProof/>
        </w:rPr>
        <w:t xml:space="preserve"> għall-imġiba abbużiva tagħhom.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5759450" cy="10033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der-based-violence-M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Il-Konvenzjoni tal-Kunsill tal-Ewropa dwar il-prevenzjoni u l-ġlieda kontra l-vjolenza fuq in-nisa u l-vjolenza domestika – </w:t>
      </w:r>
      <w:r>
        <w:rPr>
          <w:rFonts w:ascii="Times New Roman" w:hAnsi="Times New Roman"/>
          <w:b/>
          <w:noProof/>
          <w:szCs w:val="20"/>
        </w:rPr>
        <w:t>il-“Konvenzjoni ta’ Istambul”</w:t>
      </w:r>
      <w:r>
        <w:rPr>
          <w:rFonts w:ascii="Times New Roman" w:hAnsi="Times New Roman"/>
          <w:noProof/>
          <w:szCs w:val="20"/>
        </w:rPr>
        <w:t xml:space="preserve"> – hija l-punt ta’ riferiment għal standards internazzjonali f’dan il-qasam. L-UE ffirmat il-Konvenzjoni fl-2017, u kkonkludiet li l-adeżjoni fl-UE hija prijorità ewlenija għall-Kummissjoni. Biex titħaffef il-konklużjoni tal-adeżjoni tal-UE, il-Parlament Ewropew talab fl-2019 opinjoni mill-Qorti Ewropea tal-Ġustizzja dwar din il-kwistjoni</w:t>
      </w:r>
      <w:r>
        <w:rPr>
          <w:rFonts w:ascii="Times New Roman" w:eastAsia="Times New Roman" w:hAnsi="Times New Roman" w:cs="Times New Roman"/>
          <w:noProof/>
          <w:szCs w:val="20"/>
          <w:vertAlign w:val="superscript"/>
        </w:rPr>
        <w:footnoteReference w:id="16"/>
      </w:r>
      <w:r>
        <w:rPr>
          <w:rFonts w:ascii="Times New Roman" w:hAnsi="Times New Roman"/>
          <w:noProof/>
          <w:szCs w:val="20"/>
        </w:rPr>
        <w:t>.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Jekk l-adeżjoni tal-UE fil-Konvenzjoni ta’ Istambul tibqa’ mblukkata, il-Kummissjoni biħsiebha </w:t>
      </w:r>
      <w:r>
        <w:rPr>
          <w:rFonts w:ascii="Times New Roman" w:hAnsi="Times New Roman"/>
          <w:b/>
          <w:noProof/>
          <w:szCs w:val="20"/>
        </w:rPr>
        <w:t>tipproponi fl-2021 miżuri</w:t>
      </w:r>
      <w:r>
        <w:rPr>
          <w:rFonts w:ascii="Times New Roman" w:hAnsi="Times New Roman"/>
          <w:noProof/>
          <w:szCs w:val="20"/>
        </w:rPr>
        <w:t xml:space="preserve"> fi ħdan il-limiti tal-kompetenza tal-UE </w:t>
      </w:r>
      <w:r>
        <w:rPr>
          <w:rFonts w:ascii="Times New Roman" w:hAnsi="Times New Roman"/>
          <w:b/>
          <w:noProof/>
          <w:szCs w:val="20"/>
        </w:rPr>
        <w:t>biex jinkisbu l-istess objettivi bħall-Konvenzjoni ta’ Istambul.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>B’mod partikolari, il-Kummissjoni għandha l-intenzjoni li tippreżenta inizjattiva bil-għan li</w:t>
      </w:r>
      <w:r>
        <w:rPr>
          <w:rFonts w:ascii="Times New Roman" w:hAnsi="Times New Roman"/>
          <w:b/>
          <w:noProof/>
          <w:szCs w:val="20"/>
        </w:rPr>
        <w:t xml:space="preserve"> testendi l-oqsma tal-kriminalità</w:t>
      </w:r>
      <w:r>
        <w:rPr>
          <w:rFonts w:ascii="Times New Roman" w:hAnsi="Times New Roman"/>
          <w:noProof/>
          <w:szCs w:val="20"/>
        </w:rPr>
        <w:t xml:space="preserve"> fejn l-armonizzazzjoni hija possibbli għal forom speċifiċi ta’ vjolenza sessista f’konformità mal-Artikolu 83(1) TFUE, l-hekk imsejħa </w:t>
      </w:r>
      <w:r>
        <w:rPr>
          <w:rFonts w:ascii="Times New Roman" w:hAnsi="Times New Roman"/>
          <w:b/>
          <w:noProof/>
          <w:szCs w:val="20"/>
        </w:rPr>
        <w:t>Eurocrimes</w:t>
      </w:r>
      <w:r>
        <w:rPr>
          <w:rFonts w:ascii="Times New Roman" w:hAnsi="Times New Roman"/>
          <w:noProof/>
          <w:szCs w:val="20"/>
        </w:rPr>
        <w:t>.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Sa fejn dawn ikunu jaqgħu taħt il-Eurocrimes eżistenti fl-ambitu tal-Artikolu 83(1) TFUE, il-Kummissjoni se tipproponi </w:t>
      </w:r>
      <w:r>
        <w:rPr>
          <w:rFonts w:ascii="Times New Roman" w:hAnsi="Times New Roman"/>
          <w:b/>
          <w:noProof/>
          <w:szCs w:val="20"/>
        </w:rPr>
        <w:t>miżuri addizzjonali biex tipprevjeni u tiġġieled forom speċifiċi ta’ vjolenza sessista</w:t>
      </w:r>
      <w:r>
        <w:rPr>
          <w:rFonts w:ascii="Times New Roman" w:hAnsi="Times New Roman"/>
          <w:noProof/>
          <w:szCs w:val="20"/>
        </w:rPr>
        <w:t>, inkluż il-fastidju sesswali, l-abbuż tan-nisa u l-mutilazzjoni ġenitali femminili (MĠF).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59450" cy="10198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M-M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Il-mutilazzjoni ġenitali femminili</w:t>
      </w:r>
      <w:r>
        <w:rPr>
          <w:rStyle w:val="FootnoteReference"/>
          <w:rFonts w:ascii="Times New Roman" w:hAnsi="Times New Roman" w:cs="Times New Roman"/>
          <w:noProof/>
        </w:rPr>
        <w:footnoteReference w:id="17"/>
      </w:r>
      <w:r>
        <w:rPr>
          <w:rFonts w:ascii="Times New Roman" w:hAnsi="Times New Roman"/>
          <w:noProof/>
        </w:rPr>
        <w:t xml:space="preserve">, l-abort furzat u l-isterilizzazzjoni furzata, iż-żwieġ bikri u furzat, l-hekk imsejħa vjolenza sessista u </w:t>
      </w:r>
      <w:r>
        <w:rPr>
          <w:rFonts w:ascii="Times New Roman" w:hAnsi="Times New Roman"/>
          <w:b/>
          <w:noProof/>
        </w:rPr>
        <w:t>prattiki oħra dannużi kontra n-nisa u l-bniet huma forom ta’ vjolenza sessista u ta’ ksur serju tad-drittijiet tan-nisa u tat-tfal</w:t>
      </w:r>
      <w:r>
        <w:rPr>
          <w:rFonts w:ascii="Times New Roman" w:hAnsi="Times New Roman"/>
          <w:noProof/>
        </w:rPr>
        <w:t xml:space="preserve"> fl-UE u madwar id-dinja. Flimkien ma’ leġiżlazzjoni possibbli, l-UE se tippreżenta </w:t>
      </w:r>
      <w:r>
        <w:rPr>
          <w:rFonts w:ascii="Times New Roman" w:hAnsi="Times New Roman"/>
          <w:b/>
          <w:noProof/>
        </w:rPr>
        <w:t>Rakkomandazzjoni dwar il-prevenzjoni ta’ prattiki dannużi</w:t>
      </w:r>
      <w:r>
        <w:rPr>
          <w:rFonts w:ascii="Times New Roman" w:hAnsi="Times New Roman"/>
          <w:noProof/>
        </w:rPr>
        <w:t xml:space="preserve">, inkluż il-ħtieġa għal miżuri preventivi u r-rikonoxximent tal-importanza tal-edukazzjoni. Ir-rakkomandazzjoni se tindirizza wkoll it-tisħiħ tas-servizzi pubbliċi, il-miżuri ta’ prevenzjoni u ta’ appoġġ, il-bini ta’ kapaċitajiet tal-professjonisti u l-aċċess għall-ġustizzja li jkun iċċentrat fuq il-vittmi. 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Il-Kummissjoni se tippreżenta wkoll </w:t>
      </w:r>
      <w:r>
        <w:rPr>
          <w:rFonts w:ascii="Times New Roman" w:hAnsi="Times New Roman"/>
          <w:b/>
          <w:noProof/>
          <w:szCs w:val="20"/>
        </w:rPr>
        <w:t>Strateġija dwar id-Drittijiet tal-Vittmi</w:t>
      </w:r>
      <w:r>
        <w:rPr>
          <w:rFonts w:ascii="Times New Roman" w:hAnsi="Times New Roman"/>
          <w:noProof/>
          <w:szCs w:val="20"/>
        </w:rPr>
        <w:t xml:space="preserve"> fl-2020, li se tindirizza l-ħtiġijiet speċifiċi tal-vittmi ta’ vjolenza sessista, inkluż il-vjolenza domestika b’mod li tibni fuq id-Direttiva dwar id-Drittijiet tal-Vittmi</w:t>
      </w:r>
      <w:r>
        <w:rPr>
          <w:rStyle w:val="FootnoteReference"/>
          <w:rFonts w:ascii="Times New Roman" w:eastAsia="Times New Roman" w:hAnsi="Times New Roman" w:cs="Times New Roman"/>
          <w:noProof/>
          <w:szCs w:val="20"/>
        </w:rPr>
        <w:footnoteReference w:id="18"/>
      </w:r>
      <w:r>
        <w:rPr>
          <w:rFonts w:ascii="Times New Roman" w:hAnsi="Times New Roman"/>
          <w:noProof/>
          <w:szCs w:val="20"/>
        </w:rPr>
        <w:t>.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In-nisa li għandhom </w:t>
      </w:r>
      <w:r>
        <w:rPr>
          <w:rFonts w:ascii="Times New Roman" w:hAnsi="Times New Roman"/>
          <w:b/>
          <w:noProof/>
        </w:rPr>
        <w:t>problema ta’ saħħa jew diżabbiltà</w:t>
      </w:r>
      <w:r>
        <w:rPr>
          <w:rFonts w:ascii="Times New Roman" w:hAnsi="Times New Roman"/>
          <w:noProof/>
        </w:rPr>
        <w:t xml:space="preserve"> għandhom aktar probabbiltà li jesperjenzaw forom varji ta’ vjolenza</w:t>
      </w:r>
      <w:r>
        <w:rPr>
          <w:rStyle w:val="FootnoteReference"/>
          <w:rFonts w:ascii="Times New Roman" w:hAnsi="Times New Roman" w:cs="Times New Roman"/>
          <w:noProof/>
        </w:rPr>
        <w:footnoteReference w:id="19"/>
      </w:r>
      <w:r>
        <w:rPr>
          <w:noProof/>
        </w:rPr>
        <w:t>.</w:t>
      </w:r>
      <w:r>
        <w:rPr>
          <w:rFonts w:ascii="Times New Roman" w:hAnsi="Times New Roman"/>
          <w:noProof/>
        </w:rPr>
        <w:t xml:space="preserve"> Il-Kummissjoni se tiżviluppa u tiffinanzja miżuri</w:t>
      </w:r>
      <w:r>
        <w:rPr>
          <w:rStyle w:val="FootnoteReference"/>
          <w:rFonts w:ascii="Times New Roman" w:hAnsi="Times New Roman" w:cs="Times New Roman"/>
          <w:noProof/>
        </w:rPr>
        <w:footnoteReference w:id="20"/>
      </w:r>
      <w:r>
        <w:rPr>
          <w:rFonts w:ascii="Times New Roman" w:hAnsi="Times New Roman"/>
          <w:noProof/>
        </w:rPr>
        <w:t xml:space="preserve"> biex tindirizza l-abbuż, il-vjolenza kif ukoll l-isterilizzazzjoni furzata u l-abort furzat, bħall-bini ta’ kapaċità ta’ professjonisti u kampanji ta’ sensibilizzazzjoni dwar id-drittijiet u l-aċċess għall-ġustizzja.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b/>
          <w:noProof/>
        </w:rPr>
        <w:t>Il-prevenzjoni effettiva tal-vjolenza hija essenzjali</w:t>
      </w:r>
      <w:r>
        <w:rPr>
          <w:rFonts w:ascii="Times New Roman" w:hAnsi="Times New Roman"/>
          <w:noProof/>
        </w:rPr>
        <w:t xml:space="preserve">. Dan jinvolvi l-edukazzjoni tas-subien u l-bniet minn età bikrija dwar l-ugwaljanza bejn is-sessi, u b’appoġġ għall-iżvilupp ta’ relazzjonijiet mhux vjolenti. Jenħtieġ ukoll approċċ multidixxiplinaru fost il-professjonisti u s-servizzi inklużi s-sistema tal-ġustizzja kriminali, servizzi ta’ appoġġ għall-vittmi, programmi ta’ riabilitazzjoni tal-awturi ta’ reat, u servizzi soċjali u tas-saħħa. L-indirizzar tal-vjolenza kontra n-nisa u l-ideoloġiji li jdgħajfu d-drittijiet tan-nisa jistgħu jikkontribwixxi wkoll għall-prevenzjoni tar-radikalizzazzjoni li twassal għal estremiżmu vjolenti u terroriżmu. Il-Kummissjoni se tniedi </w:t>
      </w:r>
      <w:r>
        <w:rPr>
          <w:rFonts w:ascii="Times New Roman" w:hAnsi="Times New Roman"/>
          <w:b/>
          <w:noProof/>
        </w:rPr>
        <w:t>netwerk tal-UE dwar il-prevenzjoni tal-vjolenza sessista u l-vjolenza domestika</w:t>
      </w:r>
      <w:r>
        <w:rPr>
          <w:rFonts w:ascii="Times New Roman" w:hAnsi="Times New Roman"/>
          <w:noProof/>
        </w:rPr>
        <w:t>, li jlaqqa’ lill-Istati Membri u lill-partijiet ikkonċernati biex jiskambjaw prattika tajba, u se tipprovdi finanzjament għat-taħriġ, għall-bini tal-kapaċità u għas-servizzi ta’ appoġġ. Il-prevenzjoni tal-vjolenza li tiffoka fuq l-irġiel, is-subien u l-aspetti ta</w:t>
      </w:r>
      <w:r>
        <w:rPr>
          <w:rFonts w:ascii="Times New Roman" w:hAnsi="Times New Roman"/>
          <w:noProof/>
          <w:lang w:val="fr-BE"/>
        </w:rPr>
        <w:t xml:space="preserve">’ </w:t>
      </w:r>
      <w:r>
        <w:rPr>
          <w:rFonts w:ascii="Times New Roman" w:hAnsi="Times New Roman"/>
          <w:noProof/>
        </w:rPr>
        <w:t>maskulinità</w:t>
      </w:r>
      <w:r>
        <w:rPr>
          <w:rFonts w:ascii="Times New Roman" w:hAnsi="Times New Roman"/>
          <w:noProof/>
          <w:lang w:val="fr-BE"/>
        </w:rPr>
        <w:t>à</w:t>
      </w:r>
      <w:r>
        <w:rPr>
          <w:rStyle w:val="FootnoteReference"/>
          <w:rFonts w:ascii="Times New Roman" w:hAnsi="Times New Roman" w:cs="Times New Roman"/>
          <w:noProof/>
        </w:rPr>
        <w:footnoteReference w:id="21"/>
      </w:r>
      <w:r>
        <w:rPr>
          <w:rFonts w:ascii="Times New Roman" w:hAnsi="Times New Roman"/>
          <w:noProof/>
        </w:rPr>
        <w:t xml:space="preserve"> għandha tkun ta’ importanza ċentrali.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Biex tindirizza l-vjolenza u l-fastidju f’kuntesti ta’ xogħol, il-Kummissjoni se tkompli tħeġġeġ lill-Istati Membri biex jirratifikaw il-</w:t>
      </w:r>
      <w:r>
        <w:rPr>
          <w:rFonts w:ascii="Times New Roman" w:hAnsi="Times New Roman"/>
          <w:b/>
          <w:noProof/>
        </w:rPr>
        <w:t>Konvenzjoni tal-Organizzazzjoni Internazzjonali tax-Xogħol (ILO) dwar il-ġlieda kontra l-vjolenza u l-fastidju fid-dinja tax-xogħol</w:t>
      </w:r>
      <w:r>
        <w:rPr>
          <w:rStyle w:val="FootnoteReference"/>
          <w:rFonts w:ascii="Times New Roman" w:hAnsi="Times New Roman" w:cs="Times New Roman"/>
          <w:noProof/>
        </w:rPr>
        <w:footnoteReference w:id="22"/>
      </w:r>
      <w:r>
        <w:rPr>
          <w:rFonts w:ascii="Times New Roman" w:hAnsi="Times New Roman"/>
          <w:noProof/>
        </w:rPr>
        <w:t xml:space="preserve"> , jimplimentaw ir-regoli eżistenti tal-UE</w:t>
      </w:r>
      <w:r>
        <w:rPr>
          <w:rStyle w:val="FootnoteReference"/>
          <w:rFonts w:ascii="Times New Roman" w:hAnsi="Times New Roman" w:cs="Times New Roman"/>
          <w:noProof/>
        </w:rPr>
        <w:footnoteReference w:id="23"/>
      </w:r>
      <w:r>
        <w:rPr>
          <w:rFonts w:ascii="Times New Roman" w:hAnsi="Times New Roman"/>
          <w:noProof/>
        </w:rPr>
        <w:t xml:space="preserve"> dwar il-protezzjoni tal-ħaddiema mill-fastidju sesswali, u jqajmu l-kuxjenza tan-nies dwarhom. Bħala impjegatur, il-Kummissjoni se tadotta qafas legali komprensiv ġdid b’sett ta’ miżuri kemm preventivi kif ukoll reattivi kontra l-fastidju fuq il-post tax-xogħol.</w:t>
      </w:r>
    </w:p>
    <w:p>
      <w:pPr>
        <w:spacing w:line="100" w:lineRule="atLeast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b/>
          <w:noProof/>
        </w:rPr>
        <w:t>Il-vjolenza online fuq l-internet immirata</w:t>
      </w:r>
      <w:r>
        <w:rPr>
          <w:rFonts w:ascii="Times New Roman" w:hAnsi="Times New Roman"/>
          <w:noProof/>
        </w:rPr>
        <w:t xml:space="preserve"> lejn in-nisa saret pervażiva b’konsegwenzi speċifiċi u vizzjużi; </w:t>
      </w:r>
      <w:r>
        <w:rPr>
          <w:rFonts w:ascii="Times New Roman" w:hAnsi="Times New Roman"/>
          <w:b/>
          <w:noProof/>
        </w:rPr>
        <w:t xml:space="preserve">dan mhuwiex aċċettabbli. Hija ostakolu għall-parteċipazzjoni tan-nisa fil-ħajja pubblika. </w:t>
      </w:r>
      <w:r>
        <w:rPr>
          <w:rFonts w:ascii="Times New Roman" w:hAnsi="Times New Roman"/>
          <w:noProof/>
        </w:rPr>
        <w:t>Il-bullying, il-fastidju u l-abbuż fuq il-midja soċjali għandhom effetti estensivi fuq il-ħajja ta’ kuljum tan-nisa u tal-bniet. Il-Kummissjoni se tipproponi l-</w:t>
      </w:r>
      <w:r>
        <w:rPr>
          <w:rFonts w:ascii="Times New Roman" w:hAnsi="Times New Roman"/>
          <w:b/>
          <w:noProof/>
        </w:rPr>
        <w:t>Att dwar is-Servizzi Diġitali</w:t>
      </w:r>
      <w:r>
        <w:rPr>
          <w:rStyle w:val="FootnoteReference"/>
          <w:rFonts w:ascii="Times New Roman" w:hAnsi="Times New Roman" w:cs="Times New Roman"/>
          <w:noProof/>
        </w:rPr>
        <w:footnoteReference w:id="24"/>
      </w:r>
      <w:r>
        <w:rPr>
          <w:rFonts w:ascii="Times New Roman" w:hAnsi="Times New Roman"/>
          <w:noProof/>
        </w:rPr>
        <w:t xml:space="preserve"> biex jiġu ċċarati r-responsabbiltajiet tal-pjattaformi online fir-rigward tat-tixrid tal-kontenut mill-utent. L-Att dwar is-Servizzi Diġitali se jiċċara x’miżuri huma mistennija mill-pjattaformi fl-indirizzar ta’ attivitajiet illegali online, filwaqt li jipproteġi d-drittijiet fundamentali. L-utenti jridu wkoll ikunu jistgħu jiġġieldu tipi oħra ta’ kontenut dannuż u abbużiv, li mhux dejjem jitqies bħala illegali iżda jista’ jkollu effetti devastanti. Sabiex titħares is-sikurezza tan-nisa online, il-Kummissjoni se tiffaċilita l-iżvilupp ta’ </w:t>
      </w:r>
      <w:r>
        <w:rPr>
          <w:rFonts w:ascii="Times New Roman" w:hAnsi="Times New Roman"/>
          <w:b/>
          <w:noProof/>
        </w:rPr>
        <w:t>qafas ġdid għall-kooperazzjoni bejn il-pjattaformi tal-internet</w:t>
      </w:r>
      <w:r>
        <w:rPr>
          <w:rStyle w:val="FootnoteReference"/>
          <w:rFonts w:ascii="Times New Roman" w:hAnsi="Times New Roman" w:cs="Times New Roman"/>
          <w:noProof/>
        </w:rPr>
        <w:footnoteReference w:id="25"/>
      </w:r>
      <w:r>
        <w:rPr>
          <w:rFonts w:ascii="Times New Roman" w:hAnsi="Times New Roman"/>
          <w:noProof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t>In-nisa u l-bniet jiffurmaw il-maġġoranza l-kbira tal-vittmi tat-traffikar tal-bnedmin</w:t>
      </w:r>
      <w:r>
        <w:rPr>
          <w:rFonts w:ascii="Times New Roman" w:hAnsi="Times New Roman"/>
          <w:bCs/>
          <w:noProof/>
        </w:rPr>
        <w:t>, kemm fl-UE kif ukoll barra mill-UE, u fil-biċċa l-kbira tagħhom jiġu traffikata għal skopijiet ta’ sfruttament sesswali.</w:t>
      </w:r>
      <w:r>
        <w:rPr>
          <w:rStyle w:val="FootnoteReference"/>
          <w:rFonts w:ascii="Times New Roman" w:hAnsi="Times New Roman" w:cs="Times New Roman"/>
          <w:noProof/>
        </w:rPr>
        <w:footnoteReference w:id="26"/>
      </w:r>
      <w:r>
        <w:rPr>
          <w:rFonts w:ascii="Times New Roman" w:hAnsi="Times New Roman"/>
          <w:noProof/>
        </w:rPr>
        <w:t xml:space="preserve"> L-UE tindirizza t-traffikar tal-bnedmin b’mod komprensiv permezz tal-koordinazzjoni fl-oqsma rilevanti kollha</w:t>
      </w:r>
      <w:r>
        <w:rPr>
          <w:rStyle w:val="FootnoteReference"/>
          <w:rFonts w:ascii="Times New Roman" w:hAnsi="Times New Roman" w:cs="Times New Roman"/>
          <w:noProof/>
        </w:rPr>
        <w:footnoteReference w:id="27"/>
      </w:r>
      <w:r>
        <w:rPr>
          <w:rFonts w:ascii="Times New Roman" w:hAnsi="Times New Roman"/>
          <w:noProof/>
        </w:rPr>
        <w:t xml:space="preserve">. Il-ġlieda kontra l-impunità tal-utenti, dawk li jisfruttaw u dawk li jagħmlu profitt hija prijorità. </w:t>
      </w:r>
      <w:r>
        <w:rPr>
          <w:rFonts w:ascii="Times New Roman" w:hAnsi="Times New Roman"/>
          <w:bCs/>
          <w:noProof/>
        </w:rPr>
        <w:t xml:space="preserve">It-tħassib tan-nisa u tal-bniet affettwati mit-traffikar għandu jkun fiċ-ċentru tal-iżvilupp tal-politika. </w:t>
      </w:r>
      <w:r>
        <w:rPr>
          <w:rFonts w:ascii="Times New Roman" w:hAnsi="Times New Roman"/>
          <w:noProof/>
        </w:rPr>
        <w:t xml:space="preserve">Bħala parti mill-Unjoni tas-Sigurtà, il-Kummissjoni se tippreżenta </w:t>
      </w:r>
      <w:r>
        <w:rPr>
          <w:rFonts w:ascii="Times New Roman" w:hAnsi="Times New Roman"/>
          <w:b/>
          <w:bCs/>
          <w:noProof/>
        </w:rPr>
        <w:t>strateġija ġdida tal-UE dwar il-qerda tat-traffikar tal-bnedmin</w:t>
      </w:r>
      <w:r>
        <w:rPr>
          <w:rFonts w:ascii="Times New Roman" w:hAnsi="Times New Roman"/>
          <w:noProof/>
        </w:rPr>
        <w:t xml:space="preserve"> u </w:t>
      </w:r>
      <w:r>
        <w:rPr>
          <w:rFonts w:ascii="Times New Roman" w:hAnsi="Times New Roman"/>
          <w:b/>
          <w:bCs/>
          <w:noProof/>
        </w:rPr>
        <w:t>strateġija tal-UE dwar ġlieda aktar effettiva kontra l-abbuż sesswali tat-tfal</w:t>
      </w:r>
      <w:r>
        <w:rPr>
          <w:rFonts w:ascii="Times New Roman" w:hAnsi="Times New Roman"/>
          <w:noProof/>
        </w:rPr>
        <w:t>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L-UE teħtieġ </w:t>
      </w:r>
      <w:r>
        <w:rPr>
          <w:rFonts w:ascii="Times New Roman" w:hAnsi="Times New Roman"/>
          <w:b/>
          <w:i/>
          <w:noProof/>
        </w:rPr>
        <w:t>data</w:t>
      </w:r>
      <w:r>
        <w:rPr>
          <w:rFonts w:ascii="Times New Roman" w:hAnsi="Times New Roman"/>
          <w:b/>
          <w:noProof/>
        </w:rPr>
        <w:t xml:space="preserve"> komprensiva, aġġornata u komparabbli</w:t>
      </w:r>
      <w:r>
        <w:rPr>
          <w:rFonts w:ascii="Times New Roman" w:hAnsi="Times New Roman"/>
          <w:noProof/>
        </w:rPr>
        <w:t xml:space="preserve"> għal politiki dwar il-ġlieda kontra l-vjolenza sessista biex tkun effettiva. Biex tinkiseb stampa sħiħa tal-vjolenza sessista, id-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jenħtieġ li tkun diżaggregata permezz ta’ aspetti intersezzjonali rilevanti u indikaturi bħall-età, l-istatus ta’ diżabbiltà, l-istatus ta’ migrant u r-residenza rurali-urbana. </w:t>
      </w:r>
      <w:r>
        <w:rPr>
          <w:rFonts w:ascii="Times New Roman" w:hAnsi="Times New Roman"/>
          <w:b/>
          <w:noProof/>
        </w:rPr>
        <w:t>Stħarriġ madwar l-UE</w:t>
      </w:r>
      <w:r>
        <w:rPr>
          <w:rFonts w:ascii="Times New Roman" w:hAnsi="Times New Roman"/>
          <w:noProof/>
        </w:rPr>
        <w:t xml:space="preserve">, ikkordinat mill-Eurostat, se jipprovdi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dwar il-prevalenza u d-dinamika tal-vjolenza kontra n-nisa u forom oħra ta’ vjolenza interpersonali, b’riżultati ppreżentati fl-2023.</w:t>
      </w:r>
    </w:p>
    <w:p>
      <w:pPr>
        <w:spacing w:line="100" w:lineRule="atLeast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Li jiġu sfidati l-isterjotipi tas-sessi</w:t>
      </w:r>
    </w:p>
    <w:p>
      <w:pPr>
        <w:pStyle w:val="NormalWeb"/>
        <w:spacing w:before="0" w:beforeAutospacing="0" w:after="200" w:afterAutospacing="0" w:line="100" w:lineRule="atLeast"/>
        <w:jc w:val="both"/>
        <w:rPr>
          <w:noProof/>
        </w:rPr>
      </w:pPr>
      <w:r>
        <w:rPr>
          <w:b/>
          <w:noProof/>
        </w:rPr>
        <w:t>L-isterjotipi tas-sessi huma l-kawża ewlenija tal-inugwaljanza bejn is-sessi u jaffettwaw l-oqsma kollha tas-soċjetà</w:t>
      </w:r>
      <w:r>
        <w:rPr>
          <w:rStyle w:val="FootnoteReference"/>
          <w:noProof/>
        </w:rPr>
        <w:footnoteReference w:id="28"/>
      </w:r>
      <w:r>
        <w:rPr>
          <w:noProof/>
        </w:rPr>
        <w:t>. L-aspettattivi sterjotipiċi bbażati fuq normi fissi għan-nisa u l-irġiel, il-bniet u s-subien jillimitaw l-aspirazzjonijiet, l-għażliet u l-libertà tagħhom, u għalhekk jenħtieġ li jiġu żarmati. L-isterjotipi tas-sessi jikkontribwixxu ħafna għad-differenza bejn il-pagi tal-irġiel u n-nisa. Spiss jiġu kkumbinati ma’ sterjotipi oħra bħal dawk ibbażati fuq l-oriġini tar-razza jew dik etnika, ir-reliġjon jew it-twemmin, id-diżabbiltà, l-età jew l-orjentazzjoni sesswali u dan jista’ jsaħħaħ l-impatti negattivi tal-isterjotipi.</w:t>
      </w:r>
    </w:p>
    <w:p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59450" cy="1000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reotypes-M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L-Intelliġenza Artifiċjali</w:t>
      </w:r>
      <w:r>
        <w:rPr>
          <w:rFonts w:ascii="Times New Roman" w:hAnsi="Times New Roman"/>
          <w:noProof/>
        </w:rPr>
        <w:t xml:space="preserve"> (IA) </w:t>
      </w:r>
      <w:r>
        <w:rPr>
          <w:rFonts w:ascii="Times New Roman" w:hAnsi="Times New Roman"/>
          <w:b/>
          <w:noProof/>
        </w:rPr>
        <w:t>saret qasam ta’ importanza strateġika</w:t>
      </w:r>
      <w:r>
        <w:rPr>
          <w:rFonts w:ascii="Times New Roman" w:hAnsi="Times New Roman"/>
          <w:noProof/>
        </w:rPr>
        <w:t xml:space="preserve"> u xprunatur ewlieni tal-progress ekonomiku, għalhekk in-nisa għandhom ikunu parti mill-iżvilupp tagħha bħala riċerkaturi, programmaturi u utenti.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Filwaqt li l-IA tista’ ġġib soluzzjonijiet għal ħafna sfidi tas-soċjetà, tirriskja li tintensifika l-inugwaljanzi bejn is-sessi. L-algoritmi u r-riskju ta’ tagħlim elettroniku relatat mar-ripetizzjoni, jekk mhux trasparenti u robusti biżżejjed, l-amplifikazzjoni jew il-kontribut ta’ preġudizzji relatati mal-ġeneru li l-programmaturi jistgħu ma jkunux konxji tagħhom jew li huma r-riżultat ta’ għażla ta’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speċifika. Il-White Paper il-ġdida tal-Kummissjoni dwar l-IA tistabbilixxi l-approċċ Ewropew ibbażat fuq il-valuri tal-UE u d-drittijiet fundamentali, inklużi n-nondiskriminazzjoni u l-ugwaljanza bejn is-sessi</w:t>
      </w:r>
      <w:r>
        <w:rPr>
          <w:rStyle w:val="FootnoteReference"/>
          <w:rFonts w:ascii="Times New Roman" w:hAnsi="Times New Roman" w:cs="Times New Roman"/>
          <w:noProof/>
        </w:rPr>
        <w:footnoteReference w:id="29"/>
      </w:r>
      <w:r>
        <w:rPr>
          <w:rFonts w:ascii="Times New Roman" w:hAnsi="Times New Roman"/>
          <w:noProof/>
        </w:rPr>
        <w:t xml:space="preserve">. Il-programm qafas li jmiss għar-riċerka u għall-innovazzjoni, </w:t>
      </w:r>
      <w:r>
        <w:rPr>
          <w:rFonts w:ascii="Times New Roman" w:hAnsi="Times New Roman"/>
          <w:b/>
          <w:noProof/>
        </w:rPr>
        <w:t>Orizzont Ewropa</w:t>
      </w:r>
      <w:r>
        <w:rPr>
          <w:rStyle w:val="FootnoteReference"/>
          <w:rFonts w:ascii="Times New Roman" w:hAnsi="Times New Roman" w:cs="Times New Roman"/>
          <w:noProof/>
        </w:rPr>
        <w:footnoteReference w:id="30"/>
      </w:r>
      <w:r>
        <w:rPr>
          <w:rFonts w:ascii="Times New Roman" w:hAnsi="Times New Roman"/>
          <w:noProof/>
        </w:rPr>
        <w:t>, se jipprovdi wkoll ideat u soluzzjonijiet dwar l-indirizzar ta’ preġudizzji potenzjali relatati mas-sessi fl-IA, kif ukoll dwar it-tneħħija ta’ sterjotipi tal-ġeneru fid-dominji soċjali, ekonomiċi u kulturali kollha, u l-appoġġ tal-iżvilupp ta’ politiki bbażati fuq l-evidenza imparzjali.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Il-midja u s-setturi kulturali għandhom vuċi konsiderevoli fit-tfassil tat-twemmin tan-nies, tal-valuri u tal-perċezzjoni tar-realtà, u b’hekk huma mezzi ewlenin biex jinbidlu l-attitudnijiet u jiġu sfidati l-isterjotipi</w:t>
      </w:r>
      <w:r>
        <w:rPr>
          <w:rStyle w:val="FootnoteReference"/>
          <w:rFonts w:ascii="Times New Roman" w:hAnsi="Times New Roman" w:cs="Times New Roman"/>
          <w:noProof/>
        </w:rPr>
        <w:footnoteReference w:id="31"/>
      </w:r>
      <w:r>
        <w:rPr>
          <w:rFonts w:ascii="Times New Roman" w:hAnsi="Times New Roman"/>
          <w:noProof/>
        </w:rPr>
        <w:t xml:space="preserve">. Il-Kummissjoni se tkompli tappoġġa proġetti li jippromwovu l-ugwaljanza bejn is-sessi taħt il-programm </w:t>
      </w:r>
      <w:r>
        <w:rPr>
          <w:rFonts w:ascii="Times New Roman" w:hAnsi="Times New Roman"/>
          <w:b/>
          <w:noProof/>
        </w:rPr>
        <w:t>Ewropa Kreattiva</w:t>
      </w:r>
      <w:r>
        <w:rPr>
          <w:rStyle w:val="FootnoteReference"/>
          <w:rFonts w:ascii="Times New Roman" w:hAnsi="Times New Roman" w:cs="Times New Roman"/>
          <w:noProof/>
        </w:rPr>
        <w:footnoteReference w:id="32"/>
      </w:r>
      <w:r>
        <w:rPr>
          <w:rFonts w:ascii="Times New Roman" w:hAnsi="Times New Roman"/>
          <w:noProof/>
        </w:rPr>
        <w:t>, inkluż taħt il-</w:t>
      </w:r>
      <w:r>
        <w:rPr>
          <w:rFonts w:ascii="Times New Roman" w:hAnsi="Times New Roman"/>
          <w:b/>
          <w:noProof/>
        </w:rPr>
        <w:t>Mużika Ċċaqlaq l-Ewropa</w:t>
      </w:r>
      <w:r>
        <w:rPr>
          <w:rFonts w:ascii="Times New Roman" w:hAnsi="Times New Roman"/>
          <w:noProof/>
        </w:rPr>
        <w:t xml:space="preserve">, u se tippreżenta </w:t>
      </w:r>
      <w:r>
        <w:rPr>
          <w:rFonts w:ascii="Times New Roman" w:hAnsi="Times New Roman"/>
          <w:b/>
          <w:noProof/>
        </w:rPr>
        <w:t>strateġija dwar l-ugwaljanza bejn is-sessi fl-industrija awdjoviżiva</w:t>
      </w:r>
      <w:r>
        <w:rPr>
          <w:rFonts w:ascii="Times New Roman" w:hAnsi="Times New Roman"/>
          <w:noProof/>
        </w:rPr>
        <w:t xml:space="preserve"> bħala parti mis-subprogramm </w:t>
      </w:r>
      <w:r>
        <w:rPr>
          <w:rFonts w:ascii="Times New Roman" w:hAnsi="Times New Roman"/>
          <w:b/>
          <w:noProof/>
        </w:rPr>
        <w:t>MEDIA</w:t>
      </w:r>
      <w:r>
        <w:rPr>
          <w:rFonts w:ascii="Times New Roman" w:hAnsi="Times New Roman"/>
          <w:noProof/>
        </w:rPr>
        <w:t xml:space="preserve"> li jmiss</w:t>
      </w:r>
      <w:r>
        <w:rPr>
          <w:rStyle w:val="FootnoteReference"/>
          <w:rFonts w:ascii="Times New Roman" w:hAnsi="Times New Roman" w:cs="Times New Roman"/>
          <w:noProof/>
        </w:rPr>
        <w:footnoteReference w:id="33"/>
      </w:r>
      <w:r>
        <w:rPr>
          <w:rFonts w:ascii="Times New Roman" w:hAnsi="Times New Roman"/>
          <w:noProof/>
        </w:rPr>
        <w:t>, inkluż l-appoġġ finanzjarju, id-djalogu strutturat, il-mentoring u t-taħriġ għal produtturi tal-films, produtturi u kittieba nisa tal-iskritti.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se tniedi </w:t>
      </w:r>
      <w:r>
        <w:rPr>
          <w:rFonts w:ascii="Times New Roman" w:hAnsi="Times New Roman"/>
          <w:b/>
          <w:noProof/>
        </w:rPr>
        <w:t>kampanja ta’ komunikazzjoni madwar l-UE kollha li tiġġieled kontra l-isterjotipi tas-sessi</w:t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>Hija ser tindirizza l-isferi kollha tal-ħajja b’approċċ intersettorjali u tiffoka fuq l-involviment taż-żgħażagħ, f’kollaborazzjoni mal-Istati Membri.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>
        <w:tc>
          <w:tcPr>
            <w:tcW w:w="9212" w:type="dxa"/>
          </w:tcPr>
          <w:p>
            <w:p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Minbarra l-azzjonijiet tal-Kummissjoni elenkati hawn fuq, il-Kummissjoni tappella:</w:t>
            </w: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lill-Kunsill biex</w:t>
            </w:r>
            <w:r>
              <w:rPr>
                <w:rFonts w:ascii="Times New Roman" w:hAnsi="Times New Roman"/>
                <w:noProof/>
              </w:rPr>
              <w:t>: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tikkonkludi l-adeżjoni tal-UE mal-Konvenzjoni ta’ Istambul u tiġi żgurata ratifika rapida tal-UE.</w:t>
            </w:r>
          </w:p>
          <w:p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lill-Istati Membri biex</w:t>
            </w:r>
            <w:r>
              <w:rPr>
                <w:rFonts w:ascii="Times New Roman" w:hAnsi="Times New Roman"/>
                <w:noProof/>
              </w:rPr>
              <w:t xml:space="preserve">: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jirratifikaw u jimplimentaw il-Konvenzjoni ta’ Istambul;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jirratifikaw u jimplimentaw il-Konvenzjoni tal-ILO għall-ġlieda kontra l-vjolenza u l-fastidju fid-dinja tax-xogħol;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jimplimentaw id-Direttiva dwar id-Drittijiet tal-Vittmi, id-Direttiva dwar l-abbuż sesswali tat-tfal</w:t>
            </w:r>
            <w:r>
              <w:rPr>
                <w:rStyle w:val="FootnoteReference"/>
                <w:rFonts w:ascii="Times New Roman" w:hAnsi="Times New Roman" w:cs="Times New Roman"/>
                <w:noProof/>
              </w:rPr>
              <w:footnoteReference w:id="34"/>
            </w:r>
            <w:r>
              <w:rPr>
                <w:rFonts w:ascii="Times New Roman" w:hAnsi="Times New Roman"/>
                <w:noProof/>
              </w:rPr>
              <w:t xml:space="preserve"> u liġi rilevanti oħra tal-UE li tipproteġi l-vittmi ta’ vjolenza sessista</w:t>
            </w:r>
            <w:r>
              <w:rPr>
                <w:rStyle w:val="FootnoteReference"/>
                <w:rFonts w:ascii="Times New Roman" w:hAnsi="Times New Roman" w:cs="Times New Roman"/>
                <w:noProof/>
              </w:rPr>
              <w:footnoteReference w:id="35"/>
            </w:r>
            <w:r>
              <w:rPr>
                <w:rFonts w:ascii="Times New Roman" w:hAnsi="Times New Roman"/>
                <w:noProof/>
              </w:rPr>
              <w:t>;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jiġbru u jirrapportaw sistematikament </w:t>
            </w:r>
            <w:r>
              <w:rPr>
                <w:rFonts w:ascii="Times New Roman" w:hAnsi="Times New Roman"/>
                <w:i/>
                <w:noProof/>
              </w:rPr>
              <w:t>data</w:t>
            </w:r>
            <w:r>
              <w:rPr>
                <w:rFonts w:ascii="Times New Roman" w:hAnsi="Times New Roman"/>
                <w:noProof/>
              </w:rPr>
              <w:t xml:space="preserve"> dwar il-vjolenza sessista; kif ukoll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jappoġġjaw is-soċjetà ċivili u s-servizzi pubbliċi fil-prevenzjoni u fil-ġlieda kontra l-vjolenza sessista u l-istereotipizzazzjoni tal-ġeneru, inkluż bl-għajnuna tal-finanzjament tal-UE disponibbli taħt il-programm “ċittadini, ugwaljanza, drittijiet u valuri” (2021-2027).</w:t>
            </w:r>
          </w:p>
        </w:tc>
      </w:tr>
    </w:tbl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2. </w:t>
      </w:r>
      <w:r>
        <w:rPr>
          <w:rFonts w:ascii="Times New Roman" w:hAnsi="Times New Roman"/>
          <w:b/>
          <w:noProof/>
          <w:sz w:val="28"/>
          <w:szCs w:val="28"/>
        </w:rPr>
        <w:tab/>
        <w:t>Suċċess f’ekonomija bbażata fuq l-ugwaljanza bejn is-sessi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i/>
          <w:noProof/>
        </w:rPr>
        <w:t xml:space="preserve">Ewropa għanja u soċjali tiddependi fuqna lkoll. In-nisa u l-irġiel fid-diversità kollha tagħhom jenħtieġ li jkollhom opportunitajiet indaqs biex jiffjorixxu u jkunu ekonomikament indipendenti, jitħallsu b’mod ugwali għal xogħolhom ta’ valur ugwali, ikollhom aċċess ugwali għall-finanzjament u jirċievu pensjonijiet ġusti. In-nisa u l-irġiel jenħtieġ li jaqsmu b’mod ugwali r-responsabbiltajiet ta’ kura u dawk finanzjarji. 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L-għeluq ta’ lakuni bejn is-sessi fis-suq tax-xogħol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Iż-żieda fil-parteċipazzjoni tan-nisa fis-suq tax-xogħol għandha impatt qawwi u pożittiv fuq l-ekonomija, b’mod partikolari fil-kuntest ta’ forza tax-xogħol li qed tiċkien u nuqqas ta’ ħiliet. </w:t>
      </w:r>
      <w:r>
        <w:rPr>
          <w:rFonts w:ascii="Times New Roman" w:hAnsi="Times New Roman"/>
          <w:noProof/>
        </w:rPr>
        <w:t>Dan jagħti wkoll is-setgħa lin-nisa biex isawru l-ħajja tagħhom stess, ikollhom rwol fil-ħajja pubblika u jkunu ekonomikament indipendenti.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Ir-rata tal-impjiegi tan-nisa fl-UE llum hija ogħla minn qatt qabel</w:t>
      </w:r>
      <w:r>
        <w:rPr>
          <w:rStyle w:val="FootnoteReference"/>
          <w:rFonts w:ascii="Times New Roman" w:hAnsi="Times New Roman" w:cs="Times New Roman"/>
          <w:noProof/>
        </w:rPr>
        <w:footnoteReference w:id="36"/>
      </w:r>
      <w:r>
        <w:rPr>
          <w:rFonts w:ascii="Times New Roman" w:hAnsi="Times New Roman"/>
          <w:noProof/>
        </w:rPr>
        <w:t xml:space="preserve"> , iżda ħafna nisa għadhom jesperjenzaw ostakli biex jidħlu u jibqgħu fis-suq tax-xogħol</w:t>
      </w:r>
      <w:r>
        <w:rPr>
          <w:rStyle w:val="FootnoteReference"/>
          <w:rFonts w:ascii="Times New Roman" w:hAnsi="Times New Roman" w:cs="Times New Roman"/>
          <w:noProof/>
        </w:rPr>
        <w:footnoteReference w:id="37"/>
      </w:r>
      <w:r>
        <w:rPr>
          <w:rFonts w:ascii="Times New Roman" w:hAnsi="Times New Roman"/>
          <w:noProof/>
        </w:rPr>
        <w:t>. Xi nisa huma strutturalment sottorappreżentati fis-suq tax-xogħol</w:t>
      </w:r>
      <w:r>
        <w:rPr>
          <w:rStyle w:val="FootnoteReference"/>
          <w:rFonts w:ascii="Times New Roman" w:hAnsi="Times New Roman" w:cs="Times New Roman"/>
          <w:noProof/>
        </w:rPr>
        <w:footnoteReference w:id="38"/>
      </w:r>
      <w:r>
        <w:rPr>
          <w:rFonts w:ascii="Times New Roman" w:hAnsi="Times New Roman"/>
          <w:noProof/>
        </w:rPr>
        <w:t>, li ta’ spiss jirriżulta mill-intersezzjoni tal-ġeneru b’kundizzjonijiet addizzjonali ta’ vulnerabbiltà jew emarġinazzjoni bħal appartenenza għal minorità etnika jew reliġjuża</w:t>
      </w:r>
      <w:r>
        <w:rPr>
          <w:rStyle w:val="FootnoteReference"/>
          <w:rFonts w:ascii="Times New Roman" w:hAnsi="Times New Roman" w:cs="Times New Roman"/>
          <w:noProof/>
        </w:rPr>
        <w:footnoteReference w:id="39"/>
      </w:r>
      <w:r>
        <w:rPr>
          <w:rFonts w:ascii="Times New Roman" w:hAnsi="Times New Roman"/>
          <w:noProof/>
        </w:rPr>
        <w:t xml:space="preserve"> jew jekk ikollhom sfond ta’ migranti. </w:t>
      </w:r>
    </w:p>
    <w:p>
      <w:pPr>
        <w:pStyle w:val="NormalWeb"/>
        <w:spacing w:before="0" w:beforeAutospacing="0" w:after="200" w:afterAutospacing="0" w:line="100" w:lineRule="atLeast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759450" cy="19913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nder-gap_M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after="200" w:line="100" w:lineRule="atLeast"/>
        <w:jc w:val="both"/>
        <w:rPr>
          <w:noProof/>
        </w:rPr>
      </w:pPr>
      <w:r>
        <w:rPr>
          <w:noProof/>
        </w:rPr>
        <w:t>It-titjib tal-bilanċ bejn ix-xogħol u l-ħajja privata tal-ħaddiema huwa wieħed mill-modi kif jiġu indirizzati d-differenzi bejn is-sessi fis-suq tax-xogħol. Jenħtieġ li ż-żewġ ġenituri jkunu iħossuhom responsabbli u intitolati għal dak li għandu x’jaqsam mal-kura tal-familja. Id-</w:t>
      </w:r>
      <w:r>
        <w:rPr>
          <w:b/>
          <w:noProof/>
        </w:rPr>
        <w:t>Direttiva dwar il-Bilanċ bejn ix-Xogħol u l-Ħajja Privata</w:t>
      </w:r>
      <w:r>
        <w:rPr>
          <w:rStyle w:val="FootnoteReference"/>
          <w:noProof/>
        </w:rPr>
        <w:footnoteReference w:id="40"/>
      </w:r>
      <w:r>
        <w:rPr>
          <w:noProof/>
        </w:rPr>
        <w:t xml:space="preserve"> tintroduċi standards minimi għal liv tal-familja u arranġamenti tax-xogħol flessibbli għall-ħaddiema, u tippromwovi l-qsim ugwali tar-responsabbiltajiet ta’ indukrar bejn il-ġenituri. Il-Kummissjoni se tiżgura li l-Istati Membri </w:t>
      </w:r>
      <w:r>
        <w:rPr>
          <w:b/>
          <w:noProof/>
        </w:rPr>
        <w:t>jittrasponu</w:t>
      </w:r>
      <w:r>
        <w:rPr>
          <w:rStyle w:val="FootnoteReference"/>
          <w:noProof/>
        </w:rPr>
        <w:footnoteReference w:id="41"/>
      </w:r>
      <w:r>
        <w:rPr>
          <w:b/>
          <w:noProof/>
        </w:rPr>
        <w:t xml:space="preserve"> u jimplimentaw</w:t>
      </w:r>
      <w:r>
        <w:rPr>
          <w:noProof/>
        </w:rPr>
        <w:t xml:space="preserve"> b’mod korrett din id-direttiva sabiex l-irġiel u n-nisa jkunu jistgħu jiffjorixxu kemm personalment kif ukoll b’mod professjonali, u tistieden lill-Istati Membri biex imorru lil hinn minn dawn l-istandards minimi fir-reviżjoni tal-politiki tagħhom. Jenħtieġ li jiżguraw ukoll soluzzjonijiet ta’ kwalità, pereżempju għall-indukrar tat-tfal, li jilħqu wkoll żoni anqas popolati fl-Ewropa. Fi ħdan l-amministrazzjoni tagħha stess, il-Kummissjoni se tippromwovi u tissorvelja l-użu ugwali tal-arranġamenti tax-xogħol flessibbli mill-impjegati kollha</w:t>
      </w:r>
      <w:r>
        <w:rPr>
          <w:noProof/>
          <w:vertAlign w:val="superscript"/>
        </w:rPr>
        <w:footnoteReference w:id="42"/>
      </w:r>
      <w:r>
        <w:rPr>
          <w:noProof/>
        </w:rPr>
        <w:t>.</w:t>
      </w:r>
    </w:p>
    <w:p>
      <w:pPr>
        <w:pStyle w:val="Text1"/>
        <w:ind w:left="0"/>
        <w:rPr>
          <w:noProof/>
        </w:rPr>
      </w:pPr>
      <w:r>
        <w:rPr>
          <w:noProof/>
        </w:rPr>
        <w:t>L-isfidi tal-ugwaljanza bejn is-sessi fl-Istati Membri, b’mod partikolari s-suq tax-xogħol, l-inklużjoni soċjali u d-dimensjonijiet tal-edukazzjoni tagħhom, se jkomplu jiġu mmonitorjati permezz tas-</w:t>
      </w:r>
      <w:r>
        <w:rPr>
          <w:b/>
          <w:noProof/>
        </w:rPr>
        <w:t>Semestru Ewropew</w:t>
      </w:r>
      <w:r>
        <w:rPr>
          <w:rStyle w:val="FootnoteReference"/>
          <w:noProof/>
        </w:rPr>
        <w:footnoteReference w:id="43"/>
      </w:r>
      <w:r>
        <w:rPr>
          <w:noProof/>
        </w:rPr>
        <w:t>. Permezz tat-Tabella ta’ Valutazzjoni Soċjali, is-Semestru Ewropew jissorvelja wkoll dawn id-dimensjonijiet tal-Pilastru Ewropew tad-Drittijiet Soċjali</w:t>
      </w:r>
      <w:r>
        <w:rPr>
          <w:rStyle w:val="FootnoteReference"/>
          <w:noProof/>
        </w:rPr>
        <w:footnoteReference w:id="44"/>
      </w:r>
      <w:r>
        <w:rPr>
          <w:noProof/>
        </w:rPr>
        <w:t xml:space="preserve">. Sa miċ-ċiklu tas-Semestru 2019-2020, ir-rapporti tal-pajjiżi tas-Semestru jikkontribwixxu għall-monitoraġġ tal-SDGs, inkluż dwar l-ugwaljanza bejn is-sessi (SDG 5), u l-mod li bih il-politiki ekonomiċi u tal-impjiegi jistgħu jgħinu fit-twettiq tagħhom. 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programm ta’ appoġġ għal riformi strutturali</w:t>
      </w:r>
      <w:r>
        <w:rPr>
          <w:rFonts w:ascii="Times New Roman" w:hAnsi="Times New Roman"/>
          <w:noProof/>
        </w:rPr>
        <w:t xml:space="preserve"> jista’ jappoġġja lill-Istati Membri fl-integrazzjoni tal-ugwaljanza bejn is-sessi fl-amministrazzjoni pubblika, fl-ibbaġittjar tal-istat u fil-ġestjoni finanzjarja. Barra minn hekk, dan jista’ jikkontribwixxi għal riformi strutturali nazzjonali fl-Istati Membri </w:t>
      </w:r>
      <w:r>
        <w:rPr>
          <w:rFonts w:ascii="Times New Roman" w:hAnsi="Times New Roman"/>
          <w:b/>
          <w:noProof/>
        </w:rPr>
        <w:t>biex jingħalaq id-distakk bejn is-sessi fl-impjiegi</w:t>
      </w:r>
      <w:r>
        <w:rPr>
          <w:rFonts w:ascii="Times New Roman" w:hAnsi="Times New Roman"/>
          <w:noProof/>
        </w:rPr>
        <w:t xml:space="preserve"> u biex jiġi indirizzat il-proporzjon ogħla ta’ nisa fil-faqar, b’mod partikolari l-anzjani.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Jenħtieġ li </w:t>
      </w:r>
      <w:r>
        <w:rPr>
          <w:rFonts w:ascii="Times New Roman" w:hAnsi="Times New Roman"/>
          <w:b/>
          <w:noProof/>
        </w:rPr>
        <w:t>l-politiki soċjali u ekonomiċi, it-tassazzjoni u s-sistemi ta’ protezzjoni soċjali</w:t>
      </w:r>
      <w:r>
        <w:rPr>
          <w:rFonts w:ascii="Times New Roman" w:hAnsi="Times New Roman"/>
          <w:noProof/>
        </w:rPr>
        <w:t xml:space="preserve"> ma jipperpetwawx inugwaljanzi strutturali bejn is-sessi bbażati fuq rwoli tas-sessi tradizzjonali fl-oqsma tal-ħajja tax-xogħol u dawk privati. Il-Kummissjoni se tiżviluppa gwida għall-Istati Membri dwar kif is-sistemi nazzjonali tat-taxxa u tal-benefiċċji jistgħu jħallu impatt fuq l-</w:t>
      </w:r>
      <w:r>
        <w:rPr>
          <w:rFonts w:ascii="Times New Roman" w:hAnsi="Times New Roman"/>
          <w:b/>
          <w:noProof/>
        </w:rPr>
        <w:t>inċentivi jew id-diżinċentivi finanzjarji għat-tieni sors ta’ dħul</w:t>
      </w:r>
      <w:r>
        <w:rPr>
          <w:rFonts w:ascii="Times New Roman" w:hAnsi="Times New Roman"/>
          <w:noProof/>
        </w:rPr>
        <w:t xml:space="preserve">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59450" cy="133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cision-makers-private-M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L-għoti tas-setgħa lin-nisa fis-suq tax-xogħol ifisser ukoll li tingħatalhom il-possibbiltà li </w:t>
      </w:r>
      <w:r>
        <w:rPr>
          <w:rFonts w:ascii="Times New Roman" w:hAnsi="Times New Roman"/>
          <w:b/>
          <w:noProof/>
        </w:rPr>
        <w:t>jirnexxu bħala investituri u imprendituri</w:t>
      </w:r>
      <w:r>
        <w:rPr>
          <w:rStyle w:val="FootnoteReference"/>
          <w:rFonts w:ascii="Times New Roman" w:hAnsi="Times New Roman" w:cs="Times New Roman"/>
          <w:noProof/>
        </w:rPr>
        <w:footnoteReference w:id="45"/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>Il-politika ta’ koeżjoni tal-UE tappoġġa l-intraprenditorija tan-nisa, l-integrazzjoni (mill-ġdid) tagħhom fis-suq tax-xogħol u l-ugwaljanza bejn is-sessi f’setturi speċifiċi, tradizzjonalment maskili. Se jiġu żviluppati miżuri mmirati li jippromwovu l-parteċipazzjoni tan-nisa fl-innovazzjoni taħt l-Orizzont Ewropa tal-</w:t>
      </w:r>
      <w:r>
        <w:rPr>
          <w:rFonts w:ascii="Times New Roman" w:hAnsi="Times New Roman"/>
          <w:b/>
          <w:noProof/>
        </w:rPr>
        <w:t>Kunsill Ewropew tal-Innovazzjoni</w:t>
      </w:r>
      <w:r>
        <w:rPr>
          <w:rFonts w:ascii="Times New Roman" w:hAnsi="Times New Roman"/>
          <w:noProof/>
        </w:rPr>
        <w:t>, inkluż proġett pilota għall-promozzjoni ta’ negozji ġodda mmexxija min-nisa u intrapriżi żgħar u ta’ daqs medju innovattivi fl-2020</w:t>
      </w:r>
      <w:r>
        <w:rPr>
          <w:rStyle w:val="FootnoteReference"/>
          <w:rFonts w:ascii="Times New Roman" w:hAnsi="Times New Roman" w:cs="Times New Roman"/>
          <w:noProof/>
        </w:rPr>
        <w:footnoteReference w:id="46"/>
      </w:r>
      <w:r>
        <w:rPr>
          <w:rFonts w:ascii="Times New Roman" w:hAnsi="Times New Roman"/>
          <w:noProof/>
        </w:rPr>
        <w:t>. Il-Kummissjoni se tippromwovi wkoll il-preżenza ta’ nisa f’pożizzjonijiet ta’ teħid ta’ deċiżjonijiet f’fondi ta’ ekwità privata u f’fondi ta’ kapital ta’ riskju u f’fondi ta’ appoġġ fondi li jinvestu f’portafolli diversifikati skont il-ġeneru permezz tal-</w:t>
      </w:r>
      <w:r>
        <w:rPr>
          <w:rFonts w:ascii="Times New Roman" w:hAnsi="Times New Roman"/>
          <w:b/>
          <w:noProof/>
        </w:rPr>
        <w:t>programm InvestEU</w:t>
      </w:r>
      <w:r>
        <w:rPr>
          <w:rFonts w:ascii="Times New Roman" w:hAnsi="Times New Roman"/>
          <w:noProof/>
        </w:rPr>
        <w:t xml:space="preserve"> biex isir investiment privat u pubbliku fl-Ewropa għal tkabbir aktar sostenibbli, inklużiv u innovattiv.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Il-kisba ta’ parteċipazzjoni ugwali fis-setturi differenti tal-ekonomija 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Filwaqt li hemm </w:t>
      </w:r>
      <w:r>
        <w:rPr>
          <w:rFonts w:ascii="Times New Roman" w:hAnsi="Times New Roman"/>
          <w:b/>
          <w:noProof/>
        </w:rPr>
        <w:t>aktar gradwati universitarji nisa fl-Ewropa milli gradwati rġiel</w:t>
      </w:r>
      <w:r>
        <w:rPr>
          <w:rFonts w:ascii="Times New Roman" w:hAnsi="Times New Roman"/>
          <w:noProof/>
        </w:rPr>
        <w:t>, in-nisa għadhom sottorappreżentati fi professjonijiet bi ħlas ogħla</w:t>
      </w:r>
      <w:r>
        <w:rPr>
          <w:rStyle w:val="FootnoteReference"/>
          <w:rFonts w:ascii="Times New Roman" w:eastAsia="Times New Roman" w:hAnsi="Times New Roman" w:cs="Times New Roman"/>
          <w:noProof/>
        </w:rPr>
        <w:footnoteReference w:id="47"/>
      </w:r>
      <w:r>
        <w:rPr>
          <w:rFonts w:ascii="Times New Roman" w:hAnsi="Times New Roman"/>
          <w:noProof/>
        </w:rPr>
        <w:t>. Aktar nisa milli rġiel jaħdmu f’impjiegi u setturi b’pagi baxxi, u f’pożizzjonijiet aktar baxxi.</w:t>
      </w:r>
      <w:r>
        <w:rPr>
          <w:rFonts w:ascii="Times New Roman" w:eastAsia="Times New Roman" w:hAnsi="Times New Roman" w:cs="Times New Roman"/>
          <w:noProof/>
          <w:vertAlign w:val="superscript"/>
        </w:rPr>
        <w:footnoteReference w:id="48"/>
      </w:r>
      <w:r>
        <w:rPr>
          <w:rFonts w:ascii="Times New Roman" w:hAnsi="Times New Roman"/>
          <w:noProof/>
        </w:rPr>
        <w:t xml:space="preserve"> Normi soċjali u sterjotipi diskriminatorji dwar il-ħiliet tan-nisa u tal-irġiel, u s-sottovalutazzjoni tax-xogħol tan-nisa huma wħud mill-fatturi li jikkontribwixxu għal dan.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59450" cy="13652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ctors-economy-M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br w:type="page"/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It-</w:t>
      </w:r>
      <w:r>
        <w:rPr>
          <w:rFonts w:ascii="Times New Roman" w:hAnsi="Times New Roman"/>
          <w:b/>
          <w:noProof/>
        </w:rPr>
        <w:t>tranżizzjoni diġitali</w:t>
      </w:r>
      <w:r>
        <w:rPr>
          <w:rFonts w:ascii="Times New Roman" w:hAnsi="Times New Roman"/>
          <w:noProof/>
        </w:rPr>
        <w:t xml:space="preserve"> hija tal-akbar importanza f’dan il-kuntest. Bi trasformazzjoni rapida u diġitalizzazzjoni tal-ekonomija u tas-suq tax-xogħol, illum 90 % tal-impjiegi jeħtieġu ħiliet diġitali bażiċi</w:t>
      </w:r>
      <w:r>
        <w:rPr>
          <w:rFonts w:ascii="Times New Roman" w:hAnsi="Times New Roman" w:cs="Times New Roman"/>
          <w:noProof/>
          <w:sz w:val="20"/>
          <w:szCs w:val="20"/>
          <w:vertAlign w:val="superscript"/>
        </w:rPr>
        <w:footnoteReference w:id="49"/>
      </w:r>
      <w:r>
        <w:rPr>
          <w:rFonts w:ascii="Times New Roman" w:hAnsi="Times New Roman"/>
          <w:noProof/>
        </w:rPr>
        <w:t>. In-nisa jirrappreżentaw biss 17 % tan-nies fl-istudji u l-karrieri fl-ICT</w:t>
      </w:r>
      <w:r>
        <w:rPr>
          <w:rStyle w:val="FootnoteReference"/>
          <w:rFonts w:ascii="Times New Roman" w:hAnsi="Times New Roman" w:cs="Times New Roman"/>
          <w:noProof/>
        </w:rPr>
        <w:footnoteReference w:id="50"/>
      </w:r>
      <w:r>
        <w:rPr>
          <w:rFonts w:ascii="Times New Roman" w:hAnsi="Times New Roman"/>
          <w:noProof/>
        </w:rPr>
        <w:t xml:space="preserve"> fl-UE</w:t>
      </w:r>
      <w:r>
        <w:rPr>
          <w:rStyle w:val="FootnoteReference"/>
          <w:rFonts w:ascii="Times New Roman" w:hAnsi="Times New Roman" w:cs="Times New Roman"/>
          <w:noProof/>
        </w:rPr>
        <w:footnoteReference w:id="51"/>
      </w:r>
      <w:r>
        <w:rPr>
          <w:rFonts w:ascii="Times New Roman" w:hAnsi="Times New Roman"/>
          <w:noProof/>
        </w:rPr>
        <w:t xml:space="preserve"> u 36 % biss tal-gradwati</w:t>
      </w:r>
      <w:r>
        <w:rPr>
          <w:rStyle w:val="FootnoteReference"/>
          <w:rFonts w:ascii="Times New Roman" w:hAnsi="Times New Roman" w:cs="Times New Roman"/>
          <w:noProof/>
        </w:rPr>
        <w:footnoteReference w:id="52"/>
      </w:r>
      <w:r>
        <w:rPr>
          <w:rFonts w:ascii="Times New Roman" w:hAnsi="Times New Roman"/>
          <w:noProof/>
        </w:rPr>
        <w:t xml:space="preserve"> STEM</w:t>
      </w:r>
      <w:r>
        <w:rPr>
          <w:rStyle w:val="FootnoteReference"/>
          <w:rFonts w:ascii="Times New Roman" w:hAnsi="Times New Roman" w:cs="Times New Roman"/>
          <w:noProof/>
        </w:rPr>
        <w:footnoteReference w:id="53"/>
      </w:r>
      <w:r>
        <w:rPr>
          <w:rFonts w:ascii="Times New Roman" w:hAnsi="Times New Roman"/>
          <w:noProof/>
        </w:rPr>
        <w:t>, minkejja l-fatt li l-bniet imorru aħjar mis-subien fil-litteriżmu diġitali</w:t>
      </w:r>
      <w:r>
        <w:rPr>
          <w:rFonts w:ascii="Times New Roman" w:hAnsi="Times New Roman" w:cs="Times New Roman"/>
          <w:noProof/>
          <w:vertAlign w:val="superscript"/>
        </w:rPr>
        <w:footnoteReference w:id="54"/>
      </w:r>
      <w:r>
        <w:rPr>
          <w:rFonts w:ascii="Times New Roman" w:hAnsi="Times New Roman"/>
          <w:noProof/>
        </w:rPr>
        <w:t>. Dan id-distakk u dan il-paradoss se jiġu indirizzati fil-</w:t>
      </w:r>
      <w:r>
        <w:rPr>
          <w:rFonts w:ascii="Times New Roman" w:hAnsi="Times New Roman"/>
          <w:b/>
          <w:noProof/>
        </w:rPr>
        <w:t>Pjan (aġġornat) ta’ Azzjoni għall-Edukazzjoni Diġitali</w:t>
      </w:r>
      <w:r>
        <w:rPr>
          <w:rFonts w:ascii="Times New Roman" w:hAnsi="Times New Roman"/>
          <w:noProof/>
        </w:rPr>
        <w:t xml:space="preserve"> u permezz tal-implimentazzjoni tad-</w:t>
      </w:r>
      <w:r>
        <w:rPr>
          <w:rFonts w:ascii="Times New Roman" w:hAnsi="Times New Roman"/>
          <w:b/>
          <w:noProof/>
        </w:rPr>
        <w:t>Dikjarazzjoni Ministerjali ta’ impenn dwar “in-Nisa fid-Dinja Diġitali”</w:t>
      </w:r>
      <w:r>
        <w:rPr>
          <w:rStyle w:val="FootnoteReference"/>
          <w:rFonts w:ascii="Times New Roman" w:hAnsi="Times New Roman" w:cs="Times New Roman"/>
          <w:noProof/>
        </w:rPr>
        <w:footnoteReference w:id="55"/>
      </w:r>
      <w:r>
        <w:rPr>
          <w:rFonts w:ascii="Times New Roman" w:hAnsi="Times New Roman"/>
          <w:noProof/>
        </w:rPr>
        <w:t>. It-</w:t>
      </w:r>
      <w:r>
        <w:rPr>
          <w:rFonts w:ascii="Times New Roman" w:hAnsi="Times New Roman"/>
          <w:b/>
          <w:noProof/>
        </w:rPr>
        <w:t>tabella ta’ valutazzjoni dwar in-“Nisa fid-Dinja Diġitali”</w:t>
      </w:r>
      <w:r>
        <w:rPr>
          <w:rFonts w:ascii="Times New Roman" w:hAnsi="Times New Roman"/>
          <w:noProof/>
        </w:rPr>
        <w:t xml:space="preserve"> se tintuża b’mod aktar sistematiku.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</w:t>
      </w:r>
      <w:r>
        <w:rPr>
          <w:rFonts w:ascii="Times New Roman" w:hAnsi="Times New Roman"/>
          <w:b/>
          <w:noProof/>
        </w:rPr>
        <w:t>Aġenda Aġġornata tal-Ħiliet għall-Ewropa</w:t>
      </w:r>
      <w:r>
        <w:rPr>
          <w:rFonts w:ascii="Times New Roman" w:hAnsi="Times New Roman"/>
          <w:noProof/>
        </w:rPr>
        <w:t xml:space="preserve"> se tgħin tindirizza segregazzjoni orizzontali, sterjotipi u diskrepanzi bejn is-sessi fl-edukazzjoni u fit-taħriġ.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 xml:space="preserve">Il-proposta tal-Kummissjoni għal </w:t>
      </w:r>
      <w:r>
        <w:rPr>
          <w:rFonts w:ascii="Times New Roman" w:hAnsi="Times New Roman"/>
          <w:b/>
          <w:noProof/>
        </w:rPr>
        <w:t>rakkomandazzjoni tal-Kunsill dwar l-edukazzjoni u t-taħriġ vokazzjonali</w:t>
      </w:r>
      <w:r>
        <w:rPr>
          <w:rFonts w:ascii="Times New Roman" w:hAnsi="Times New Roman"/>
          <w:noProof/>
        </w:rPr>
        <w:t xml:space="preserve"> se tappoġġa t-titjib tal-bilanċ bejn is-sessi fi professjonijiet tradizzjonalment iddominati mill-irġiel jew min-nisa u tindirizza l-isterjotipi tas-sessi. Il-</w:t>
      </w:r>
      <w:r>
        <w:rPr>
          <w:rFonts w:ascii="Times New Roman" w:hAnsi="Times New Roman"/>
          <w:b/>
          <w:noProof/>
        </w:rPr>
        <w:t>Garanzija Imsaħħa għaż-Żgħażagħ</w:t>
      </w:r>
      <w:r>
        <w:rPr>
          <w:rFonts w:ascii="Times New Roman" w:hAnsi="Times New Roman"/>
          <w:noProof/>
        </w:rPr>
        <w:t xml:space="preserve"> se tindirizza wkoll speċifikament lin-nisa li mhumiex fl-edukazzjoni, f’impjieg jew f’taħriġ biex jiġu żgurati opportunitajiet indaqs.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Fil-</w:t>
      </w:r>
      <w:r>
        <w:rPr>
          <w:rFonts w:ascii="Times New Roman" w:hAnsi="Times New Roman"/>
          <w:b/>
          <w:noProof/>
        </w:rPr>
        <w:t>Komunikazzjoni (li jmiss tal-Kummissjoni) dwar iż-Żona Ewropea tal-Edukazzjoni</w:t>
      </w:r>
      <w:r>
        <w:rPr>
          <w:rFonts w:ascii="Times New Roman" w:hAnsi="Times New Roman"/>
          <w:noProof/>
        </w:rPr>
        <w:t>, l-ugwaljanza bejn is-sessi se titressaq bħala wieħed mill-elementi ewlenin. Il-</w:t>
      </w:r>
      <w:r>
        <w:rPr>
          <w:rFonts w:ascii="Times New Roman" w:hAnsi="Times New Roman"/>
          <w:b/>
          <w:noProof/>
        </w:rPr>
        <w:t>qafas strateġiku mġedded għall-ugwaljanza bejn is-sessi fl-isport</w:t>
      </w:r>
      <w:r>
        <w:rPr>
          <w:rFonts w:ascii="Times New Roman" w:hAnsi="Times New Roman"/>
          <w:noProof/>
        </w:rPr>
        <w:t xml:space="preserve"> se jippromwovi l-parteċipazzjoni tan-nisa u tal-bniet fl-isport u l-attività fiżika u l-bilanċ bejn is-sessi f’pożizzjonijiet ta’ tmexxija fi ħdan l-organizzazzjonijiet sportivi.</w:t>
      </w:r>
    </w:p>
    <w:p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Indirizzar tad-differenza fil-pagi u l-pensjonijiet tal-irġiel u tan-nisa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Il-prinċipju ta’ paga ugwali għal xogħol ugwali jew xogħol ta’ valur ugwali ilu minqux fit-Trattati mill-1957 u ġie mdaħħal fid-dritt tal-UE.</w:t>
      </w:r>
      <w:r>
        <w:rPr>
          <w:rFonts w:ascii="Times New Roman" w:hAnsi="Times New Roman"/>
          <w:noProof/>
        </w:rPr>
        <w:t xml:space="preserve"> Dan jiżgura li jkun hemm rimedji legali f’każ ta’ diskriminazzjoni</w:t>
      </w:r>
      <w:r>
        <w:rPr>
          <w:noProof/>
        </w:rPr>
        <w:t xml:space="preserve">. </w:t>
      </w:r>
      <w:r>
        <w:rPr>
          <w:rFonts w:ascii="Times New Roman" w:hAnsi="Times New Roman"/>
          <w:noProof/>
        </w:rPr>
        <w:t>Madankollu, in-nisa għadhom jaqilgħu fil-medja inqas mill-irġiel</w:t>
      </w:r>
      <w:r>
        <w:rPr>
          <w:rStyle w:val="FootnoteReference"/>
          <w:rFonts w:ascii="Times New Roman" w:hAnsi="Times New Roman" w:cs="Times New Roman"/>
          <w:noProof/>
        </w:rPr>
        <w:footnoteReference w:id="56"/>
      </w:r>
      <w:r>
        <w:rPr>
          <w:rFonts w:ascii="Times New Roman" w:hAnsi="Times New Roman"/>
          <w:noProof/>
        </w:rPr>
        <w:t>. Id-diskrepanzi fl-impjiegi bejn l-irġiel u n-nisa akkumulati tul ħajjithom iwasslu għal diskrepanza saħansitra usa’ fil-pensjonijiet u, konsegwentement, in-nisa anzjani qegħdin f’riskju akbar ta’ faqar mill-irġiel.</w:t>
      </w:r>
    </w:p>
    <w:p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59450" cy="1219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nsion-gender-gap-M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L-eliminazzjoni tad-differenza bejn il-pagi tal-irġiel u n-nisa</w:t>
      </w:r>
      <w:r>
        <w:rPr>
          <w:rFonts w:ascii="Times New Roman" w:hAnsi="Times New Roman"/>
          <w:noProof/>
        </w:rPr>
        <w:t xml:space="preserve"> tirrikjedi li jiġu indirizzati l-kawżi ewlenin kollha tagħha, inkluż il-parteċipazzjoni aktar baxxa tan-nisa fis-suq tax-xogħol, ix-xogħol inviżibbli u mhux imħallas, l-użu akbar tagħhom ta’ xogħol part-time</w:t>
      </w:r>
      <w:r>
        <w:rPr>
          <w:rStyle w:val="FootnoteReference"/>
          <w:rFonts w:ascii="Times New Roman" w:hAnsi="Times New Roman" w:cs="Times New Roman"/>
          <w:noProof/>
        </w:rPr>
        <w:footnoteReference w:id="57"/>
      </w:r>
      <w:r>
        <w:rPr>
          <w:rFonts w:ascii="Times New Roman" w:hAnsi="Times New Roman"/>
          <w:noProof/>
        </w:rPr>
        <w:t xml:space="preserve"> u l-waqfien fil-karriera, kif ukoll is-segregazzjoni vertikali u orizzontali bbażata fuq l-isterjotipi tas-sessi u d-diskriminazzjoni. 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Meta tkun disponibbli informazzjoni dwar il-livelli tal-pagi, ikun aktar faċli li jiġu identifikati nuqqasijiet u diskriminazzjoni. Minħabba nuqqas ta’ trasparenza, ħafna nisa ma jafux jew ma jistgħux jagħtu prova li huma mhumiex imħallsa tajjeb. Il-Kummissjoni se tippreżenta </w:t>
      </w:r>
      <w:r>
        <w:rPr>
          <w:rFonts w:ascii="Times New Roman" w:hAnsi="Times New Roman"/>
          <w:b/>
          <w:noProof/>
        </w:rPr>
        <w:t>miżuri vinkolanti dwar it-trasparenza fil-pagi sa tmiem l-2020</w:t>
      </w:r>
      <w:r>
        <w:rPr>
          <w:rFonts w:ascii="Times New Roman" w:hAnsi="Times New Roman"/>
          <w:noProof/>
        </w:rPr>
        <w:t>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Inizjattiva bħal din se ssaħħaħ id-drittijiet tal-impjegati biex jiksbu aktar informazzjoni dwar il-livelli tal-pagi, filwaqt li tista’ żżid piż amministrattiv għal min iħaddem. Biex jinstab il-bilanċ it-tajjeb għal azzjoni tal-UE bħal din, huwa tal-akbar importanza li jiġu kkonsultati l-imsieħba soċjali u l-amministrazzjonijiet nazzjonali. Il-Kummissjoni wettqet evalwazzjoni bir-reqqa tal-qafas eżistenti dwar paga ugwali għal xogħol ugwali jew għal xogħol ta’ valur ugwali</w:t>
      </w:r>
      <w:r>
        <w:rPr>
          <w:rStyle w:val="FootnoteReference"/>
          <w:rFonts w:ascii="Times New Roman" w:hAnsi="Times New Roman" w:cs="Times New Roman"/>
          <w:noProof/>
        </w:rPr>
        <w:footnoteReference w:id="58"/>
      </w:r>
      <w:r>
        <w:rPr>
          <w:rFonts w:ascii="Times New Roman" w:hAnsi="Times New Roman"/>
          <w:noProof/>
        </w:rPr>
        <w:t xml:space="preserve">. Flimkien mal-adozzjoni ta’ din l-istrateġija, il-Kummissjoni qed tniedi </w:t>
      </w:r>
      <w:r>
        <w:rPr>
          <w:rFonts w:ascii="Times New Roman" w:hAnsi="Times New Roman"/>
          <w:b/>
          <w:noProof/>
        </w:rPr>
        <w:t>proċess ta’ konsultazzjoni wiesa’ u inklużiv</w:t>
      </w:r>
      <w:r>
        <w:rPr>
          <w:rStyle w:val="FootnoteReference"/>
          <w:rFonts w:ascii="Times New Roman" w:hAnsi="Times New Roman" w:cs="Times New Roman"/>
          <w:noProof/>
        </w:rPr>
        <w:footnoteReference w:id="59"/>
      </w:r>
      <w:r>
        <w:rPr>
          <w:rFonts w:ascii="Times New Roman" w:hAnsi="Times New Roman"/>
          <w:noProof/>
        </w:rPr>
        <w:t xml:space="preserve"> mal-pubbliku, mal-Istati Membri u mal-imsieħba soċjali. B’mod usa’</w:t>
      </w:r>
      <w:r>
        <w:rPr>
          <w:noProof/>
        </w:rPr>
        <w:t xml:space="preserve">, </w:t>
      </w:r>
      <w:r>
        <w:rPr>
          <w:rFonts w:ascii="Times New Roman" w:hAnsi="Times New Roman"/>
          <w:noProof/>
        </w:rPr>
        <w:t>il-Kummissjoni se tniedi mill-ġdid id-diskussjoni mal-</w:t>
      </w:r>
      <w:r>
        <w:rPr>
          <w:rFonts w:ascii="Times New Roman" w:hAnsi="Times New Roman"/>
          <w:b/>
          <w:noProof/>
        </w:rPr>
        <w:t>imsieħba soċjali</w:t>
      </w:r>
      <w:r>
        <w:rPr>
          <w:rFonts w:ascii="Times New Roman" w:hAnsi="Times New Roman"/>
          <w:noProof/>
        </w:rPr>
        <w:t xml:space="preserve"> dwar kif tista’ tittejjeb l-ugwaljanza bejn is-sessi fid-dinja tax-xogħol, inkluż fi ħdan l-istrutturi tagħhom, u tinkoraġġihom jintensifikaw l-isforzi fl-indirizzar tal-impjiegi bejn is-sessi u d-differenzi fil-paga.</w:t>
      </w:r>
    </w:p>
    <w:p>
      <w:pPr>
        <w:pStyle w:val="NormalWeb"/>
        <w:jc w:val="both"/>
        <w:rPr>
          <w:noProof/>
        </w:rPr>
      </w:pPr>
      <w:r>
        <w:rPr>
          <w:noProof/>
        </w:rPr>
        <w:t>Tnaqqis fil-qligħ, konċentrazzjoni ogħla f’xogħol part-time u diskrepanzi fil-karriera marbuta ma’ responsabbiltajiet ta’ kura tan-nisa jikkontribwixxu b’mod sostanzjali għad-diskrepanza fil-</w:t>
      </w:r>
      <w:r>
        <w:rPr>
          <w:b/>
          <w:noProof/>
        </w:rPr>
        <w:t>pensjonijiet bejn is-sessi</w:t>
      </w:r>
      <w:r>
        <w:rPr>
          <w:noProof/>
        </w:rPr>
        <w:t>. Fl-edizzjoni tal-2021 tar-</w:t>
      </w:r>
      <w:r>
        <w:rPr>
          <w:b/>
          <w:noProof/>
        </w:rPr>
        <w:t>Rapport dwar l-Adegwatezza tal-Pensjonijiet</w:t>
      </w:r>
      <w:r>
        <w:rPr>
          <w:noProof/>
        </w:rPr>
        <w:t xml:space="preserve">, il-Kummissjoni, flimkien mal-Kumitat tal-Protezzjoni Soċjali tal-Kunsill, se tivvaluta kif ir-riskji u r-riżorsi huma kondiviżi fis-sistemi tal-pensjonijiet bejn in-nisa u l-irġiel. Biex tipproteġi d-drittijiet tal-pensjoni u tinkoraġġixxi qsim ugwali ta’ responsabbiltajiet ta’ kura bejn in-nisa u l-irġiel, il-Kummissjoni se tesplora mal-Istati Membri u l-partijiet ikkonċernati l-għoti ta’ </w:t>
      </w:r>
      <w:r>
        <w:rPr>
          <w:b/>
          <w:noProof/>
        </w:rPr>
        <w:t>krediti tal-pensjonijiet għal waqfiet fil-karriera relatati mal-kura fi skemi ta’ pensjoni okkupazzjonali</w:t>
      </w:r>
      <w:r>
        <w:rPr>
          <w:noProof/>
        </w:rPr>
        <w:t>, kif rakkomandat mill-Grupp ta’ Livell Għoli dwar il-pensjonijiet</w:t>
      </w:r>
      <w:r>
        <w:rPr>
          <w:rStyle w:val="FootnoteReference"/>
          <w:noProof/>
        </w:rPr>
        <w:footnoteReference w:id="60"/>
      </w:r>
      <w:r>
        <w:rPr>
          <w:noProof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Intemmu d-differenza bejn is-sessi fil-qasam tal-kura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Illi persuna tirnexxi fix-xogħol filwaqt li timmaniġġja r-responsabbiltajiet ta’ kura fid-dar hija sfida, speċjalment għan-nisa. </w:t>
      </w:r>
      <w:r>
        <w:rPr>
          <w:rFonts w:ascii="Times New Roman" w:hAnsi="Times New Roman"/>
          <w:noProof/>
        </w:rPr>
        <w:t>In-nisa ta’ spiss jallinjaw id-deċiżjoni tagħhom li jaħdmu, u kif jaħdmu, mar-responsabbiltajiet ta’ kura tagħhom u b’jekk u kif dawn id-doveri jkunu kondiviżi ma’ sieħeb. Din hija sfida partikolari għal ġenituri waħedhom, li ħafna minnhom huma nisa</w:t>
      </w:r>
      <w:r>
        <w:rPr>
          <w:rStyle w:val="FootnoteReference"/>
          <w:rFonts w:ascii="Times New Roman" w:hAnsi="Times New Roman" w:cs="Times New Roman"/>
          <w:noProof/>
        </w:rPr>
        <w:footnoteReference w:id="61"/>
      </w:r>
      <w:r>
        <w:rPr>
          <w:rFonts w:ascii="Times New Roman" w:hAnsi="Times New Roman"/>
          <w:noProof/>
        </w:rPr>
        <w:t>, u għal persuni li jgħixu f’żoni rurali remoti li għalihom ħafna drabi hemm nuqqas ta’ soluzzjonijiet ta’ appoġġ. In-nisa għandhom ukoll piż sproporzjonat ta’ xogħol bla ħlas, li jikkostitwixxi sehem sinifikanti ta’ attività ekonomika.</w:t>
      </w:r>
      <w:r>
        <w:rPr>
          <w:rStyle w:val="FootnoteReference"/>
          <w:rFonts w:ascii="Times New Roman" w:hAnsi="Times New Roman" w:cs="Times New Roman"/>
          <w:noProof/>
        </w:rPr>
        <w:footnoteReference w:id="62"/>
      </w:r>
      <w:r>
        <w:rPr>
          <w:rFonts w:ascii="Times New Roman" w:hAnsi="Times New Roman"/>
          <w:noProof/>
        </w:rPr>
        <w:t xml:space="preserve"> 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Huwa kruċjali li jkun hemm qsim ugwali ta’ responsabbiltajiet ta’ kura fid-dar, kif inhija d-disponibbiltà tal-kura tat-tfal, tal-kura soċjali u tas-servizzi domestiċi</w:t>
      </w:r>
      <w:r>
        <w:rPr>
          <w:rFonts w:ascii="Times New Roman" w:hAnsi="Times New Roman"/>
          <w:noProof/>
        </w:rPr>
        <w:t>, b’ mod partikolari għall-ġenituri waħedhom</w:t>
      </w:r>
      <w:r>
        <w:rPr>
          <w:rStyle w:val="FootnoteReference"/>
          <w:rFonts w:ascii="Times New Roman" w:hAnsi="Times New Roman" w:cs="Times New Roman"/>
          <w:noProof/>
        </w:rPr>
        <w:footnoteReference w:id="63"/>
      </w:r>
      <w:r>
        <w:rPr>
          <w:rFonts w:ascii="Times New Roman" w:hAnsi="Times New Roman"/>
          <w:noProof/>
        </w:rPr>
        <w:t>. Aċċess insuffiċjenti għal servizzi tal-kura formali ta’ kwalità u bi prezz raġonevoli huwa wieħed mill-muturi ewlenin tal-inugwaljanza bejn is-sessi fis-suq tax-xogħol</w:t>
      </w:r>
      <w:r>
        <w:rPr>
          <w:rStyle w:val="FootnoteReference"/>
          <w:rFonts w:ascii="Times New Roman" w:eastAsia="Times New Roman" w:hAnsi="Times New Roman" w:cs="Times New Roman"/>
          <w:noProof/>
        </w:rPr>
        <w:footnoteReference w:id="64"/>
      </w:r>
      <w:r>
        <w:rPr>
          <w:rFonts w:ascii="Times New Roman" w:hAnsi="Times New Roman"/>
          <w:noProof/>
        </w:rPr>
        <w:t>. L-investiment fis-servizzi tal-kura huwa għalhekk importanti biex jappoġġja l-parteċipazzjoni tan-nisa f’xogħol imħallas u l-iżvilupp professjonali tagħhom. Għandu wkoll potenzjal għall-ħolqien tal-impjiegi kemm għan-nisa kif ukoll għall-irġiel.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59450" cy="1066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nder-care_M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miri ta’ Barċellona</w:t>
      </w:r>
      <w:r>
        <w:rPr>
          <w:rStyle w:val="FootnoteReference"/>
          <w:rFonts w:ascii="Times New Roman" w:hAnsi="Times New Roman" w:cs="Times New Roman"/>
          <w:noProof/>
        </w:rPr>
        <w:footnoteReference w:id="65"/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b/>
          <w:noProof/>
        </w:rPr>
        <w:t>għall-forniment ta’ arranġamenti ta’ edukazzjoni u kura bikrija tat-tfa</w:t>
      </w:r>
      <w:r>
        <w:rPr>
          <w:rFonts w:ascii="Times New Roman" w:hAnsi="Times New Roman"/>
          <w:noProof/>
        </w:rPr>
        <w:t>l fil-biċċa l-kbira jintlaħqu, iżda xi Stati Membri għadhom lura b’mod sinifikanti.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>Għalhekk, il-Kummissjoni se tipproponi li tirrevedi l-miri ta’ Barċellona biex tiżgura aktar konverġenza ’l fuq fost l-Istati Membri tal-edukazzjoni u l-kura bikrija tat-tfal.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 xml:space="preserve">Barra minn hekk, il-proposta tal-Kummissjoni għal </w:t>
      </w:r>
      <w:r>
        <w:rPr>
          <w:rFonts w:ascii="Times New Roman" w:hAnsi="Times New Roman"/>
          <w:b/>
          <w:noProof/>
        </w:rPr>
        <w:t>Garanzija għat-Tfal</w:t>
      </w:r>
      <w:r>
        <w:rPr>
          <w:rFonts w:ascii="Times New Roman" w:hAnsi="Times New Roman"/>
          <w:noProof/>
        </w:rPr>
        <w:t xml:space="preserve"> fl-2021 se tiffoka fuq l-ostakli l-aktar sinifikanti li jipprevjenu lit-tfal milli jaċċessaw is-servizzi meħtieġa għall-benesseri u l-iżvilupp personali tagħhom, sabiex jiġi eliminat iċ-ċirku ta’ faqar u jitnaqqsu l-inugwaljanzi.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se tkompli tappoġġa </w:t>
      </w:r>
      <w:r>
        <w:rPr>
          <w:rFonts w:ascii="Times New Roman" w:hAnsi="Times New Roman"/>
          <w:b/>
          <w:noProof/>
        </w:rPr>
        <w:t>l-ħidma tal-Istati Membri dwar it-titjib tad-disponibbiltà u l-affordabbiltà ta’ servizzi ta’ kura ta’ kwalità</w:t>
      </w:r>
      <w:r>
        <w:rPr>
          <w:rFonts w:ascii="Times New Roman" w:hAnsi="Times New Roman"/>
          <w:noProof/>
        </w:rPr>
        <w:t xml:space="preserve"> għat-tfal u dipendenti oħra permezz ta’ investimenti mill-Fond Soċjali Ewropew Plus, il-Fond Ewropew għall-Iżvilupp Reġjonali, il-programm InvestEU u l-Fond Agrikolu Ewropew għall-Iżvilupp Rurali.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Fi tmiem l-2020, il-Kummissjoni se tniedi l-proċess ta’ konsultazzjoni għal </w:t>
      </w:r>
      <w:r>
        <w:rPr>
          <w:rFonts w:ascii="Times New Roman" w:hAnsi="Times New Roman"/>
          <w:b/>
          <w:noProof/>
        </w:rPr>
        <w:t>Green Paper dwar it-Tixjiħ</w:t>
      </w:r>
      <w:r>
        <w:rPr>
          <w:rFonts w:ascii="Times New Roman" w:hAnsi="Times New Roman"/>
          <w:noProof/>
        </w:rPr>
        <w:t xml:space="preserve"> b’enfasi fuq il-kura fit-tul, il-pensjonijiet u t-tixjiħ attiv.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>
        <w:tc>
          <w:tcPr>
            <w:tcW w:w="9212" w:type="dxa"/>
          </w:tcPr>
          <w:p>
            <w:p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Minbarra l-azzjonijiet tal-Kummissjoni elenkati hawn fuq, il-Kummissjoni tappella lill-Istati Membri biex: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jittrasponu d-Direttiva dwar il-Bilanċ bejn ix-Xogħol u l-Ħajja Privata u jimplimentaw kif suppost il-liġi tal-UE dwar l-ugwaljanza bejn is-sessi u l-liġi tax-xogħol</w:t>
            </w:r>
            <w:r>
              <w:rPr>
                <w:rStyle w:val="FootnoteReference"/>
                <w:rFonts w:ascii="Times New Roman" w:hAnsi="Times New Roman" w:cs="Times New Roman"/>
                <w:noProof/>
              </w:rPr>
              <w:footnoteReference w:id="66"/>
            </w:r>
            <w:r>
              <w:rPr>
                <w:rFonts w:ascii="Times New Roman" w:hAnsi="Times New Roman"/>
                <w:noProof/>
              </w:rPr>
              <w:t>;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i/>
                <w:noProof/>
              </w:rPr>
            </w:pPr>
            <w:r>
              <w:rPr>
                <w:rFonts w:ascii="Times New Roman" w:hAnsi="Times New Roman"/>
                <w:noProof/>
              </w:rPr>
              <w:t>jagħtu segwitu għall-konklużjonijiet tal-Kunsill ta’ Ġunju 2019 “</w:t>
            </w:r>
            <w:r>
              <w:rPr>
                <w:rFonts w:ascii="Times New Roman" w:hAnsi="Times New Roman"/>
                <w:bCs/>
                <w:noProof/>
              </w:rPr>
              <w:t>L-eliminazzjoni tad-Diskrepanza fil-Pagi bejn is-Sessi: “Politiki u Miżuri Ewlenin”</w:t>
            </w:r>
            <w:r>
              <w:rPr>
                <w:rFonts w:ascii="Times New Roman" w:hAnsi="Times New Roman"/>
                <w:noProof/>
              </w:rPr>
              <w:t>;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i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jiżguraw investimenti adegwati fis-servizzi ta’ edukazzjoni, fis-servizzi ta’ kura bikrija tat-tfal u servizzi ta’ kura fit-tul inkluż permezz ta’ finanzjament disponibbli tal-UE; kif ukoll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jimplimentaw id-Dikjarazzjoni Ministerjali ta’ impenn dwar “in-Nisa fid-Dinja Diġitali”.</w:t>
            </w:r>
          </w:p>
          <w:p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>
      <w:pPr>
        <w:spacing w:line="100" w:lineRule="atLeast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noProof/>
          <w:sz w:val="28"/>
          <w:szCs w:val="28"/>
        </w:rPr>
        <w:tab/>
        <w:t>Tmexxija b’mod ugwali fis-soċjetà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noProof/>
        </w:rPr>
        <w:t xml:space="preserve">Il-kumpaniji, il-komunitajiet u l-pajjiżi jenħtieġ li jitmexxew kemm min-nisa kif ukoll mill-irġiel, fid-diversità kollha tagħhom. Kemm jekk int mara kif ukoll jekk int raġel ma għandux jinfluwenza l-karriera tiegħek. 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Il-kisba ta’ bilanċ bejn is-sessi fit-teħid ta’ deċiżjonijiet u fil-politika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</w:rPr>
        <w:t>Għad hemm wisq ftit wisq nisa f’pożizzjonijiet ta’ tmexxija. Kemm fil-politika kif ukoll fl-aġenziji tal-gvern, fl-ogħla qrati jew fuq il-bordijiet tal-kumpaniji. Dan huwa l-każ anki jekk l-ugwaljanza bejn is-sessi teżisti fil-livelli aktar baxxi. Jekk l-ogħla pożizzjonijiet jinżammu esklużivament mill-irġiel għal żmien twil, dan jifforma l-mudell ta’ reklutaġġ għas-suċċessuri, xi kultant biss minħabba preġudizzju mhux konxju.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Il-fatt li jkunu rappreżentati kemm in-nisa kif ukoll l-irġiel huwa kruċjali għal tmexxija b’suċċess. </w:t>
      </w:r>
      <w:r>
        <w:rPr>
          <w:rFonts w:ascii="Times New Roman" w:hAnsi="Times New Roman"/>
          <w:b/>
          <w:noProof/>
        </w:rPr>
        <w:t>Hija meħtieġa tmexxija inklużiva u varjata biex jissolvew l-isfidi kumplessi li jiffaċċjaw dawk li jieħdu d-deċiżjonijiet illum</w:t>
      </w:r>
      <w:r>
        <w:rPr>
          <w:rFonts w:ascii="Times New Roman" w:hAnsi="Times New Roman"/>
          <w:noProof/>
        </w:rPr>
        <w:t>. Aktar inklużjoni u aktar diversità hija essenzjali biex jitressqu ideat ġodda u approċċi innovattivi li jservu aħjar lis-soċjetà tal-UE dinamika u li tiffjorixxi. Li ċ-ċittadini minn sfondi kollha jitħallew jipparteċipaw b’mod sinifikanti fis-soċjetà hija prekundizzjoni meħtieġa għal demokrazija li tiffunzjona tajjeb u twassal għal tfassil ta’ politika aktar effettiva</w:t>
      </w:r>
      <w:r>
        <w:rPr>
          <w:rStyle w:val="FootnoteReference"/>
          <w:rFonts w:ascii="Times New Roman" w:hAnsi="Times New Roman" w:cs="Times New Roman"/>
          <w:noProof/>
        </w:rPr>
        <w:footnoteReference w:id="67"/>
      </w:r>
      <w:r>
        <w:rPr>
          <w:rFonts w:ascii="Times New Roman" w:hAnsi="Times New Roman"/>
          <w:noProof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59450" cy="8578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nder-balance-politics-M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Firxa wiesgħa ta’ talenti u ħiliet jikkontribwixxu għal teħid aħjar ta’ deċiżjonijiet u governanza korporattiva, u jixprunaw it-tkabbir ekonomiku.</w:t>
      </w:r>
      <w:r>
        <w:rPr>
          <w:rFonts w:ascii="Times New Roman" w:hAnsi="Times New Roman" w:cs="Times New Roman"/>
          <w:noProof/>
          <w:vertAlign w:val="superscript"/>
        </w:rPr>
        <w:footnoteReference w:id="68"/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>Minkejja li sar xi progress f’dawn l-aħħar snin, is-sottorappreżentanza tan-nisa f’pożizzjonijiet ta’ teħid ta’ deċiżjonijiet fin-negozji u fl-industrija tal-Ewropa għadha tippersisti</w:t>
      </w:r>
      <w:r>
        <w:rPr>
          <w:rStyle w:val="FootnoteReference"/>
          <w:rFonts w:ascii="Times New Roman" w:hAnsi="Times New Roman" w:cs="Times New Roman"/>
          <w:noProof/>
        </w:rPr>
        <w:footnoteReference w:id="69"/>
      </w:r>
      <w:r>
        <w:rPr>
          <w:noProof/>
        </w:rPr>
        <w:t>.</w:t>
      </w:r>
      <w:r>
        <w:rPr>
          <w:rFonts w:ascii="Times New Roman" w:hAnsi="Times New Roman"/>
          <w:noProof/>
        </w:rPr>
        <w:t xml:space="preserve">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Biex tgħin biex jitkisser is-saqaf tal-ħġieġ, il-Kummissjoni se tinsisti għall-adozzjoni tal-proposta tal-2012 għal </w:t>
      </w:r>
      <w:r>
        <w:rPr>
          <w:rFonts w:ascii="Times New Roman" w:hAnsi="Times New Roman"/>
          <w:b/>
          <w:noProof/>
        </w:rPr>
        <w:t>Direttiva dwar it-titjib tal-bilanċ bejn is-sessi fil-bordijiet korporattivi</w:t>
      </w:r>
      <w:r>
        <w:rPr>
          <w:rStyle w:val="FootnoteReference"/>
          <w:rFonts w:ascii="Times New Roman" w:hAnsi="Times New Roman" w:cs="Times New Roman"/>
          <w:noProof/>
        </w:rPr>
        <w:footnoteReference w:id="70"/>
      </w:r>
      <w:r>
        <w:rPr>
          <w:rFonts w:ascii="Times New Roman" w:hAnsi="Times New Roman"/>
          <w:noProof/>
        </w:rPr>
        <w:t xml:space="preserve"> li tistabbilixxi l-mira ta’ minimu ta’ 40 % tal-membri mhux eżekuttivi tas-sess l-anqas irrappreżentat fuq il-bordijiet tal-kumpaniji</w:t>
      </w:r>
      <w:r>
        <w:rPr>
          <w:rStyle w:val="FootnoteReference"/>
          <w:rFonts w:ascii="Times New Roman" w:hAnsi="Times New Roman" w:cs="Times New Roman"/>
          <w:noProof/>
        </w:rPr>
        <w:footnoteReference w:id="71"/>
      </w:r>
      <w:r>
        <w:rPr>
          <w:rFonts w:ascii="Times New Roman" w:hAnsi="Times New Roman"/>
          <w:noProof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noProof/>
        </w:rPr>
        <w:t>B’mod parallel, il-Kummissjoni se tiffaċilita l-iskambju ta’ prattiki tajbin li jindirizzaw il-bilanċ bejn is-sessi f’bordijiet eżekuttivi u pożizzjonijiet maniġerjali, li jieħdu l-eżempji ta’ proġetti nazzjonali jew reġjonali mmexxija minn gvernijiet, mis-soċjetà ċivili jew mis-settur privat. Il-</w:t>
      </w:r>
      <w:r>
        <w:rPr>
          <w:rFonts w:ascii="Times New Roman" w:hAnsi="Times New Roman"/>
          <w:b/>
          <w:noProof/>
        </w:rPr>
        <w:t>Pjattaforma tal-UE ta’ Karti dwar id-Diversità</w:t>
      </w:r>
      <w:r>
        <w:rPr>
          <w:rFonts w:ascii="Times New Roman" w:hAnsi="Times New Roman" w:cs="Times New Roman"/>
          <w:noProof/>
          <w:sz w:val="20"/>
          <w:szCs w:val="20"/>
          <w:vertAlign w:val="superscript"/>
        </w:rPr>
        <w:footnoteReference w:id="72"/>
      </w:r>
      <w:r>
        <w:rPr>
          <w:rFonts w:ascii="Times New Roman" w:hAnsi="Times New Roman"/>
          <w:noProof/>
        </w:rPr>
        <w:t xml:space="preserve"> se sservi bħala pjattaforma għall-iskambju. Il-Kummissjoni se tkompli tikkoopera ma’ proġetti madwar l-UE bħall-Indiċi Ewropew għad-Diversità bejn is-Sessi</w:t>
      </w:r>
      <w:r>
        <w:rPr>
          <w:rStyle w:val="FootnoteReference"/>
          <w:rFonts w:ascii="Times New Roman" w:hAnsi="Times New Roman" w:cs="Times New Roman"/>
          <w:noProof/>
        </w:rPr>
        <w:footnoteReference w:id="73"/>
      </w:r>
      <w:r>
        <w:rPr>
          <w:rFonts w:ascii="Times New Roman" w:hAnsi="Times New Roman"/>
          <w:noProof/>
        </w:rPr>
        <w:t xml:space="preserve">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Opportunità ugwali fil-parteċipazzjoni hija essenzjali għal demokrazija rappreżentattiva fil-livelli kollha – Ewropej, nazzjonali, reġjonali u lokali</w:t>
      </w:r>
      <w:r>
        <w:rPr>
          <w:rFonts w:ascii="Times New Roman" w:hAnsi="Times New Roman"/>
          <w:noProof/>
        </w:rPr>
        <w:t xml:space="preserve">. Il-Kummissjoni se tippromwovi l-parteċipazzjoni tan-nisa bħala votanti u kandidati </w:t>
      </w:r>
      <w:r>
        <w:rPr>
          <w:rFonts w:ascii="Times New Roman" w:hAnsi="Times New Roman"/>
          <w:b/>
          <w:noProof/>
        </w:rPr>
        <w:t>fl-elezzjonijiet tal-Parlament Ewropew tal-2024</w:t>
      </w:r>
      <w:r>
        <w:rPr>
          <w:rFonts w:ascii="Times New Roman" w:hAnsi="Times New Roman"/>
          <w:noProof/>
        </w:rPr>
        <w:t>, f’kollaborazzjoni mal-Parlament Ewropew, mal-parlamenti nazzjonali u mas-soċjetà ċivili, inkluż permezz ta’ finanzjament u l-promozzjoni tal-aħjar prattiki. Il-partiti politiċi Ewropej li jitolbu finanzjament mill-UE huma mħeġġa jkunu trasparenti dwar il-bilanċ bejn is-sessi tal-membri tal-partit politku tagħhom</w:t>
      </w:r>
      <w:r>
        <w:rPr>
          <w:rStyle w:val="FootnoteReference"/>
          <w:rFonts w:ascii="Times New Roman" w:hAnsi="Times New Roman" w:cs="Times New Roman"/>
          <w:noProof/>
        </w:rPr>
        <w:footnoteReference w:id="74"/>
      </w:r>
      <w:r>
        <w:rPr>
          <w:rFonts w:ascii="Times New Roman" w:hAnsi="Times New Roman"/>
          <w:noProof/>
        </w:rPr>
        <w:t xml:space="preserve">.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59450" cy="953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mission-mep-M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Jenħtieġ li l-istituzzjonijiet u l-korpi tal-UE ma jkunux eżenti</w:t>
      </w:r>
      <w:r>
        <w:rPr>
          <w:rFonts w:ascii="Times New Roman" w:hAnsi="Times New Roman"/>
          <w:noProof/>
        </w:rPr>
        <w:t xml:space="preserve"> milli jiżguraw bilanċ bejn is-sessi f’pożizzjonijiet ta’ tmexxija. Il-Kummissjoni se tmexxi bl-eżempju.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Bis-saħħa tas-sejħa qawwija tal-President von der Leyen biex tinkiseb </w:t>
      </w:r>
      <w:r>
        <w:rPr>
          <w:rFonts w:ascii="Times New Roman" w:hAnsi="Times New Roman"/>
          <w:b/>
          <w:noProof/>
        </w:rPr>
        <w:t>parità bejn is-sessi fil-Kulleġġ tal-Kummissarji</w:t>
      </w:r>
      <w:r>
        <w:rPr>
          <w:rFonts w:ascii="Times New Roman" w:hAnsi="Times New Roman"/>
          <w:noProof/>
        </w:rPr>
        <w:t xml:space="preserve">, s’issa hija għandha l-ogħla numru ta’ Kummissarji nisa. Il-Kummissjoni għandha l-għan li tilħaq </w:t>
      </w:r>
      <w:r>
        <w:rPr>
          <w:rFonts w:ascii="Times New Roman" w:hAnsi="Times New Roman"/>
          <w:b/>
          <w:bCs/>
          <w:noProof/>
        </w:rPr>
        <w:t>bilanċ bejn is-sessi ta’ 50 %</w:t>
      </w:r>
      <w:r>
        <w:rPr>
          <w:rFonts w:ascii="Times New Roman" w:hAnsi="Times New Roman"/>
          <w:noProof/>
        </w:rPr>
        <w:t xml:space="preserve"> fil-livelli kollha tal-ġestjoni tagħha sa tmiem l-2024</w:t>
      </w:r>
      <w:r>
        <w:rPr>
          <w:rStyle w:val="FootnoteReference"/>
          <w:rFonts w:ascii="Times New Roman" w:hAnsi="Times New Roman" w:cs="Times New Roman"/>
          <w:noProof/>
        </w:rPr>
        <w:footnoteReference w:id="75"/>
      </w:r>
      <w:r>
        <w:rPr>
          <w:rFonts w:ascii="Times New Roman" w:hAnsi="Times New Roman"/>
          <w:noProof/>
        </w:rPr>
        <w:t>. Il-miżuri ta’ appoġġ se jinkludu miri kwantitattivi għall-ħatriet u programmi ta’ żvilupp ta’ tmexxija tan-nisa</w:t>
      </w:r>
      <w:r>
        <w:rPr>
          <w:rStyle w:val="FootnoteReference"/>
          <w:rFonts w:ascii="Times New Roman" w:hAnsi="Times New Roman" w:cs="Times New Roman"/>
          <w:noProof/>
        </w:rPr>
        <w:footnoteReference w:id="76"/>
      </w:r>
      <w:r>
        <w:rPr>
          <w:rFonts w:ascii="Times New Roman" w:hAnsi="Times New Roman"/>
          <w:noProof/>
        </w:rPr>
        <w:t xml:space="preserve">. Il-Kummissjoni se żżid ukoll l-isforzi biex jintlaħaq sehem akbar ta’ </w:t>
      </w:r>
      <w:r>
        <w:rPr>
          <w:rFonts w:ascii="Times New Roman" w:hAnsi="Times New Roman"/>
          <w:b/>
          <w:noProof/>
        </w:rPr>
        <w:t>maniġers nisa fl-aġenziji tal-UE</w:t>
      </w:r>
      <w:r>
        <w:rPr>
          <w:rStyle w:val="FootnoteReference"/>
          <w:rFonts w:ascii="Times New Roman" w:hAnsi="Times New Roman" w:cs="Times New Roman"/>
          <w:noProof/>
        </w:rPr>
        <w:footnoteReference w:id="77"/>
      </w:r>
      <w:r>
        <w:rPr>
          <w:rFonts w:ascii="Times New Roman" w:hAnsi="Times New Roman"/>
          <w:noProof/>
        </w:rPr>
        <w:t xml:space="preserve">, u se tiżgura rappreżentanza bbilanċjata bejn is-sessi fost il-kelliema u l-membri tal-bord tal-konferenzi li torganizza. </w:t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se tappoġġa lill-Istati Membri fl-iżvilupp u fl-implimentazzjoni ta’ strateġiji aktar effettivi </w:t>
      </w:r>
      <w:r>
        <w:rPr>
          <w:rFonts w:ascii="Times New Roman" w:hAnsi="Times New Roman"/>
          <w:b/>
          <w:noProof/>
        </w:rPr>
        <w:t>biex jiżdied in-numru ta’ nisa f’pożizzjonijiet ta’ teħid ta’ deċiżjonijiet</w:t>
      </w:r>
      <w:r>
        <w:rPr>
          <w:rFonts w:ascii="Times New Roman" w:hAnsi="Times New Roman"/>
          <w:noProof/>
        </w:rPr>
        <w:t>, inkluż permezz tal-Programm ta’ Tagħlim Reċiproku dwar l-Ugwaljanza bejn is-Sessi</w:t>
      </w:r>
      <w:r>
        <w:rPr>
          <w:rStyle w:val="FootnoteReference"/>
          <w:rFonts w:ascii="Times New Roman" w:hAnsi="Times New Roman" w:cs="Times New Roman"/>
          <w:noProof/>
        </w:rPr>
        <w:footnoteReference w:id="78"/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Il-Kummissjoni </w:t>
      </w:r>
      <w:r>
        <w:rPr>
          <w:rFonts w:ascii="Times New Roman" w:hAnsi="Times New Roman"/>
          <w:b/>
          <w:noProof/>
        </w:rPr>
        <w:t xml:space="preserve">se xxerred ukoll </w:t>
      </w:r>
      <w:r>
        <w:rPr>
          <w:rFonts w:ascii="Times New Roman" w:hAnsi="Times New Roman"/>
          <w:b/>
          <w:i/>
          <w:noProof/>
        </w:rPr>
        <w:t>data</w:t>
      </w:r>
      <w:r>
        <w:rPr>
          <w:rFonts w:ascii="Times New Roman" w:hAnsi="Times New Roman"/>
          <w:b/>
          <w:noProof/>
        </w:rPr>
        <w:t xml:space="preserve"> u analiżi tax-xejriet dwar ir-rappreżentanza tan-nisa u tal-irġiel f’pożizzjonijiet ta’ teħid ta’ deċiżjonijiet</w:t>
      </w:r>
      <w:r>
        <w:rPr>
          <w:rFonts w:ascii="Times New Roman" w:hAnsi="Times New Roman"/>
          <w:noProof/>
        </w:rPr>
        <w:t xml:space="preserve"> f’kooperazzjoni mal-Istitut Ewropew għall-Ugwaljanza bejn is-Sessi (EIGE, European Institute for Gender Equality).</w:t>
      </w:r>
    </w:p>
    <w:p>
      <w:pPr>
        <w:rPr>
          <w:noProof/>
        </w:rPr>
      </w:pPr>
    </w:p>
    <w:p>
      <w:pPr>
        <w:rPr>
          <w:noProof/>
        </w:rPr>
      </w:pPr>
    </w:p>
    <w:p>
      <w:pPr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>
        <w:tc>
          <w:tcPr>
            <w:tcW w:w="9212" w:type="dxa"/>
          </w:tcPr>
          <w:p>
            <w:pPr>
              <w:pStyle w:val="ListParagraph"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Minbarra l-azzjonijiet tal-Kummissjoni elenkati hawn fuq, il-Kummissjoni tappella: </w:t>
            </w:r>
          </w:p>
          <w:p>
            <w:pPr>
              <w:pStyle w:val="ListParagraph"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lill-Parlament Ewropew u lill-Kunsill biex: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jadottaw il-proposta għal Direttiva dwar it-titjib tal-bilanċ bejn is-sessi fil-bordijiet korporattivi; u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jadottaw miżuri biex itejbu l-bilanċ bejn is-sessi fil-livelli kollha tal-maniġment tagħhom u f’pożizzjonijiet ta’ tmexxija.</w:t>
            </w:r>
          </w:p>
          <w:p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lill-Istati Membri biex: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jittrasponu u jimplimentaw id-Direttiva dwar it-titjib tal-bilanċ bejn is-sessi fil-bordijiet korporattivi, ġaladarba tkun ġiet adottata; u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jiżviluppaw u jimplimentaw strateġiji biex jiżdied in-numru ta’ nisa f’pożizzjonijiet ta’ teħid ta’ deċiżjonijiet fil-politika u fit-tfassil tal-politika.</w:t>
            </w:r>
          </w:p>
          <w:p>
            <w:pPr>
              <w:pStyle w:val="ListParagraph"/>
              <w:spacing w:after="120"/>
              <w:jc w:val="both"/>
              <w:rPr>
                <w:noProof/>
              </w:rPr>
            </w:pPr>
          </w:p>
        </w:tc>
      </w:tr>
    </w:tbl>
    <w:p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4. </w:t>
      </w:r>
      <w:r>
        <w:rPr>
          <w:rFonts w:ascii="Times New Roman" w:hAnsi="Times New Roman"/>
          <w:b/>
          <w:noProof/>
          <w:sz w:val="28"/>
          <w:szCs w:val="28"/>
        </w:rPr>
        <w:tab/>
        <w:t>Integrazzjoni tal-ugwaljanza bejn is-sessi u perspettiva intersezzjonali fil-politiki tal-UE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L-isfidi ewlenin li qed jaffettwaw l-UE llum – inklużi t-tranżizzjonijiet ekoloġiċi u diġitali u l-bidla demografika – kollha għandhom dimensjoni tal-ġeneru</w:t>
      </w:r>
      <w:r>
        <w:rPr>
          <w:rFonts w:ascii="Times New Roman" w:hAnsi="Times New Roman"/>
          <w:noProof/>
        </w:rPr>
        <w:t>. L-inklużjoni ta’ perspettiva tal-ġeneru fil-politiki u fil-proċessi kollha tal-UE hija essenzjali biex jintlaħaq l-għan tal-ugwaljanza bejn is-sessi.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L-integrazzjoni tal-ugwaljanza bejn is-sessi tiżgura li l-politiki u l-programmi jimmassimizzaw il-potenzjal tan-nisa u l-irġiel kollha, il-bniet u s-subien, fid-diversità kollha tagħhom. L-għan huwa d-distribuzzjoni mill-ġdid tal-poter, tal-influwenza u tar-riżorsi b’mod ġust u ugwali bejn is-sessi, l-indirizzar tal-inugwaljanza, il-promozzjoni tal-ġustizzja u l-ħolqien ta’ opportunità.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</w:t>
      </w:r>
      <w:r>
        <w:rPr>
          <w:rFonts w:ascii="Times New Roman" w:hAnsi="Times New Roman"/>
          <w:b/>
          <w:noProof/>
        </w:rPr>
        <w:t>se tintegra perspettiva ta’ ugwaljanza bejn is-sessi fl-inizjattivi ewlenin kollha tal-Kummissjoni matul il-mandat attwali</w:t>
      </w:r>
      <w:r>
        <w:rPr>
          <w:rFonts w:ascii="Times New Roman" w:hAnsi="Times New Roman"/>
          <w:noProof/>
        </w:rPr>
        <w:t xml:space="preserve">, iffaċilitat bil-ħatra tal-ewwel Kummissarju għall-Ugwaljanza, bħala portafoll awtonomu, u bil-ħolqien ta’ </w:t>
      </w:r>
      <w:r>
        <w:rPr>
          <w:rFonts w:ascii="Times New Roman" w:hAnsi="Times New Roman"/>
          <w:b/>
          <w:noProof/>
        </w:rPr>
        <w:t>Task Force għall-Ugwaljanza</w:t>
      </w:r>
      <w:r>
        <w:rPr>
          <w:rStyle w:val="FootnoteReference"/>
          <w:rFonts w:ascii="Times New Roman" w:hAnsi="Times New Roman" w:cs="Times New Roman"/>
          <w:noProof/>
        </w:rPr>
        <w:footnoteReference w:id="79"/>
      </w:r>
      <w:r>
        <w:rPr>
          <w:rFonts w:ascii="Times New Roman" w:hAnsi="Times New Roman"/>
          <w:noProof/>
        </w:rPr>
        <w:t xml:space="preserve"> magħmula minn rappreżentanti tas-servizzi kollha tal-Kummissjoni u tas-Servizz Ewropew għall-Azzjoni Esterna. It-Task Force se tiżgura l-implimentazzjoni tal-integrazzjoni tal-ugwaljanza, inkluż l-ugwaljanza bejn is-sessi, fil-livell operazzjonali u tekniku.</w:t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Bħala eżempju, il-politiki li ġejjin taħt il-</w:t>
      </w:r>
      <w:r>
        <w:rPr>
          <w:rFonts w:ascii="Times New Roman" w:hAnsi="Times New Roman"/>
          <w:b/>
          <w:noProof/>
        </w:rPr>
        <w:t>Patt Ekoloġiku Ewropew</w:t>
      </w:r>
      <w:r>
        <w:rPr>
          <w:rFonts w:ascii="Times New Roman" w:hAnsi="Times New Roman"/>
          <w:noProof/>
        </w:rPr>
        <w:t>, bħal pereżempju l-</w:t>
      </w:r>
      <w:r>
        <w:rPr>
          <w:rFonts w:ascii="Times New Roman" w:hAnsi="Times New Roman"/>
          <w:b/>
          <w:noProof/>
        </w:rPr>
        <w:t>Mewġa ta’ Rinnovazzjoni tal-Bini</w:t>
      </w:r>
      <w:r>
        <w:rPr>
          <w:rFonts w:ascii="Times New Roman" w:hAnsi="Times New Roman"/>
          <w:noProof/>
        </w:rPr>
        <w:t xml:space="preserve"> jew l-</w:t>
      </w:r>
      <w:r>
        <w:rPr>
          <w:rFonts w:ascii="Times New Roman" w:hAnsi="Times New Roman"/>
          <w:b/>
          <w:noProof/>
        </w:rPr>
        <w:t>Istrateġija tal-UE dwar l-Adattament għall-Klima</w:t>
      </w:r>
      <w:r>
        <w:rPr>
          <w:rFonts w:ascii="Times New Roman" w:hAnsi="Times New Roman"/>
          <w:noProof/>
        </w:rPr>
        <w:t>, jistgħu jkollhom impatt fuq in-nisa b’mod differenti mill-irġiel</w:t>
      </w:r>
      <w:r>
        <w:rPr>
          <w:rStyle w:val="FootnoteReference"/>
          <w:rFonts w:ascii="Times New Roman" w:hAnsi="Times New Roman" w:cs="Times New Roman"/>
          <w:noProof/>
        </w:rPr>
        <w:footnoteReference w:id="80"/>
      </w:r>
      <w:r>
        <w:rPr>
          <w:rFonts w:ascii="Times New Roman" w:hAnsi="Times New Roman"/>
          <w:noProof/>
        </w:rPr>
        <w:t>. Fir-rigward tat-</w:t>
      </w:r>
      <w:r>
        <w:rPr>
          <w:rFonts w:ascii="Times New Roman" w:hAnsi="Times New Roman"/>
          <w:b/>
          <w:noProof/>
        </w:rPr>
        <w:t>tibdil fil-klima</w:t>
      </w:r>
      <w:r>
        <w:rPr>
          <w:rFonts w:ascii="Times New Roman" w:hAnsi="Times New Roman"/>
          <w:noProof/>
        </w:rPr>
        <w:t>, ir-rwol tan-nisa żgħażagħ b’mod partikolari kien notevoli li rriżulta fi spinta għall-bidla. In-nisa u l-irġiel mhumiex affettwati bl-istess mod mill-politiki ekoloġiċi li jittrattaw it-tibdil fil-klima (hemm inqas possibbiltajiet għan-nisa bħala rifuġjati minħabba l-klima), jew it-tranżizzjoni nadifa (hemm aktar nisa fil-faqar enerġetiku), it-trasport ħieles mill-emissjonijiet (aktar nisa jużaw it-trasport pubbliku). Għalhekk, l-indirizzar tad-dimensjoni tas-sessi jista’ jkollu rwol ewlieni fl-ingranaġġ tal-potenzjal sħiħ ta’ dawn il-politiki.</w:t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Eżempju ieħor huwa dak tad-</w:t>
      </w:r>
      <w:r>
        <w:rPr>
          <w:rFonts w:ascii="Times New Roman" w:hAnsi="Times New Roman"/>
          <w:b/>
          <w:noProof/>
        </w:rPr>
        <w:t>diġitalizzazzjoni</w:t>
      </w:r>
      <w:r>
        <w:rPr>
          <w:rFonts w:ascii="Times New Roman" w:hAnsi="Times New Roman"/>
          <w:noProof/>
        </w:rPr>
        <w:t>, li se tbiddel b’mod fundamentali l-ħajja tagħna u dik ta’ wliedna. F’din it-tranżizzjoni, huwa kruċjali li n-nisa jgħinu biex jinbena dak il-futur u li ħafna aktar bniet minn attwalment jiksbu ħiliet fl-IT biex ikunu jistgħu jaqdu rwol fit-tiswir tad-dinja diġitali ta’ għada.</w:t>
      </w:r>
    </w:p>
    <w:p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t>Fi kwistjonijiet ta’ saħħa</w:t>
      </w:r>
      <w:r>
        <w:rPr>
          <w:rFonts w:ascii="Times New Roman" w:hAnsi="Times New Roman"/>
          <w:bCs/>
          <w:noProof/>
        </w:rPr>
        <w:t xml:space="preserve">, in-nisa u l-irġiel jesperjenzaw riskji għas-saħħa u mard marbut mas-sess. Dimensjoni tas-sessi se tiġi integrata fil-Pjan Ewropew għall-Ġlieda Kontra l-Kanċer li se jitnieda fl-2020. </w:t>
      </w:r>
      <w:r>
        <w:rPr>
          <w:rFonts w:ascii="Times New Roman" w:hAnsi="Times New Roman"/>
          <w:noProof/>
        </w:rPr>
        <w:t xml:space="preserve">Se jiġu ffaċilitati l-iskambji regolari ta’ prattiki tajbin bejn l-Istati Membri u l-partijiet interessati dwar l-aspetti tas-saħħa tal-ġeneru, inkluż dwar is-saħħa u d-drittijiet sesswali u riproduttivi. </w:t>
      </w:r>
    </w:p>
    <w:p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</w:t>
      </w:r>
      <w:r>
        <w:rPr>
          <w:rFonts w:ascii="Times New Roman" w:hAnsi="Times New Roman"/>
          <w:b/>
          <w:noProof/>
        </w:rPr>
        <w:t>Aġenda tal-UE dwar id-Drogi</w:t>
      </w:r>
      <w:r>
        <w:rPr>
          <w:rFonts w:ascii="Times New Roman" w:hAnsi="Times New Roman"/>
          <w:noProof/>
        </w:rPr>
        <w:t xml:space="preserve"> 2021-2025 se tiġi adottata fl-2020, u se tindirizza wkoll l-isfidi speċifiċi mal-ġeneru li jħabbtu wiċċhom magħhom in-nisa u l-bniet f’abbuż ta’ sustanza. 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</w:t>
      </w:r>
      <w:r>
        <w:rPr>
          <w:rFonts w:ascii="Times New Roman" w:hAnsi="Times New Roman"/>
          <w:b/>
          <w:noProof/>
        </w:rPr>
        <w:t>intersezzjonalità tas-sess ma’ raġunijiet oħra ta’ diskriminazzjoni se jiġu indirizzati fil-politiki kollha tal-UE</w:t>
      </w:r>
      <w:r>
        <w:rPr>
          <w:rFonts w:ascii="Times New Roman" w:hAnsi="Times New Roman"/>
          <w:noProof/>
        </w:rPr>
        <w:t>. In-nisa huma grupp eteroġenju u jistgħu jiffaċċjaw diskriminazzjoni intersezzjonali abbażi ta’ diversi karatteristiċi personali. Pereżempju, mara migrant b’diżabbiltà tista’ tħabbat wiċċha ma’ diskriminazzjoni fuq tliet raġunijiet jew aktar. Jenħtieġ għalhekk li l-liġi, il-politiki tal-UE u l-implimentazzjoni tagħhom iwieġbu għall-ħtiġijiet u għaċ-ċirkostanzi speċifiċi tan-nisa u tal-bniet fi gruppi differenti. Il-Pjan ta’ Azzjoni li jmiss dwar l-Integrazzjoni u l-Inklużjoni u l-oqfsa strateġiċi tal-UE dwar id-diżabbiltà, il-persuni LGBTI+, l-inklużjoni tar-Rom u d-drittijiet tat-tfal se jkunu marbuta ma’ din l-istrateġija u ma’ xulxin. Barra minn hekk, il-perspettiva intersezzjonali dejjem se tiggwida l-politiki dwar l-ugwaljanza bejn is-sessi.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5. </w:t>
      </w:r>
      <w:r>
        <w:rPr>
          <w:rFonts w:ascii="Times New Roman" w:hAnsi="Times New Roman"/>
          <w:b/>
          <w:noProof/>
          <w:sz w:val="28"/>
          <w:szCs w:val="28"/>
        </w:rPr>
        <w:tab/>
        <w:t>Azzjonijiet ta’ finanzjament biex isir progress fl-ugwaljanza bejn is-sessi fl-UE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Il-proposti tal-Kummissjoni għall-Qafas Finanzjarju Pluriennali (QFP) jiżguraw l-integrazzjoni ta’ dimensjoni tal-ġeneru fil-qafas finanzjarju kollu, u b’mod aktar speċifiku f’diversi strumenti ta’ finanzjament u ta’ garanzija baġitarja tal-UE, b’mod partikolari l-</w:t>
      </w:r>
      <w:r>
        <w:rPr>
          <w:rFonts w:ascii="Times New Roman" w:hAnsi="Times New Roman"/>
          <w:b/>
          <w:noProof/>
        </w:rPr>
        <w:t>Fond Soċjali Ewropew Plus</w:t>
      </w:r>
      <w:r>
        <w:rPr>
          <w:rFonts w:ascii="Times New Roman" w:hAnsi="Times New Roman"/>
          <w:noProof/>
        </w:rPr>
        <w:t xml:space="preserve">, </w:t>
      </w:r>
      <w:r>
        <w:rPr>
          <w:rFonts w:ascii="Times New Roman" w:hAnsi="Times New Roman"/>
          <w:b/>
          <w:noProof/>
        </w:rPr>
        <w:t>il-Fond Ewropew għall-Iżvilupp Reġjonali</w:t>
      </w:r>
      <w:r>
        <w:rPr>
          <w:rFonts w:ascii="Times New Roman" w:hAnsi="Times New Roman"/>
          <w:noProof/>
        </w:rPr>
        <w:t xml:space="preserve">, il-programm </w:t>
      </w:r>
      <w:r>
        <w:rPr>
          <w:rFonts w:ascii="Times New Roman" w:hAnsi="Times New Roman"/>
          <w:b/>
          <w:bCs/>
          <w:noProof/>
        </w:rPr>
        <w:t xml:space="preserve">Ewropa Kreattiva, </w:t>
      </w: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Fond Ewropew għall-Affarijiet Marittimi u s-Sajd</w:t>
      </w:r>
      <w:r>
        <w:rPr>
          <w:rFonts w:ascii="Times New Roman" w:hAnsi="Times New Roman"/>
          <w:noProof/>
        </w:rPr>
        <w:t>, il-</w:t>
      </w:r>
      <w:r>
        <w:rPr>
          <w:rFonts w:ascii="Times New Roman" w:hAnsi="Times New Roman"/>
          <w:b/>
          <w:noProof/>
        </w:rPr>
        <w:t>Fond ta’ Koeżjoni</w:t>
      </w:r>
      <w:r>
        <w:rPr>
          <w:rFonts w:ascii="Times New Roman" w:hAnsi="Times New Roman"/>
          <w:noProof/>
        </w:rPr>
        <w:t xml:space="preserve"> u l-</w:t>
      </w:r>
      <w:r>
        <w:rPr>
          <w:rFonts w:ascii="Times New Roman" w:hAnsi="Times New Roman"/>
          <w:b/>
          <w:noProof/>
        </w:rPr>
        <w:t>Programm InvestEU</w:t>
      </w:r>
      <w:r>
        <w:rPr>
          <w:rFonts w:ascii="Times New Roman" w:hAnsi="Times New Roman"/>
          <w:noProof/>
        </w:rPr>
        <w:t>. Il-finanzjament se jappoġġja azzjonijiet li jippromwovu l-parteċipazzjoni tan-nisa fis-suq tax-xogħol u l-bilanċ bejn ix-xogħol u l-ħajja privata, jinvesti f’faċilitajiet ta’ kura, jappoġġja l-intraprenditorija tan-nisa, jiġġieled is-segregazzjoni bejn is-sessi f’ċerti professjonijiet u jindirizza r-rappreżentanza żbilanċjata tal-bniet u tas-subien f’xi setturi tal-edukazzjoni u tat-taħriġ.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Ir-Regolament dwar id-Dispożizzjonijiet Komuni</w:t>
      </w:r>
      <w:r>
        <w:rPr>
          <w:rStyle w:val="FootnoteReference"/>
          <w:rFonts w:ascii="Times New Roman" w:hAnsi="Times New Roman" w:cs="Times New Roman"/>
          <w:noProof/>
        </w:rPr>
        <w:footnoteReference w:id="81"/>
      </w:r>
      <w:r>
        <w:rPr>
          <w:rFonts w:ascii="Times New Roman" w:hAnsi="Times New Roman"/>
          <w:noProof/>
        </w:rPr>
        <w:t xml:space="preserve"> propost jinkludi </w:t>
      </w:r>
      <w:r>
        <w:rPr>
          <w:rFonts w:ascii="Times New Roman" w:hAnsi="Times New Roman"/>
          <w:b/>
          <w:bCs/>
          <w:noProof/>
        </w:rPr>
        <w:t>“kundizzjonijiet ta’ faċilitazzjoni” speċifiċi</w:t>
      </w:r>
      <w:r>
        <w:rPr>
          <w:rFonts w:ascii="Times New Roman" w:hAnsi="Times New Roman"/>
          <w:noProof/>
        </w:rPr>
        <w:t xml:space="preserve">, li jirrikjedu li Stat Membru jkollu fis-seħħ </w:t>
      </w:r>
      <w:r>
        <w:rPr>
          <w:rFonts w:ascii="Times New Roman" w:hAnsi="Times New Roman"/>
          <w:b/>
          <w:noProof/>
        </w:rPr>
        <w:t>qafas strateġiku nazzjonali dwar l-ugwaljanza bejn is-sessi</w:t>
      </w:r>
      <w:r>
        <w:rPr>
          <w:rFonts w:ascii="Times New Roman" w:hAnsi="Times New Roman"/>
          <w:noProof/>
        </w:rPr>
        <w:t xml:space="preserve"> bħala prekundizzjoni biex isir użu mill-fondi meta jsir investiment fit-titjib tal-bilanċ bejn is-sessi fis-suq tax-xogħol, tal-bilanċ bejn ix-xogħol u l-ħajja privata jew l-infrastruttura tal-kura tat-tfal. </w:t>
      </w:r>
      <w:r>
        <w:rPr>
          <w:rFonts w:ascii="Times New Roman" w:hAnsi="Times New Roman"/>
          <w:b/>
          <w:noProof/>
        </w:rPr>
        <w:t>“Kundizzjoni ta’ faċilitazzjoni” orizzontali</w:t>
      </w:r>
      <w:r>
        <w:rPr>
          <w:rFonts w:ascii="Times New Roman" w:hAnsi="Times New Roman"/>
          <w:noProof/>
        </w:rPr>
        <w:t xml:space="preserve"> oħra dwar l-implimentazzjoni effettiva tal-Karta tad-Drittijiet Fundamentali tinkludi l-ugwaljanza bejn is-sessi bħala wieħed mill-prinċipji ewlenin tagħha u tapplika għall-investimenti kollha skont dan ir-Regolament.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Finanzjament iddedikat għal proġetti li jkunu ta’ benefiċċju għall-organizzazzjonijiet tas-soċjetà ċivili u għall-istituzzjonijiet pubbliċi li jimplimentaw azzjonijiet speċifiċi, inkluża l-prevenzjoni u l-ġlieda kontra l-vjolenza sessista, se jkun disponibbli permezz tal-</w:t>
      </w:r>
      <w:r>
        <w:rPr>
          <w:rFonts w:ascii="Times New Roman" w:hAnsi="Times New Roman"/>
          <w:b/>
          <w:noProof/>
        </w:rPr>
        <w:t>Programm taċ-Ċittadini, l-Ugwaljanza, id-Drittijiet u l-Valuri</w:t>
      </w:r>
      <w:r>
        <w:rPr>
          <w:rFonts w:ascii="Times New Roman" w:hAnsi="Times New Roman"/>
          <w:noProof/>
        </w:rPr>
        <w:t>. Jenħtieġ li tingħata attenzjoni partikolari lin-nisa u lill-bniet fil-qasam tal-ażil u tal-migrazzjoni. Permezz tal-</w:t>
      </w:r>
      <w:r>
        <w:rPr>
          <w:rFonts w:ascii="Times New Roman" w:hAnsi="Times New Roman"/>
          <w:b/>
          <w:noProof/>
        </w:rPr>
        <w:t>Fond għall-Migrazzjoni u l-Ażil</w:t>
      </w:r>
      <w:r>
        <w:rPr>
          <w:rFonts w:ascii="Times New Roman" w:hAnsi="Times New Roman"/>
          <w:noProof/>
        </w:rPr>
        <w:t>, il-Kummissjoni se tħeġġeġ lill-Istati Membri biex jimmiraw azzjonijiet li jappoġġjaw il-ħtiġijiet speċifiċi tan-nisa fil-proċedura tal-ażil, kif ukoll azzjonijiet li jappoġġjaw l-integrazzjoni tan-nisa fis-soċjetà l-ġdida. Barra minn hekk, il-fond se jippermetti li jissaħħu l-protezzjoni ta’ gruppi vulnerabbli, inklużi vittmi nisa ta’ vjolenza sessista f’kuntesti tal-ażil u tal-migrazzjoni.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Fil-qasam tar-riċerka u tal-innovazzjoni, il-Kummissjoni se tintroduċi miżuri ġodda biex tissaħħaħ l-ugwaljanza bejn is-sessi f’</w:t>
      </w:r>
      <w:r>
        <w:rPr>
          <w:rFonts w:ascii="Times New Roman" w:hAnsi="Times New Roman"/>
          <w:b/>
          <w:noProof/>
        </w:rPr>
        <w:t>Orizzont Ewropa</w:t>
      </w:r>
      <w:r>
        <w:rPr>
          <w:rFonts w:ascii="Times New Roman" w:hAnsi="Times New Roman"/>
          <w:noProof/>
        </w:rPr>
        <w:t xml:space="preserve">, bħall-possibbiltà li jkun meħtieġ </w:t>
      </w:r>
      <w:r>
        <w:rPr>
          <w:rFonts w:ascii="Times New Roman" w:hAnsi="Times New Roman"/>
          <w:b/>
          <w:noProof/>
        </w:rPr>
        <w:t>pjan ta’ ugwaljanza bejn is-sessi mill-applikanti</w:t>
      </w:r>
      <w:r>
        <w:rPr>
          <w:rFonts w:ascii="Times New Roman" w:hAnsi="Times New Roman"/>
          <w:noProof/>
        </w:rPr>
        <w:t xml:space="preserve"> u inizjattiva biex jiżdied l-għadd ta’ negozji ġodda tat-teknoloġija mmexxija min-nisa. Il-finanzjament għar-riċerka intersezzjonali u dwar is-sessi se jkun disponibbli wkoll.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Se jkun hemm ukoll opportunitajiet ta’ finanzjament biex jiżdied l-għarfien intraprenditorjali tan-nisa u l-parteċipazzjoni fit-teħid tad-deċiżjonijiet u biex isir investiment fl-iżvilupp tas-servizzi bażiċi f’żoni rurali skont il-</w:t>
      </w:r>
      <w:r>
        <w:rPr>
          <w:rFonts w:ascii="Times New Roman" w:hAnsi="Times New Roman"/>
          <w:b/>
          <w:noProof/>
        </w:rPr>
        <w:t>Politika Agrikola Komuni</w:t>
      </w:r>
      <w:r>
        <w:rPr>
          <w:rFonts w:ascii="Times New Roman" w:hAnsi="Times New Roman"/>
          <w:noProof/>
        </w:rPr>
        <w:t>. Bil-ħsieb li tingħata s-setgħa lin-nisa, hija ppjanata sejħa ġdida apposta għan-nisa fl-“ekonomija blu”</w:t>
      </w:r>
      <w:r>
        <w:rPr>
          <w:rStyle w:val="FootnoteReference"/>
          <w:rFonts w:ascii="Times New Roman" w:hAnsi="Times New Roman" w:cs="Times New Roman"/>
          <w:noProof/>
        </w:rPr>
        <w:footnoteReference w:id="82"/>
      </w:r>
      <w:r>
        <w:rPr>
          <w:rFonts w:ascii="Times New Roman" w:hAnsi="Times New Roman"/>
          <w:noProof/>
        </w:rPr>
        <w:t xml:space="preserve"> bħala parti mill-</w:t>
      </w:r>
      <w:r>
        <w:rPr>
          <w:rFonts w:ascii="Times New Roman" w:hAnsi="Times New Roman"/>
          <w:b/>
          <w:noProof/>
        </w:rPr>
        <w:t>Fond Ewropew għall-Affarijiet Marittimi u s-Sajd</w:t>
      </w:r>
      <w:r>
        <w:rPr>
          <w:rFonts w:ascii="Times New Roman" w:hAnsi="Times New Roman"/>
          <w:noProof/>
        </w:rPr>
        <w:t xml:space="preserve"> li jmiss għall-2021-2027.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Strateġija ta’ Inklużjoni u Diversità għall-</w:t>
      </w:r>
      <w:r>
        <w:rPr>
          <w:rFonts w:ascii="Times New Roman" w:hAnsi="Times New Roman"/>
          <w:b/>
          <w:noProof/>
        </w:rPr>
        <w:t>programm Erasmus+</w:t>
      </w:r>
      <w:r>
        <w:rPr>
          <w:rFonts w:ascii="Times New Roman" w:hAnsi="Times New Roman"/>
          <w:noProof/>
        </w:rPr>
        <w:t xml:space="preserve"> tal-ġejjieni se tipprovdi gwida dwar kif il-programm jista’ jgħin biex jiġu indirizzati l-inugwaljanzi bejn is-sessi fis-setturi kollha tal-edukazzjoni u tat-taħriġ, taż-żgħażagħ u tal-isport.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Il-gwida tal-Kummissjoni dwar </w:t>
      </w:r>
      <w:r>
        <w:rPr>
          <w:rFonts w:ascii="Times New Roman" w:hAnsi="Times New Roman"/>
          <w:b/>
          <w:bCs/>
          <w:noProof/>
        </w:rPr>
        <w:t>l-akkwist pubbliku soċjalment responsabbli</w:t>
      </w:r>
      <w:r>
        <w:rPr>
          <w:rFonts w:ascii="Times New Roman" w:hAnsi="Times New Roman"/>
          <w:noProof/>
        </w:rPr>
        <w:t xml:space="preserve"> se tiġġieled kontra d-diskriminazzjoni u tippromwovi l-ugwaljanza bejn is-sessi fl-offerti pubbliċi.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F’konformità ma’ sejħiet ripetuti minn diversi Stati Membri u l-Parlament Ewropew</w:t>
      </w:r>
      <w:r>
        <w:rPr>
          <w:rStyle w:val="FootnoteReference"/>
          <w:rFonts w:ascii="Times New Roman" w:hAnsi="Times New Roman" w:cs="Times New Roman"/>
          <w:noProof/>
        </w:rPr>
        <w:footnoteReference w:id="83"/>
      </w:r>
      <w:r>
        <w:rPr>
          <w:rFonts w:ascii="Times New Roman" w:hAnsi="Times New Roman"/>
          <w:noProof/>
        </w:rPr>
        <w:t xml:space="preserve">, </w:t>
      </w:r>
      <w:r>
        <w:rPr>
          <w:rFonts w:ascii="Times New Roman" w:hAnsi="Times New Roman"/>
          <w:b/>
          <w:noProof/>
        </w:rPr>
        <w:t>il-Kummissjoni se tħares lejn l-impatt tas-sessi fuq l-attivitajiet tagħha u kif tkejjel in-nefqa relatata mal-ugwaljanza bejn is-sessi fil-livell ta’ programm</w:t>
      </w:r>
      <w:r>
        <w:rPr>
          <w:rFonts w:ascii="Times New Roman" w:hAnsi="Times New Roman"/>
          <w:noProof/>
        </w:rPr>
        <w:t xml:space="preserve"> fil-QFP għall-2021-2027. L-eżitu tal-awditu li tnieda dan l-aħħar mill-Qorti Ewropea tal-Awdituri dwar </w:t>
      </w:r>
      <w:r>
        <w:rPr>
          <w:rFonts w:ascii="Times New Roman" w:hAnsi="Times New Roman"/>
          <w:b/>
          <w:noProof/>
        </w:rPr>
        <w:t>l-integrazzjoni tal-ugwaljanza bejn is-sessi fil-baġit tal-UE</w:t>
      </w:r>
      <w:r>
        <w:rPr>
          <w:rFonts w:ascii="Times New Roman" w:hAnsi="Times New Roman"/>
          <w:noProof/>
        </w:rPr>
        <w:t xml:space="preserve"> biex jippromwovi l-ugwaljanza se jikkontribwixxi għal dan il-proċess. Dan se jtejjeb l-integrazzjoni tal-ugwaljanza bejn is-sessi fil-proċess tal-baġit tal-Kummissjoni, u jkompli jżid il-kontribuzzjoni magħmula mit-tfassil tal-politika u mill-allokazzjoni tar-riżorsi għall-għanijiet tal-ugwaljanza bejn is-sessi.</w:t>
      </w:r>
    </w:p>
    <w:p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6.</w:t>
      </w:r>
      <w:r>
        <w:rPr>
          <w:rFonts w:ascii="Times New Roman" w:hAnsi="Times New Roman"/>
          <w:b/>
          <w:noProof/>
          <w:sz w:val="28"/>
          <w:szCs w:val="28"/>
        </w:rPr>
        <w:tab/>
        <w:t>Indirizzar tal-ugwaljanza bejn is-sessi u l-għoti tas-setgħa lin-nisa fid-dinja kollha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L-inugwaljanza bejn is-sessi hija problema globali.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b/>
          <w:noProof/>
        </w:rPr>
        <w:t xml:space="preserve">L-ugwaljanza bejn is-sessi u l-għoti tas-setgħa lin-nisa huwa objettiv ewlieni tal-azzjoni esterna tal-UE. </w:t>
      </w:r>
      <w:r>
        <w:rPr>
          <w:rFonts w:ascii="Times New Roman" w:hAnsi="Times New Roman"/>
          <w:noProof/>
        </w:rPr>
        <w:t>Huwa importanti li l-azzjonijiet interni u esterni tal-UE f’dan il-qasam ikunu koerenti u jsaħħu lil xulxin b’mod reċiproku.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L-UE tippromwovi l-ugwaljanza bejn is-sessi u l-għoti tas-setgħa lin-nisa fis-sħubiji internazzjonali tagħha, fid-djalogi politiċi u tad-drittijiet tal-bniedem ma’ pajjiżi terzi, fil-politika kummerċjali tal-UE kif ukoll fil-politiki tal-UE dwar il-viċinat u t-tkabbir, inkluż fil-kuntest tan-negozjati ta’ adeżjoni u l-Proċess ta’ Stabilizzazzjoni u ta’ Assoċjazzjoni. </w:t>
      </w:r>
      <w:r>
        <w:rPr>
          <w:rFonts w:ascii="Times New Roman" w:hAnsi="Times New Roman"/>
          <w:bCs/>
          <w:noProof/>
        </w:rPr>
        <w:t>Barra minn hekk, azzjonijiet relatati mal-ġeneru huma inklużi fl-azzjonijiet tal-UE f’sitwazzjonijiet fraġli, ta’ kunflitt u ta’ emerġenza.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pjan ta’ azzjoni dwar l-ugwaljanza bejn is-sessi u l-għoti tas-setgħa lin-nisa f’relazzjonijiet esterni</w:t>
      </w:r>
      <w:r>
        <w:rPr>
          <w:rFonts w:ascii="Times New Roman" w:hAnsi="Times New Roman"/>
          <w:noProof/>
        </w:rPr>
        <w:t xml:space="preserve"> ( 2016-2020) (GAPII)</w:t>
      </w:r>
      <w:r>
        <w:rPr>
          <w:rStyle w:val="FootnoteReference"/>
          <w:rFonts w:ascii="Times New Roman" w:hAnsi="Times New Roman" w:cs="Times New Roman"/>
          <w:noProof/>
        </w:rPr>
        <w:footnoteReference w:id="84"/>
      </w:r>
      <w:r>
        <w:rPr>
          <w:rFonts w:ascii="Times New Roman" w:hAnsi="Times New Roman"/>
          <w:noProof/>
        </w:rPr>
        <w:t xml:space="preserve"> jiffoka fuq it-tmiem tal-vjolenza kontra n-nisa u l-bniet, il-promozzjoni tal-għoti tas-setgħa ekonomika u soċjali tan-nisa u l-iżgurar li jiġu ssodisfati d-drittijiet umani, politiċi u ċivili tagħhom. Bi tkomplija mal-kisbiet u mat-tagħlimiet meħuda, il-</w:t>
      </w:r>
      <w:r>
        <w:rPr>
          <w:rFonts w:ascii="Times New Roman" w:hAnsi="Times New Roman"/>
          <w:b/>
          <w:noProof/>
        </w:rPr>
        <w:t>GAP III se jitnieda fl-2020</w:t>
      </w:r>
      <w:r>
        <w:rPr>
          <w:rFonts w:ascii="Times New Roman" w:hAnsi="Times New Roman"/>
          <w:noProof/>
        </w:rPr>
        <w:t>, b’approċċ komprensiv, u se jkun koerenti mal-prijoritajiet ta’ din l-istrateġija permezz tal-integrazzjoni tal-elementi rilevanti kollha tagħha fl-azzjoni esterna tal-UE.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L-UE se tkompli tappoġġja d-drittijiet umani tan-nisa, se tiddefendi s-saħħa u d-drittijiet sesswali u riproduttivi tagħhom, u l-isforzi biex titrażżan il-vjolenza sesswali u sessista madwar id-dinja, inkluż f’sitwazzjonijiet fraġli, ta’ kunflitt u ta’ emerġenza. L-UE nediet l-</w:t>
      </w:r>
      <w:r>
        <w:rPr>
          <w:rFonts w:ascii="Times New Roman" w:hAnsi="Times New Roman"/>
          <w:b/>
          <w:bCs/>
          <w:noProof/>
        </w:rPr>
        <w:t>Inizjattiva Spotlight</w:t>
      </w:r>
      <w:r>
        <w:rPr>
          <w:rFonts w:ascii="Times New Roman" w:hAnsi="Times New Roman"/>
          <w:noProof/>
        </w:rPr>
        <w:t xml:space="preserve"> , programm globali konġunt bejn l-UE u n-NU b’allokazzjoni ġenerali tal-UE ta’ EUR 500 miljun biex tiġi eliminata kull forma ta’ vjolenza fuq in-nisa u l-bniet. L-UE se tniedi </w:t>
      </w:r>
      <w:r>
        <w:rPr>
          <w:rFonts w:ascii="Times New Roman" w:hAnsi="Times New Roman"/>
          <w:b/>
          <w:noProof/>
        </w:rPr>
        <w:t>kampanja #Withher</w:t>
      </w:r>
      <w:r>
        <w:rPr>
          <w:rFonts w:ascii="Times New Roman" w:hAnsi="Times New Roman"/>
          <w:noProof/>
        </w:rPr>
        <w:t xml:space="preserve"> fl-2020, imfassla biex tisfida normi u sterjotipi tas-sessi dannużi, li jipperpetwaw il-vjolenza kontra n-nisa madwar id-dinja. L-UE se tadotta l-</w:t>
      </w:r>
      <w:r>
        <w:rPr>
          <w:rFonts w:ascii="Times New Roman" w:hAnsi="Times New Roman"/>
          <w:b/>
          <w:noProof/>
        </w:rPr>
        <w:t>Pjan ta’ Azzjoni tal-UE dwar id-Drittijiet tal-Bniedem u d-Demokrazija (2020–2024)</w:t>
      </w:r>
      <w:r>
        <w:rPr>
          <w:rFonts w:ascii="Times New Roman" w:hAnsi="Times New Roman"/>
          <w:noProof/>
        </w:rPr>
        <w:t xml:space="preserve"> fl-2020. L-UE se tkompli wkoll timplimenta l-</w:t>
      </w:r>
      <w:r>
        <w:rPr>
          <w:rFonts w:ascii="Times New Roman" w:hAnsi="Times New Roman"/>
          <w:b/>
          <w:noProof/>
        </w:rPr>
        <w:t>Approċċ Strateġiku u l-Pjan ta’ Azzjoni tal-UE dwar in-Nisa, il-Paċi u s-Sigurtà</w:t>
      </w:r>
      <w:r>
        <w:rPr>
          <w:rFonts w:ascii="Times New Roman" w:hAnsi="Times New Roman"/>
          <w:noProof/>
        </w:rPr>
        <w:t xml:space="preserve"> għall-perjodu 2019-2024</w:t>
      </w:r>
      <w:r>
        <w:rPr>
          <w:rStyle w:val="FootnoteReference"/>
          <w:rFonts w:ascii="Times New Roman" w:hAnsi="Times New Roman" w:cs="Times New Roman"/>
          <w:noProof/>
        </w:rPr>
        <w:footnoteReference w:id="85"/>
      </w:r>
      <w:r>
        <w:rPr>
          <w:rFonts w:ascii="Times New Roman" w:hAnsi="Times New Roman"/>
          <w:noProof/>
        </w:rPr>
        <w:t xml:space="preserve">. </w:t>
      </w:r>
    </w:p>
    <w:p>
      <w:pPr>
        <w:tabs>
          <w:tab w:val="left" w:pos="7655"/>
        </w:tabs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Il-Kummissjoni se tkompli tippromwovi attivament l-ugwaljanza bejn is-sessi permezz tal-</w:t>
      </w:r>
      <w:r>
        <w:rPr>
          <w:rFonts w:ascii="Times New Roman" w:hAnsi="Times New Roman"/>
          <w:b/>
          <w:noProof/>
        </w:rPr>
        <w:t>politika kummerċjali</w:t>
      </w:r>
      <w:r>
        <w:rPr>
          <w:rFonts w:ascii="Times New Roman" w:hAnsi="Times New Roman"/>
          <w:noProof/>
        </w:rPr>
        <w:t xml:space="preserve"> tagħha, inkluż permezz tal-impenn attiv tagħha dwar il-kwistjoni fl-Organizzazzjoni Dinjija tal-Kummerċ. Se tkompli tiġbor </w:t>
      </w:r>
      <w:r>
        <w:rPr>
          <w:rFonts w:ascii="Times New Roman" w:hAnsi="Times New Roman"/>
          <w:i/>
          <w:iCs/>
          <w:noProof/>
        </w:rPr>
        <w:t>data</w:t>
      </w:r>
      <w:r>
        <w:rPr>
          <w:rFonts w:ascii="Times New Roman" w:hAnsi="Times New Roman"/>
          <w:noProof/>
        </w:rPr>
        <w:t xml:space="preserve"> diżaggregata skont il-ġeneru, biex jiġi żgurat li aspetti tal-ġeneru li jkunu relatati mal-kummerċ jiġu indirizzati b’mod adegwat fil-ftehimiet kummerċjali u biex jiġi kkunsidrat l-impatt tal-ġeneru f’inizjattivi kummerċjali.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Fil-pajjiżi msieħba, l-UE se tagħmel użu mill-</w:t>
      </w:r>
      <w:r>
        <w:rPr>
          <w:rFonts w:ascii="Times New Roman" w:hAnsi="Times New Roman"/>
          <w:b/>
          <w:noProof/>
        </w:rPr>
        <w:t>Pjan ta’ Investiment Estern</w:t>
      </w:r>
      <w:r>
        <w:rPr>
          <w:rFonts w:ascii="Times New Roman" w:hAnsi="Times New Roman"/>
          <w:noProof/>
        </w:rPr>
        <w:t xml:space="preserve"> biex tippromwovi l-intraprenditorija u l-parteċipazzjoni tan-nisa fis-suq tax-xogħol. Pereżempju, il-Faċilità tal-Inklużjoni Finanzjarja għan-Nisa waħedha għandha l-għan li tipprovdi EUR 100 miljun għall-aċċess għall-finanzi min-nisa. L-</w:t>
      </w:r>
      <w:r>
        <w:rPr>
          <w:rFonts w:ascii="Times New Roman" w:hAnsi="Times New Roman"/>
          <w:b/>
          <w:noProof/>
        </w:rPr>
        <w:t>Istrateġija tal-UE mal-Afrika</w:t>
      </w:r>
      <w:r>
        <w:rPr>
          <w:rFonts w:ascii="Times New Roman" w:hAnsi="Times New Roman"/>
          <w:noProof/>
        </w:rPr>
        <w:t xml:space="preserve"> fl-2020 se tiffoka wkoll fuq l-ugwaljanza bejn is-sessi u l-għoti tas-setgħa lin-nisa.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Fil-politiki esterni tal-UE, l-integrazzjoni tal-ugwaljanza bejn is-sessi tintuża fil-proċess baġitarju</w:t>
      </w:r>
      <w:r>
        <w:rPr>
          <w:rFonts w:ascii="Times New Roman" w:hAnsi="Times New Roman"/>
          <w:noProof/>
        </w:rPr>
        <w:t xml:space="preserve"> permezz tal-impenn li jiġi żgurat li 85 % tal-programmi l-ġodda kollha jikkontribwixxi għall-ugwaljanza bejn is-sessi u l-għoti tas-setgħa lin-nisa</w:t>
      </w:r>
      <w:r>
        <w:rPr>
          <w:rStyle w:val="FootnoteReference"/>
          <w:rFonts w:ascii="Times New Roman" w:hAnsi="Times New Roman" w:cs="Times New Roman"/>
          <w:noProof/>
        </w:rPr>
        <w:footnoteReference w:id="86"/>
      </w:r>
      <w:r>
        <w:rPr>
          <w:rFonts w:ascii="Times New Roman" w:hAnsi="Times New Roman"/>
          <w:noProof/>
        </w:rPr>
        <w:t>.</w:t>
      </w:r>
    </w:p>
    <w:p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br w:type="page"/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NAĦDMU FLIMKIEN GĦAL EWROPA LI TĦADDAN L-UGWALJANZA BEJN IS-SESSI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Il-kisba tal-ugwaljanza bejn is-sessi fl-Unjoni Ewropea hija responsabbiltà konġunta. </w:t>
      </w:r>
      <w:r>
        <w:rPr>
          <w:rFonts w:ascii="Times New Roman" w:hAnsi="Times New Roman"/>
          <w:noProof/>
        </w:rPr>
        <w:t xml:space="preserve">Dan jeħtieġ l-għaqda u l-azzjoni mill-istituzzjonijiet tal-UE, l-Istati Membri u l-aġenziji tal-UE kollha, fi sħubija mas-soċjetà ċivili u l-organizzazzjonijiet tan-nisa, l-imsieħba soċjali u s-settur privat.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Parlament Ewropew</w:t>
      </w:r>
      <w:r>
        <w:rPr>
          <w:rStyle w:val="FootnoteReference"/>
          <w:rFonts w:ascii="Times New Roman" w:hAnsi="Times New Roman" w:cs="Times New Roman"/>
          <w:noProof/>
        </w:rPr>
        <w:footnoteReference w:id="87"/>
      </w:r>
      <w:r>
        <w:rPr>
          <w:rFonts w:ascii="Times New Roman" w:hAnsi="Times New Roman"/>
          <w:noProof/>
        </w:rPr>
        <w:t xml:space="preserve"> u l-</w:t>
      </w:r>
      <w:r>
        <w:rPr>
          <w:rFonts w:ascii="Times New Roman" w:hAnsi="Times New Roman"/>
          <w:b/>
          <w:noProof/>
        </w:rPr>
        <w:t>Kunsill</w:t>
      </w:r>
      <w:r>
        <w:rPr>
          <w:rStyle w:val="FootnoteReference"/>
          <w:rFonts w:ascii="Times New Roman" w:hAnsi="Times New Roman" w:cs="Times New Roman"/>
          <w:noProof/>
        </w:rPr>
        <w:footnoteReference w:id="88"/>
      </w:r>
      <w:r>
        <w:rPr>
          <w:rFonts w:ascii="Times New Roman" w:hAnsi="Times New Roman"/>
          <w:noProof/>
        </w:rPr>
        <w:t xml:space="preserve"> urew l-impenn tagħhom għall-ugwaljanza bejn is-sessi f’diversi riżoluzzjonijiet u konklużjonijiet li jsejħu lill-Kummissjoni biex tadotta Strateġija Ewropea għall-Ugwaljanza bejn is-Sessi u biex issaħħaħ l-integrazzjoni tal-ugwaljanza bejn is-sessi fl-oqsma kollha ta’ politika.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Filwaqt li jaħdmu flimkien, l-istituzzjonijiet tal-UE u l-Istati Membri jenħtieġ li japprofondixxu l-involviment tagħhom mas-soċjetà ċivili, inklużi l-movimenti u l-organizzazzjonijiet tan-nisa, l-organizzazzjonijiet internazzjonali, u l-gvernijiet, biex isir progress fir-rigward tal-ugwaljanza bejn is-sessi u jkomplu jkunu mexxejja globali.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tappella wkoll lill-Parlament Ewropew u lill-Kunsill biex b’mod tempestiv imexxu ’l quddiem il-ħidma tagħhom dwar il-proposti eżistenti u futuri tal-Kummissjoni. Jenħtieġ li l-Istati Membri jużaw l-għodod kollha għad-dispożizzjoni tagħhom, b’mod partikolari l-possibbiltajiet offruti għall-appoġġ finanzjarju tal-UE u jiżguraw it-titjib fl-ugwaljanza bejn is-sessi.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L-azzjonijiet ewlenin ippreżentati f’din l-istrateġija se jiġu aġġornati u ssupplimentati b’mod regolari. L-implimentazzjoni tagħhom se tiġi mmonitorjata, u l-progress se jiġi rrappurtat fuq bażi annwali. Dawn ir-rapporti se jservu bħala </w:t>
      </w:r>
      <w:r>
        <w:rPr>
          <w:rFonts w:ascii="Times New Roman" w:hAnsi="Times New Roman"/>
          <w:b/>
          <w:noProof/>
        </w:rPr>
        <w:t>rendikont politiku annwali tal-progress li jkun sar</w:t>
      </w:r>
      <w:r>
        <w:rPr>
          <w:rFonts w:ascii="Times New Roman" w:hAnsi="Times New Roman"/>
          <w:noProof/>
        </w:rPr>
        <w:t xml:space="preserve">. Minbarra eżempji ta’ prattika tajba fl-Istati Membri, ir-rapporti annwali se jinkludu wkoll </w:t>
      </w:r>
      <w:r>
        <w:rPr>
          <w:rFonts w:ascii="Times New Roman" w:hAnsi="Times New Roman"/>
          <w:i/>
          <w:iCs/>
          <w:noProof/>
        </w:rPr>
        <w:t>data</w:t>
      </w:r>
      <w:r>
        <w:rPr>
          <w:rFonts w:ascii="Times New Roman" w:hAnsi="Times New Roman"/>
          <w:noProof/>
        </w:rPr>
        <w:t xml:space="preserve"> rilevanti, inkluż mill-Eurostat u mill-Eurofound, kif ukoll indikaturi biex jitkejjel il-progress, b’mod illi jittieħed kont tal-Indiċi annwali tal-Ugwaljanza bejn is-Sessi tal-EIGE. L-EIGE se tipprovdi wkoll </w:t>
      </w:r>
      <w:r>
        <w:rPr>
          <w:rFonts w:ascii="Times New Roman" w:hAnsi="Times New Roman"/>
          <w:i/>
          <w:iCs/>
          <w:noProof/>
        </w:rPr>
        <w:t>data</w:t>
      </w:r>
      <w:r>
        <w:rPr>
          <w:rFonts w:ascii="Times New Roman" w:hAnsi="Times New Roman"/>
          <w:noProof/>
        </w:rPr>
        <w:t xml:space="preserve"> u riċerka biex jikkontribwixxi għat-tfassil tal-politika bbażata fuq l-evidenza tal-istituzzjonijiet tal-UE u l-Istati Membri.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Meta naħdmu flimkien, nistgħu nagħmlu progress reali sal-2025 fil-kisba ta’ Ewropa li fiha n-nisa u l-irġiel, il-bniet u s-subien, fid-diversità kollha tagħhom, ikunu ugwali – li fiha jkunu ħielsa li jkomplu bil-perkors magħżul tagħhom fil-ħajja u jilħqu l-potenzjal sħiħ tagħhom, li fiha jkollhom opportunitajiet indaqs biex jiffjorixxu, u li fiha jkunu jistgħu jipparteċipaw bl-istess mod fis-soċjetà Ewropea tagħna.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sectPr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  <w:endnote w:type="continuationNotice" w:id="1">
    <w:p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MT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MT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6147577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type="continuationNotice" w:id="1">
    <w:p>
      <w:pPr>
        <w:spacing w:after="0" w:line="240" w:lineRule="auto"/>
      </w:pPr>
    </w:p>
  </w:footnote>
  <w:footnote w:id="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>Ara l-Artikoli 2 u 3(3) TUE, l-Artikoli 8, 10, 19 u 157 TFUE u l-Artikoli 21 u 23 tal-Karta tad-Drittijiet Fundamentali tal-UE.</w:t>
      </w:r>
    </w:p>
  </w:footnote>
  <w:footnote w:id="3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t> </w:t>
      </w:r>
      <w:hyperlink r:id="rId1" w:history="1">
        <w:r>
          <w:rPr>
            <w:rStyle w:val="Hyperlink"/>
            <w:rFonts w:ascii="Times New Roman" w:hAnsi="Times New Roman"/>
            <w:u w:val="none"/>
          </w:rPr>
          <w:t>https://ec.europa.eu/commission/sites/beta-political/files/social-summit-european-pillar-social-rights-booklet_mt.pdf</w:t>
        </w:r>
      </w:hyperlink>
      <w:r>
        <w:rPr>
          <w:rFonts w:ascii="Times New Roman" w:hAnsi="Times New Roman"/>
        </w:rPr>
        <w:t>.</w:t>
      </w:r>
    </w:p>
  </w:footnote>
  <w:footnote w:id="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 xml:space="preserve">Sal-2050, it-titjib tal-ugwaljanza bejn is-sessi jwassal għal żieda fil-PDG </w:t>
      </w:r>
      <w:r>
        <w:rPr>
          <w:rFonts w:ascii="Times New Roman" w:hAnsi="Times New Roman"/>
          <w:i/>
          <w:iCs/>
        </w:rPr>
        <w:t>per capita</w:t>
      </w:r>
      <w:r>
        <w:rPr>
          <w:rFonts w:ascii="Times New Roman" w:hAnsi="Times New Roman"/>
        </w:rPr>
        <w:t xml:space="preserve"> tal-UE minn 6,1 għal 9,6 %, li jammonta minn EUR 1,95 sa EUR 3,15 triljun: </w:t>
      </w:r>
      <w:hyperlink r:id="rId2" w:history="1">
        <w:r>
          <w:rPr>
            <w:rStyle w:val="Hyperlink"/>
            <w:rFonts w:ascii="Times New Roman" w:hAnsi="Times New Roman"/>
            <w:u w:val="none"/>
          </w:rPr>
          <w:t>https://eige.europa.eu/gender-mainstreaming/policy-areas/economic-and-financial-affairs/economic-benefits-gender-equality</w:t>
        </w:r>
      </w:hyperlink>
      <w:r>
        <w:rPr>
          <w:rFonts w:ascii="Times New Roman" w:hAnsi="Times New Roman"/>
        </w:rPr>
        <w:t>.</w:t>
      </w:r>
    </w:p>
  </w:footnote>
  <w:footnote w:id="5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Fir-rigward tal-Għan ta’ Żvilupp Sostenibbli Nru 5 dwar l-ugwaljanza bejn is-sessi, skont l-Indiċi tal-Ġeneru tal-SDG 2019 EM2030:</w:t>
      </w:r>
      <w:r>
        <w:rPr>
          <w:rFonts w:ascii="Times New Roman" w:hAnsi="Times New Roman"/>
          <w:sz w:val="16"/>
        </w:rPr>
        <w:t xml:space="preserve"> </w:t>
      </w:r>
      <w:hyperlink r:id="rId3" w:history="1">
        <w:r>
          <w:rPr>
            <w:rStyle w:val="Hyperlink"/>
            <w:rFonts w:ascii="Times New Roman" w:hAnsi="Times New Roman"/>
            <w:u w:val="none"/>
          </w:rPr>
          <w:t>https://data.em2030.org/em2030-sdg-gender-index/</w:t>
        </w:r>
      </w:hyperlink>
      <w:r>
        <w:rPr>
          <w:rFonts w:ascii="Times New Roman" w:hAnsi="Times New Roman"/>
        </w:rPr>
        <w:t>.</w:t>
      </w:r>
    </w:p>
  </w:footnote>
  <w:footnote w:id="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L-UE adottat sitt Direttivi li jkopru l-ugwaljanza bejn in-nisa u l-irġiel fuq il-post tax-xogħol, li jaħdmu għal rashom, fl-aċċess għall-prodotti u għas-servizzi, fis-sigurtà soċjali, fit-tqala u fil-maternità u dwar il-liv relatat mal-familja u l-arranġamenti ta’ xogħol flessibbli għall-ġenituri u l-persuni li jindukraw. Flimkien dawn progressivament stabbilixxew standard legali madwar l-Ewropa li jiżgura protezzjoni wiesgħa mid-diskriminazzjoni. Bosta kawżi li tressqu quddiem il-Qorti Ewropea tal-Ġustizzja komplew isaħħu l-prinċipju ta’ ugwaljanza u taw ġustizzja lill-vittmi ta’ diskriminazzjoni.</w:t>
      </w:r>
    </w:p>
  </w:footnote>
  <w:footnote w:id="7">
    <w:p>
      <w:pPr>
        <w:pStyle w:val="FootnoteText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“Ġeneru” għandha tfisser ir-rwoli, l-imġibiet, l-attivitajiet u l-attributi mibnija soċjalment li soċjetà partikolari tqis xierqa għan-nisa u għall-irġiel, ara l-Artikolu 3(c) tal-Konvenzjoni tal-Kunsill tal-Ewropa dwar il-prevenzjoni u l-ġlieda kontra l-vjolenza fuq in-nisa u l-vjolenza domestika.</w:t>
      </w:r>
    </w:p>
  </w:footnote>
  <w:footnote w:id="8">
    <w:p>
      <w:pPr>
        <w:pStyle w:val="FootnoteText"/>
        <w:contextualSpacing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 xml:space="preserve">Ara l-Istitut Ewropew għall-Ugwaljanza bejn is-Sessi (EIGE, European Institute for Gender Equality) </w:t>
      </w:r>
      <w:hyperlink r:id="rId4" w:history="1">
        <w:r>
          <w:rPr>
            <w:rStyle w:val="Hyperlink"/>
            <w:rFonts w:ascii="Times New Roman" w:hAnsi="Times New Roman"/>
            <w:u w:val="none"/>
          </w:rPr>
          <w:t>https://eige.europa.eu/gender-equality-index/2019</w:t>
        </w:r>
      </w:hyperlink>
      <w:r>
        <w:rPr>
          <w:rStyle w:val="Hyperlink"/>
          <w:rFonts w:ascii="Times New Roman" w:hAnsi="Times New Roman"/>
          <w:u w:val="none"/>
        </w:rPr>
        <w:t>.</w:t>
      </w:r>
      <w:r>
        <w:rPr>
          <w:rFonts w:ascii="Times New Roman" w:hAnsi="Times New Roman"/>
        </w:rPr>
        <w:t xml:space="preserve"> </w:t>
      </w:r>
    </w:p>
  </w:footnote>
  <w:footnote w:id="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B’segwitu għall-impenn strateġiku tal-Kummissjoni għall-ugwaljanza bejn is-sessi għall-2016-2019.</w:t>
      </w:r>
    </w:p>
  </w:footnote>
  <w:footnote w:id="1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L-espressjoni “fid-diversità kollha tagħhom” tintuża f’din l-istrateġija biex tesprimi li, fejn jissemmew in-nisa jew l-irġiel, dawn huma kategoriji eteroġeni inkluż fir-rigward tas-sess l-identità tal-ġeneru, l-espressjoni tal-ġeneru jew il-karatteristiċi tas-sess tagħhom. Hija tafferma l-impenn li ħadd ma jitħalla barra u li tinkiseb Ewropa ta’ ugwaljanza bejn is-sessi għal kulħadd, irrispettivament mis-sess, mir-razza jew mill-oriġini etnika, mir-reliġjon jew mit-twemmin, mid-diżabbiltà, mill-età jew mill-orjentazzjoni sesswali tagħhom.</w:t>
      </w:r>
    </w:p>
  </w:footnote>
  <w:footnote w:id="1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L-EIGE jiddefinixxi “l-intersezzjonalità” bħala “għodda analitika għall-istudju, għall-fehim u għar-rispons għall-modi li bihom is-sess u l-ġeneru jikkoinċidu ma’ karatteristiċi personali/identitajiet oħra, u kif dawn l-intersezzjonijiet jikkontribwixxu għal esperjenzi uniċi ta’ diskriminazzjoni” (Ara: </w:t>
      </w:r>
      <w:hyperlink r:id="rId5" w:history="1">
        <w:r>
          <w:rPr>
            <w:rStyle w:val="Hyperlink"/>
            <w:rFonts w:ascii="Times New Roman" w:hAnsi="Times New Roman"/>
            <w:u w:val="none"/>
          </w:rPr>
          <w:t>https://eige.europa.eu/thesaurus/terms/1263</w:t>
        </w:r>
      </w:hyperlink>
      <w:r>
        <w:rPr>
          <w:rFonts w:ascii="Times New Roman" w:hAnsi="Times New Roman"/>
        </w:rPr>
        <w:t>). Skont l-Artikolu 10 TFUE “fid-definizzjoni u fl-implimentazzjoni tal-politika u l-azzjonijiet tagħha, l-Unjoni għandha tfittex li tiġġieled kull diskriminazzjoni bbażata fuq is-sess, ir-razza jew l-oriġini etnika, ir-reliġjon jew it-twemmin, id-diżabbiltà, l-età jew l-orjentazzjoni sesswali”.</w:t>
      </w:r>
    </w:p>
  </w:footnote>
  <w:footnote w:id="1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6" w:history="1">
        <w:r>
          <w:rPr>
            <w:rStyle w:val="Hyperlink"/>
            <w:rFonts w:ascii="Times New Roman" w:hAnsi="Times New Roman"/>
            <w:u w:val="none"/>
          </w:rPr>
          <w:t>https://beijing20.unwomen.org/en/about</w:t>
        </w:r>
      </w:hyperlink>
      <w:r>
        <w:rPr>
          <w:rFonts w:ascii="Times New Roman" w:hAnsi="Times New Roman"/>
        </w:rPr>
        <w:t>.</w:t>
      </w:r>
    </w:p>
  </w:footnote>
  <w:footnote w:id="13">
    <w:p>
      <w:pPr>
        <w:pStyle w:val="End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7" w:history="1">
        <w:r>
          <w:rPr>
            <w:rStyle w:val="Hyperlink"/>
            <w:rFonts w:ascii="Times New Roman" w:hAnsi="Times New Roman"/>
          </w:rPr>
          <w:t>https://ec.europa.eu/europeaid/policies/sustainable-development-goalsen</w:t>
        </w:r>
      </w:hyperlink>
      <w:r>
        <w:rPr>
          <w:rFonts w:ascii="Times New Roman" w:hAnsi="Times New Roman"/>
        </w:rPr>
        <w:t>.</w:t>
      </w:r>
    </w:p>
  </w:footnote>
  <w:footnote w:id="1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BE"/>
        </w:rPr>
        <w:t xml:space="preserve"> </w:t>
      </w:r>
      <w:r>
        <w:rPr>
          <w:rFonts w:ascii="Times New Roman" w:hAnsi="Times New Roman"/>
        </w:rPr>
        <w:t>L-Artikolu 3(d) tal-Konvenzjoni ta’ Istambul</w:t>
      </w:r>
    </w:p>
  </w:footnote>
  <w:footnote w:id="15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Aġenzija tal-Unjoni Ewropea għad-Drittijiet Fundamentali (FRA), “Vjolenza kontra n-nisa: stħarriġ madwar l-UE kollha”, 2014 – ara l-infografiċi.</w:t>
      </w:r>
    </w:p>
  </w:footnote>
  <w:footnote w:id="1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Talba għal opinjoni mressqa mill-Parlament Ewropew skont l-Artikolu 218(11) TFUE (Opinjoni 1/19)</w:t>
      </w:r>
      <w:r>
        <w:t>.</w:t>
      </w:r>
    </w:p>
  </w:footnote>
  <w:footnote w:id="17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Iċ-ċifri fl-infografika ġejjin minn studji reċenti mill-Aħħar Netwerk Ewropew dwar l-MĠF, ara: </w:t>
      </w:r>
      <w:hyperlink r:id="rId8" w:history="1">
        <w:r>
          <w:rPr>
            <w:rStyle w:val="Hyperlink"/>
            <w:rFonts w:ascii="Times New Roman" w:hAnsi="Times New Roman"/>
            <w:u w:val="none"/>
          </w:rPr>
          <w:t>https://www.endfgm.eu/female-genital-mutilation/fgm-in-europe</w:t>
        </w:r>
      </w:hyperlink>
      <w:r>
        <w:rPr>
          <w:rFonts w:ascii="Times New Roman" w:hAnsi="Times New Roman"/>
        </w:rPr>
        <w:t>.</w:t>
      </w:r>
    </w:p>
  </w:footnote>
  <w:footnote w:id="1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 2012/29/UE li tistabbilixxi standards minimi fir-rigward tad-drittijiet, l-appoġġ u l-protezzjoni tal-vittmi tal-kriminalità</w:t>
      </w:r>
    </w:p>
  </w:footnote>
  <w:footnote w:id="1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Pereżempju, 34 % tan-nisa bi problema ta’ saħħa jew diżabbiltà esperjenzaw vjolenza fiżika jew sesswali, meta mqabbla ma’ 19 % tan-nisa li m’għandhomx problema ta’ saħħa jew diżabbiltà. FRA, “Vjolenza kontra n-nisa: stħarriġ madwar l-UE kollha”, 2014.</w:t>
      </w:r>
    </w:p>
  </w:footnote>
  <w:footnote w:id="2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Li jiġi implimentat il-Kumitat tan-NU dwar id-Drittijiet ta’ Persuni b’Diżabbiltà għall-UE, b’mod partikolari fir-rigward tal-Artikoli 6 (Nisa b’Diżabbiltà) u 16 (Il-libertà mill-isfruttar, mill-vjolenza u mill-abbuż).</w:t>
      </w:r>
    </w:p>
  </w:footnote>
  <w:footnote w:id="2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Skont l-EIGE, “maskulinità” tirreferi għal “kunċetti differenti ta’ dak li jfisser li tkun raġel, inklużi mudelli ta’ kondotta marbuta mal-post tal-irġiel f’sett speċifiku ta’ rwoli u relazzjonijiet bejn is-sessi”, ara: </w:t>
      </w:r>
      <w:hyperlink r:id="rId9" w:history="1">
        <w:r>
          <w:rPr>
            <w:rStyle w:val="Hyperlink"/>
            <w:rFonts w:ascii="Times New Roman" w:hAnsi="Times New Roman"/>
            <w:u w:val="none"/>
          </w:rPr>
          <w:t>https://eige.europa.eu/thesaurus/terms/1285</w:t>
        </w:r>
      </w:hyperlink>
      <w:r>
        <w:rPr>
          <w:rFonts w:ascii="Times New Roman" w:hAnsi="Times New Roman"/>
        </w:rPr>
        <w:t>.</w:t>
      </w:r>
    </w:p>
  </w:footnote>
  <w:footnote w:id="2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ILO, Il-Konvenzjoni (Nru 190) u r-Rakkomandazzjoni (Nru 206) dwar il-Vjolenza u l-Fastidju.</w:t>
      </w:r>
    </w:p>
  </w:footnote>
  <w:footnote w:id="23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Direttiva 2006/54/KE dwar l-implimentazzjoni tal-prinċipju ta’ opportunitajiet indaqs u ta’ trattament ugwali tal-irġiel u n-nisa fi kwistjonijiet ta’ impjiegi u xogħol (tfassil mill-ġdid).</w:t>
      </w:r>
    </w:p>
  </w:footnote>
  <w:footnote w:id="2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0" w:history="1">
        <w:r>
          <w:rPr>
            <w:rStyle w:val="Hyperlink"/>
            <w:rFonts w:ascii="Times New Roman" w:hAnsi="Times New Roman"/>
            <w:u w:val="none"/>
          </w:rPr>
          <w:t>https://ec.europa.eu/digital-single-market/en/new-eu-rules-e-commerce</w:t>
        </w:r>
      </w:hyperlink>
      <w:r>
        <w:rPr>
          <w:rStyle w:val="Hyperlink"/>
          <w:rFonts w:ascii="Times New Roman" w:hAnsi="Times New Roman"/>
          <w:u w:val="none"/>
        </w:rPr>
        <w:t>.</w:t>
      </w:r>
    </w:p>
  </w:footnote>
  <w:footnote w:id="25">
    <w:p>
      <w:pPr>
        <w:pStyle w:val="FootnoteText"/>
        <w:keepLines/>
        <w:widowControl w:val="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Abbażi tal-kooperazzjoni taħt il-Forum tal-UE dwar l-Internet, li wasslet għall-adozzjoni tal-Kodiċi ta’ Kondotta tal-UE dwar il-ġlieda kontra d-diskors ta’ mibegħda illegali online.</w:t>
      </w:r>
    </w:p>
  </w:footnote>
  <w:footnote w:id="2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It-traffikar tal-bnedmin huwa rikonoxxut bħala vjolenza kontra n-nisa u l-bniet, f’konformità mal-Artikolu 6 tal-Konvenzjoni tan-NU dwar l-Eliminazzjoni ta’ Kull Forma ta’ Diskriminazzjoni kontra n-Nisa (CEDAW).</w:t>
      </w:r>
    </w:p>
  </w:footnote>
  <w:footnote w:id="27">
    <w:p>
      <w:pPr>
        <w:pStyle w:val="FootnoteText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Dan joħroġ mid-Direttiva 2011/36/UE Kontra t-Traffikar dwar il-prevenzjoni u l-ġlieda kontra t-traffikar tal-bnedmin u l-protezzjoni tal-vittmi tiegħu.</w:t>
      </w:r>
    </w:p>
  </w:footnote>
  <w:footnote w:id="28">
    <w:p>
      <w:pPr>
        <w:pStyle w:val="FootnoteText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Ewrobarometru Speċjali 465, Ġunju 2017 – ara l-infografiki.</w:t>
      </w:r>
      <w:r>
        <w:t xml:space="preserve"> </w:t>
      </w:r>
    </w:p>
  </w:footnote>
  <w:footnote w:id="2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Il-Kummissjoni Ewropea, White paper dwar l-Intelliġenza Artifiċjali - Approċċ Ewropew għall-eċċellenza u għall-fiduċja, COM (2020) 65 final: </w:t>
      </w:r>
      <w:hyperlink r:id="rId11" w:history="1">
        <w:r>
          <w:rPr>
            <w:rStyle w:val="Hyperlink"/>
            <w:rFonts w:ascii="Times New Roman" w:hAnsi="Times New Roman"/>
            <w:u w:val="none"/>
          </w:rPr>
          <w:t>https://ec.europa.eu/info/sites/info/files/commission-white-paper-artificial-intelligence-feb2020_en.pdf</w:t>
        </w:r>
      </w:hyperlink>
      <w:r>
        <w:rPr>
          <w:rFonts w:ascii="Times New Roman" w:hAnsi="Times New Roman"/>
        </w:rPr>
        <w:t>.</w:t>
      </w:r>
    </w:p>
  </w:footnote>
  <w:footnote w:id="3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2" w:history="1">
        <w:r>
          <w:rPr>
            <w:rStyle w:val="Hyperlink"/>
            <w:rFonts w:ascii="Times New Roman" w:hAnsi="Times New Roman"/>
          </w:rPr>
          <w:t>https://ec.europa.eu/info/horizon-europe-next-research-and-innovation-framework-programme_en</w:t>
        </w:r>
      </w:hyperlink>
      <w:r>
        <w:rPr>
          <w:rFonts w:ascii="Times New Roman" w:hAnsi="Times New Roman"/>
        </w:rPr>
        <w:t>.</w:t>
      </w:r>
    </w:p>
  </w:footnote>
  <w:footnote w:id="3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Ara, pereżempju, “L-ugwaljanza bejn is-sessi fis-settur tal-midja”, studju li sar għall-Kumitat FEMM dwar id-drittijiet tan-nisa u l-ugwaljanza bejn is-sessi, il-Parlament Ewropew, 2018.</w:t>
      </w:r>
    </w:p>
  </w:footnote>
  <w:footnote w:id="3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3" w:history="1">
        <w:r>
          <w:rPr>
            <w:rStyle w:val="Hyperlink"/>
            <w:rFonts w:ascii="Times New Roman" w:hAnsi="Times New Roman"/>
            <w:u w:val="none"/>
          </w:rPr>
          <w:t>https://ec.europa.eu/programmes/creative-europe/node_en</w:t>
        </w:r>
      </w:hyperlink>
      <w:r>
        <w:rPr>
          <w:rFonts w:ascii="Times New Roman" w:hAnsi="Times New Roman"/>
        </w:rPr>
        <w:t>.</w:t>
      </w:r>
    </w:p>
  </w:footnote>
  <w:footnote w:id="33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4" w:history="1">
        <w:r>
          <w:rPr>
            <w:rStyle w:val="Hyperlink"/>
            <w:rFonts w:ascii="Times New Roman" w:hAnsi="Times New Roman"/>
            <w:u w:val="none"/>
          </w:rPr>
          <w:t>https://ec.europa.eu/digital-single-market/en/media-sub-programme-creative-europe</w:t>
        </w:r>
      </w:hyperlink>
      <w:r>
        <w:rPr>
          <w:rFonts w:ascii="Times New Roman" w:hAnsi="Times New Roman"/>
        </w:rPr>
        <w:t>.</w:t>
      </w:r>
    </w:p>
  </w:footnote>
  <w:footnote w:id="3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 2011/93/UE dwar il-ġlieda kontra l-abbuż sesswali u l-isfruttament sesswali tat-tfal u l-pedopornografija.</w:t>
      </w:r>
    </w:p>
  </w:footnote>
  <w:footnote w:id="35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B’mod partikolari, id-Direttiva 2011/36/UE dwar il-prevenzjoni u l-ġlieda kontra t-traffikar tal-bnedmin u l-protezzjoni tal-vittmi tiegħu, id-Direttiva 2011/99/UE dwar l-Ordni Ewropea ta’ Protezzjoni, ir-Regolament (UE) Nru 606/2013 dwar ir-rikonoxximent reċiproku ta’ miżuri ta’ protezzjoni f’materji ċivili u d-Direttiva tal-Kunsill 2004/80/KE li għandha x’taqsam ma’ kumpens għal vittmi ta’ delitti</w:t>
      </w:r>
      <w:r>
        <w:t>.</w:t>
      </w:r>
    </w:p>
  </w:footnote>
  <w:footnote w:id="3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2019, </w:t>
      </w:r>
      <w:hyperlink r:id="rId15" w:history="1">
        <w:r>
          <w:rPr>
            <w:rStyle w:val="Hyperlink"/>
            <w:rFonts w:ascii="Times New Roman" w:hAnsi="Times New Roman"/>
            <w:u w:val="none"/>
          </w:rPr>
          <w:t>https://ec.europa.eu/eurostat/web/products-datasets/product?code=sdg_05_30</w:t>
        </w:r>
      </w:hyperlink>
      <w:r>
        <w:rPr>
          <w:rFonts w:ascii="Times New Roman" w:hAnsi="Times New Roman"/>
        </w:rPr>
        <w:t xml:space="preserve"> u </w:t>
      </w:r>
      <w:hyperlink r:id="rId16" w:history="1">
        <w:r>
          <w:rPr>
            <w:rStyle w:val="Hyperlink"/>
            <w:rFonts w:ascii="Times New Roman" w:hAnsi="Times New Roman"/>
            <w:u w:val="none"/>
          </w:rPr>
          <w:t>https://appsso.eurostat.ec.europa.eu/nui/show.do?dataset=lfsi_emp_a&amp;lang=en</w:t>
        </w:r>
      </w:hyperlink>
      <w:r>
        <w:t xml:space="preserve"> </w:t>
      </w:r>
      <w:r>
        <w:rPr>
          <w:rFonts w:ascii="Times New Roman" w:hAnsi="Times New Roman"/>
        </w:rPr>
        <w:t xml:space="preserve">– </w:t>
      </w:r>
      <w:r>
        <w:rPr>
          <w:rFonts w:ascii="Times New Roman" w:hAnsi="Times New Roman"/>
          <w:lang w:val="fr-BE"/>
        </w:rPr>
        <w:t>ara l-infografika</w:t>
      </w:r>
      <w:r>
        <w:rPr>
          <w:rFonts w:ascii="Times New Roman" w:hAnsi="Times New Roman"/>
        </w:rPr>
        <w:t>.</w:t>
      </w:r>
    </w:p>
  </w:footnote>
  <w:footnote w:id="37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7" w:history="1">
        <w:r>
          <w:rPr>
            <w:rStyle w:val="Hyperlink"/>
            <w:rFonts w:ascii="Times New Roman" w:hAnsi="Times New Roman"/>
            <w:u w:val="none"/>
          </w:rPr>
          <w:t>https://ec.europa.eu/eurostat/statistics-explained/pdfscache/35409.pdf</w:t>
        </w:r>
      </w:hyperlink>
      <w:r>
        <w:rPr>
          <w:rFonts w:ascii="Times New Roman" w:hAnsi="Times New Roman"/>
        </w:rPr>
        <w:t xml:space="preserve"> u wkoll FRA, “Nisa Rom f’disa’ Stati Membri tal-UE”, 2019 – ara l-infografika.</w:t>
      </w:r>
    </w:p>
  </w:footnote>
  <w:footnote w:id="3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Stħarriġ Furzat tax-Xogħol, kalkoli magħmula abbażi ta’ </w:t>
      </w:r>
      <w:r>
        <w:rPr>
          <w:rFonts w:ascii="Times New Roman" w:hAnsi="Times New Roman"/>
          <w:i/>
          <w:iCs/>
        </w:rPr>
        <w:t>lfsa_eegan2</w:t>
      </w:r>
      <w:r>
        <w:rPr>
          <w:rFonts w:ascii="Times New Roman" w:hAnsi="Times New Roman"/>
          <w:iCs/>
        </w:rPr>
        <w:t xml:space="preserve"> — ara l-infografika.</w:t>
      </w:r>
    </w:p>
  </w:footnote>
  <w:footnote w:id="3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Ara, pereżempju, l-ENAR, “Ir-Razziżmu u d-diskriminazzjoni fl-Impjiegi fl-Ewropa 2013-2017”, 2017. </w:t>
      </w:r>
    </w:p>
  </w:footnote>
  <w:footnote w:id="4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 (UE) 2019/1158 dwar il-bilanċ bejn ix-xogħol u l-ħajja privata għall-ġenituri u l-persuni li jindukraw.</w:t>
      </w:r>
    </w:p>
  </w:footnote>
  <w:footnote w:id="4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 dwar il-Bilanċ bejn ix-Xogħol u l-Ħajja Privata għandha tiġi trasposta mill-Istati Membri sat-2 ta’ Awwissu 2022 (u sat-2 ta’ Awwissu 2024 fir-rigward tal-ħlas tal-aħħar ġimagħtejn tal-perjodu minimu ta’ xahrejn ta’ liv tal-ġenituri).</w:t>
      </w:r>
    </w:p>
  </w:footnote>
  <w:footnote w:id="4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Għal miżuri eżistenti, ara r-Rapport tal-Kummissjoni Ewropea għall-2019, “Diversità u Ugwaljanza bejn is-Sessi” (dokument intern).</w:t>
      </w:r>
    </w:p>
  </w:footnote>
  <w:footnote w:id="43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8" w:history="1">
        <w:r>
          <w:rPr>
            <w:rStyle w:val="Hyperlink"/>
            <w:rFonts w:ascii="Times New Roman" w:hAnsi="Times New Roman"/>
            <w:u w:val="none"/>
          </w:rPr>
          <w:t>https://ec.europa.eu/info/business-economy-euro/economic-and-fiscal-policy-coordination/eu-economic-governance-monitoring-prevention-correction/european-semester_mt</w:t>
        </w:r>
      </w:hyperlink>
      <w:r>
        <w:rPr>
          <w:rFonts w:ascii="Times New Roman" w:hAnsi="Times New Roman"/>
        </w:rPr>
        <w:t>.</w:t>
      </w:r>
    </w:p>
  </w:footnote>
  <w:footnote w:id="4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bCs/>
        </w:rPr>
        <w:t xml:space="preserve"> Il-prinċipju 2 tal-Pilastru huwa dwar l-ugwaljanza bejn is-sessi, filwaqt li diversi prinċipji oħra jindirizzaw l-isfidi relatati mas-sessi, inklużi l-prinċipji dwar l-opportunitajiet indaqs (il-prinċipju 3), il-bilanċ bejn ix-xogħol u l-ħajja privata (il-prinċipju 9), il-kura tat-tfal u l-appoġġ għat-tfal (il-prinċipju 11), id-dħul għall-anzjani u l-pensjonijiet (il-prinċipju 15) u l-kura fit-tul (il-prinċipju 18).</w:t>
      </w:r>
    </w:p>
  </w:footnote>
  <w:footnote w:id="45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 xml:space="preserve">International Finance Corporation,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Moving toward gender balance in private equity and venture capital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, 2019; Biegel, S., Hunt, S. M., Kuhlman, S.,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Project Sage 2.0 Tracking venture capital with a gender lens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, 2019; </w:t>
      </w:r>
      <w:r>
        <w:rPr>
          <w:rFonts w:ascii="Times New Roman" w:hAnsi="Times New Roman"/>
          <w:lang w:val="en-IE"/>
        </w:rPr>
        <w:t>u</w:t>
      </w:r>
      <w:r>
        <w:rPr>
          <w:rFonts w:ascii="Times New Roman" w:hAnsi="Times New Roman"/>
        </w:rPr>
        <w:t xml:space="preserve"> Atomico,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State of European Tech 2019 Report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, </w:t>
      </w:r>
      <w:hyperlink r:id="rId19" w:history="1">
        <w:r>
          <w:rPr>
            <w:rStyle w:val="Hyperlink"/>
            <w:rFonts w:ascii="Times New Roman" w:hAnsi="Times New Roman"/>
            <w:u w:val="none"/>
          </w:rPr>
          <w:t>https://2019.stateofeuropeantech.com/chapter/state-european-tech-2019/article/executive-summary</w:t>
        </w:r>
      </w:hyperlink>
      <w:r>
        <w:rPr>
          <w:rFonts w:ascii="Times New Roman" w:hAnsi="Times New Roman"/>
        </w:rPr>
        <w:t xml:space="preserve"> – ara l-infografiki.</w:t>
      </w:r>
    </w:p>
  </w:footnote>
  <w:footnote w:id="4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0" w:history="1">
        <w:r>
          <w:rPr>
            <w:rStyle w:val="Hyperlink"/>
            <w:rFonts w:ascii="Times New Roman" w:hAnsi="Times New Roman"/>
            <w:u w:val="none"/>
          </w:rPr>
          <w:t>https://ec.europa.eu/research/eic/index.cfm</w:t>
        </w:r>
      </w:hyperlink>
      <w:r>
        <w:rPr>
          <w:rStyle w:val="Hyperlink"/>
          <w:rFonts w:ascii="Times New Roman" w:hAnsi="Times New Roman"/>
          <w:u w:val="none"/>
        </w:rPr>
        <w:t>.</w:t>
      </w:r>
      <w:r>
        <w:rPr>
          <w:rFonts w:ascii="Times New Roman" w:hAnsi="Times New Roman"/>
        </w:rPr>
        <w:t xml:space="preserve"> </w:t>
      </w:r>
    </w:p>
  </w:footnote>
  <w:footnote w:id="47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Rapport PISA tal-2019,</w:t>
      </w:r>
      <w:hyperlink r:id="rId21" w:history="1">
        <w:r>
          <w:rPr>
            <w:rStyle w:val="Hyperlink"/>
            <w:rFonts w:ascii="Times New Roman" w:hAnsi="Times New Roman"/>
            <w:u w:val="none"/>
          </w:rPr>
          <w:t xml:space="preserve"> http://www.oecd.org/pisa/PISA%202018%20Insights%20and%20Interpretations%20FINAL%20PDF.pdf</w:t>
        </w:r>
      </w:hyperlink>
      <w:r>
        <w:rPr>
          <w:rFonts w:ascii="Times New Roman" w:hAnsi="Times New Roman"/>
        </w:rPr>
        <w:t>; Il-Kummissjoni Ewropea, “Nisa fiż-Żmien Diġitali – Rapport Finali”, 2018; u r-”Rapport tal-2020 dwar id-Diskrepanza bejn is-Sessi” tal-Forum Ekonomiku Dinji – ara l-infografiki.</w:t>
      </w:r>
    </w:p>
  </w:footnote>
  <w:footnote w:id="4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“</w:t>
      </w:r>
      <w:r>
        <w:rPr>
          <w:rFonts w:ascii="Times New Roman" w:hAnsi="Times New Roman"/>
          <w:lang w:val="en-GB"/>
        </w:rPr>
        <w:t>A decomposition of the unadjusted gender pay gap using Structure of Earnings Survey data</w:t>
      </w:r>
      <w:r>
        <w:rPr>
          <w:rFonts w:ascii="Times New Roman" w:hAnsi="Times New Roman"/>
        </w:rPr>
        <w:t>”, Dokument ta’ ħidma statistika, 2018.</w:t>
      </w:r>
    </w:p>
  </w:footnote>
  <w:footnote w:id="49">
    <w:p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Il-Kummissjoni Ewropea, “</w:t>
      </w:r>
      <w:r>
        <w:rPr>
          <w:rFonts w:ascii="Times New Roman" w:hAnsi="Times New Roman"/>
          <w:sz w:val="20"/>
          <w:szCs w:val="20"/>
          <w:lang w:val="en-US"/>
        </w:rPr>
        <w:t>ICT for Work: Digital Skills in the Workplace” (</w:t>
      </w:r>
      <w:r>
        <w:rPr>
          <w:rFonts w:ascii="Times New Roman" w:hAnsi="Times New Roman"/>
          <w:sz w:val="20"/>
          <w:szCs w:val="20"/>
        </w:rPr>
        <w:t>ICT għax-Xogħol: Ħiliet Diġitali fil-Post tax-Xogħol</w:t>
      </w:r>
      <w:r>
        <w:rPr>
          <w:rFonts w:ascii="Times New Roman" w:hAnsi="Times New Roman"/>
          <w:sz w:val="20"/>
          <w:szCs w:val="20"/>
          <w:lang w:val="en-IE"/>
        </w:rPr>
        <w:t>)</w:t>
      </w:r>
      <w:r>
        <w:rPr>
          <w:rFonts w:ascii="Times New Roman" w:hAnsi="Times New Roman"/>
          <w:sz w:val="20"/>
          <w:szCs w:val="20"/>
        </w:rPr>
        <w:t xml:space="preserve">, 2017. </w:t>
      </w:r>
    </w:p>
  </w:footnote>
  <w:footnote w:id="50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>It-Teknoloġija tal-Informatika u tal-Komunikazzjoni.</w:t>
      </w:r>
    </w:p>
  </w:footnote>
  <w:footnote w:id="51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2" w:history="1">
        <w:r>
          <w:rPr>
            <w:rStyle w:val="Hyperlink"/>
            <w:rFonts w:ascii="Times New Roman" w:hAnsi="Times New Roman"/>
            <w:u w:val="none"/>
          </w:rPr>
          <w:t>https://ec.europa.eu/eurostat/web/products-eurostat-news/-/EDN-20180425-1</w:t>
        </w:r>
      </w:hyperlink>
      <w:r>
        <w:rPr>
          <w:rFonts w:ascii="Times New Roman" w:hAnsi="Times New Roman"/>
        </w:rPr>
        <w:t>.</w:t>
      </w:r>
    </w:p>
  </w:footnote>
  <w:footnote w:id="52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3" w:history="1">
        <w:r>
          <w:rPr>
            <w:rStyle w:val="Hyperlink"/>
            <w:rFonts w:ascii="Times New Roman" w:hAnsi="Times New Roman"/>
            <w:u w:val="none"/>
          </w:rPr>
          <w:t>https://op.europa.eu/en/publication-detail/-/publication/9540ffa1-4478-11e9-a8ed-01aa75ed71a1/language-en</w:t>
        </w:r>
      </w:hyperlink>
      <w:r>
        <w:rPr>
          <w:rFonts w:ascii="Times New Roman" w:hAnsi="Times New Roman"/>
        </w:rPr>
        <w:t>.</w:t>
      </w:r>
    </w:p>
  </w:footnote>
  <w:footnote w:id="53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>Ix-Xjenza, it-Teknoloġija, l-Inġinerija u l-Matematika.</w:t>
      </w:r>
    </w:p>
  </w:footnote>
  <w:footnote w:id="54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2018 International Computer and Information Literacy Study (ICILS).</w:t>
      </w:r>
    </w:p>
  </w:footnote>
  <w:footnote w:id="55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4" w:history="1">
        <w:r>
          <w:rPr>
            <w:rStyle w:val="Hyperlink"/>
            <w:rFonts w:ascii="Times New Roman" w:hAnsi="Times New Roman"/>
            <w:u w:val="none"/>
          </w:rPr>
          <w:t>https://ec.europa.eu/digital-single-market/en/news/eu-countries-commit-boost-participation-women-digital</w:t>
        </w:r>
      </w:hyperlink>
      <w:r>
        <w:rPr>
          <w:rFonts w:ascii="Times New Roman" w:hAnsi="Times New Roman"/>
        </w:rPr>
        <w:t>.</w:t>
      </w:r>
    </w:p>
  </w:footnote>
  <w:footnote w:id="56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2018 </w:t>
      </w:r>
      <w:r>
        <w:rPr>
          <w:rFonts w:ascii="Times New Roman" w:hAnsi="Times New Roman"/>
          <w:lang w:val="fr-BE"/>
        </w:rPr>
        <w:t>fuq</w:t>
      </w:r>
      <w:r>
        <w:rPr>
          <w:rFonts w:ascii="Times New Roman" w:hAnsi="Times New Roman"/>
        </w:rPr>
        <w:t xml:space="preserve"> </w:t>
      </w:r>
      <w:hyperlink r:id="rId25" w:history="1">
        <w:r>
          <w:rPr>
            <w:rFonts w:ascii="Times New Roman" w:hAnsi="Times New Roman"/>
            <w:color w:val="0000FF"/>
          </w:rPr>
          <w:t>https://ec.europa.eu/eurostat/databrowser/product/view/SDG_05_20?lang=en</w:t>
        </w:r>
      </w:hyperlink>
      <w:r>
        <w:rPr>
          <w:rFonts w:ascii="Times New Roman" w:hAnsi="Times New Roman"/>
        </w:rPr>
        <w:t xml:space="preserve">; </w:t>
      </w:r>
      <w:hyperlink r:id="rId26" w:history="1">
        <w:r>
          <w:rPr>
            <w:rFonts w:ascii="Times New Roman" w:hAnsi="Times New Roman"/>
            <w:color w:val="0000FF"/>
          </w:rPr>
          <w:t>https://appsso.eurostat.ec.europa.eu/nui/show.do?dataset=ilc_pnp13&amp;lang=en</w:t>
        </w:r>
      </w:hyperlink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fr-BE"/>
        </w:rPr>
        <w:t>u</w:t>
      </w:r>
      <w:r>
        <w:rPr>
          <w:rFonts w:ascii="Times New Roman" w:hAnsi="Times New Roman"/>
        </w:rPr>
        <w:t xml:space="preserve"> </w:t>
      </w:r>
      <w:hyperlink r:id="rId27" w:history="1">
        <w:r>
          <w:rPr>
            <w:rFonts w:ascii="Times New Roman" w:hAnsi="Times New Roman"/>
            <w:color w:val="0000FF"/>
          </w:rPr>
          <w:t>https://appsso.eurostat.ec.europa.eu/nui/show.do?dataset=ilc_pnp14&amp;lang=en</w:t>
        </w:r>
      </w:hyperlink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lang w:val="fr-BE"/>
        </w:rPr>
        <w:t>ara l-infografiki</w:t>
      </w:r>
      <w:r>
        <w:rPr>
          <w:rFonts w:ascii="Times New Roman" w:hAnsi="Times New Roman"/>
        </w:rPr>
        <w:t>.</w:t>
      </w:r>
    </w:p>
  </w:footnote>
  <w:footnote w:id="57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Waħda mir-raġunijiet hija l-fatt li bħala medja n-nisa jqattgħu inqas sigħat f’xogħol imħallas mill-irġiel: filwaqt li 8 % biss tal-irġiel fl-UE jaħdmu part-time, kważi terz tan-nisa madwar l-UE (31 %) jagħmlu dan - ara l-Eurostat, 2018,</w:t>
      </w:r>
      <w:hyperlink r:id="rId28" w:history="1">
        <w:r>
          <w:rPr>
            <w:rStyle w:val="Hyperlink"/>
            <w:rFonts w:ascii="Times New Roman" w:hAnsi="Times New Roman"/>
            <w:u w:val="none"/>
          </w:rPr>
          <w:t>https://ec.europa.eu/eurostat/web/products-eurostat-news/-/DDN-20190621-1</w:t>
        </w:r>
      </w:hyperlink>
      <w:r>
        <w:rPr>
          <w:rFonts w:ascii="Times New Roman" w:hAnsi="Times New Roman"/>
        </w:rPr>
        <w:t>.</w:t>
      </w:r>
    </w:p>
  </w:footnote>
  <w:footnote w:id="5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Evalwazzjoni tad-dispożizzjoni rilevanti fid-Direttiva 2006/54/KE li timplimenta l-prinċipju tat-Trattat dwar “paga ugwali għal xogħol ugwali jew xogħol ta’ valur ugwali”, SWD (2020) 50; Rapport dwar l-implimentazzjoni tal-Pjan ta’ Azzjoni 2017-2019 tal-UE dwar l-indirizzar tad-differenza bejn il-pagi tal-irġiel u tan-nisa, COM(2020)101.</w:t>
      </w:r>
    </w:p>
  </w:footnote>
  <w:footnote w:id="5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Għandha titnieda flimkien ma’ din l-istrateġija.</w:t>
      </w:r>
    </w:p>
  </w:footnote>
  <w:footnote w:id="60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Rapport finali dwar il-grupp ta’ esperti f’livell għoli dwar il-pensjonijiet, Diċembru 2019,</w:t>
      </w:r>
      <w:r>
        <w:rPr>
          <w:rFonts w:ascii="Times New Roman" w:hAnsi="Times New Roman"/>
        </w:rPr>
        <w:br/>
      </w:r>
      <w:hyperlink r:id="rId29" w:history="1">
        <w:r>
          <w:rPr>
            <w:rStyle w:val="Hyperlink"/>
            <w:rFonts w:ascii="Times New Roman" w:hAnsi="Times New Roman"/>
            <w:u w:val="none"/>
          </w:rPr>
          <w:t>https://ec.europa.eu/transparency/regexpert/index.cfm?do=groupDetail.groupDetail&amp;groupID=3589&amp;Lang=MT</w:t>
        </w:r>
      </w:hyperlink>
      <w:r>
        <w:rPr>
          <w:rFonts w:ascii="Times New Roman" w:hAnsi="Times New Roman"/>
        </w:rPr>
        <w:t>.</w:t>
      </w:r>
    </w:p>
  </w:footnote>
  <w:footnote w:id="6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>Maldonado, L. C., &amp; Nieuwenhuis, R., “Family policies and single parent poverty in 18 OECD countries (Politiki tal-familja u faqar ta’ ġenituri waħedhom fi 18-il pajjiż tal-OECD), 1978-2008”. Komunità, Xogħol u Familja, 18(4): 395–415.</w:t>
      </w:r>
    </w:p>
  </w:footnote>
  <w:footnote w:id="6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0" w:history="1">
        <w:r>
          <w:rPr>
            <w:rStyle w:val="Hyperlink"/>
            <w:rFonts w:ascii="Times New Roman" w:hAnsi="Times New Roman"/>
            <w:u w:val="none"/>
          </w:rPr>
          <w:t>https://www.ilo.org/wcmsp5/groups/public/---dgreports/---cabinet/documents/publication/wcms_713376.pdf</w:t>
        </w:r>
      </w:hyperlink>
      <w:r>
        <w:rPr>
          <w:rFonts w:ascii="Times New Roman" w:hAnsi="Times New Roman"/>
        </w:rPr>
        <w:t xml:space="preserve">. </w:t>
      </w:r>
    </w:p>
  </w:footnote>
  <w:footnote w:id="63">
    <w:p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>Eurofound, “Striking a balance (It-tiftix ta’ bilanċ): Reconciling work and life in the EU” (Ir-rikonċiljazzjoni tax-xogħol u l-ħajja fl-UE), 2018 – ara l-infografiki.</w:t>
      </w:r>
    </w:p>
  </w:footnote>
  <w:footnote w:id="64">
    <w:p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rFonts w:ascii="Times New Roman" w:hAnsi="Times New Roman"/>
          <w:noProof/>
        </w:rPr>
        <w:t xml:space="preserve"> Hoffmann, F., &amp; Rodrigues, R., “Informal carers: who takes care of them?”, Sommarju tal-politika ta’ April 2010 Ċentru Ewropew għall-Politika u r-Riċerka dwar l-Assistenza Soċjali, Vjenna - ara l-infografiki.</w:t>
      </w:r>
    </w:p>
  </w:footnote>
  <w:footnote w:id="65">
    <w:p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rFonts w:ascii="Times New Roman" w:hAnsi="Times New Roman"/>
          <w:noProof/>
        </w:rPr>
        <w:t xml:space="preserve"> </w:t>
      </w:r>
      <w:hyperlink r:id="rId31" w:history="1">
        <w:r>
          <w:rPr>
            <w:rStyle w:val="Hyperlink"/>
            <w:rFonts w:ascii="Times New Roman" w:hAnsi="Times New Roman"/>
            <w:noProof/>
            <w:u w:val="none"/>
          </w:rPr>
          <w:t>https://ec.europa.eu/info/sites/info/files/bcn_objectives-report2018_web_en.pdf</w:t>
        </w:r>
      </w:hyperlink>
      <w:r>
        <w:rPr>
          <w:rFonts w:ascii="Times New Roman" w:hAnsi="Times New Roman"/>
          <w:noProof/>
        </w:rPr>
        <w:t>.</w:t>
      </w:r>
    </w:p>
  </w:footnote>
  <w:footnote w:id="66">
    <w:p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rFonts w:ascii="Times New Roman" w:hAnsi="Times New Roman"/>
          <w:noProof/>
        </w:rPr>
        <w:t xml:space="preserve"> Dan jinkludi d-Direttiva riformulata dwar l-ugwaljanza bejn is-sessi fl-impjieg u fix-xogħol, id-Direttivi dwar l-ugwaljanza bejn is-sessi f’dawk li jaħdmu għal rashom, fl-aċċess għall-prodotti u s-servizzi, fis-sigurtà soċjali, fit-tqala u fil-maternità, fid-Direttiva dwar ix-xogħol part-time, fid-Direttiva dwar kundizzjonijiet tax-xogħol trasparenti u prevedibbli, fir-Rakkomandazzjoni dwar l-aċċess għall-protezzjoni soċjali, u fir-Rakkomandazzjoni dwar il-korpi tal-ugwaljanza.</w:t>
      </w:r>
    </w:p>
  </w:footnote>
  <w:footnote w:id="67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 xml:space="preserve">EIGE Gender Statistics Database,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National parliaments: Single/lower house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>, 2019 – ara l-infografika.</w:t>
      </w:r>
    </w:p>
  </w:footnote>
  <w:footnote w:id="68">
    <w:p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>ILO, “The business case for change”, 2019; McKinsey, “Women Matter report”, 2017; Catalyst, “Why Diversity and Inclusion Matter”, 2018; Rohini Anand, “Gender-Balanced Teams Linked to Better Business Performance: A Sodexo Study”, 2016.</w:t>
      </w:r>
    </w:p>
  </w:footnote>
  <w:footnote w:id="6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IE"/>
        </w:rPr>
        <w:t>Bażi tad-</w:t>
      </w:r>
      <w:r>
        <w:rPr>
          <w:rFonts w:ascii="Times New Roman" w:hAnsi="Times New Roman"/>
          <w:i/>
          <w:lang w:val="en-IE"/>
        </w:rPr>
        <w:t>data</w:t>
      </w:r>
      <w:r>
        <w:rPr>
          <w:rFonts w:ascii="Times New Roman" w:hAnsi="Times New Roman"/>
          <w:lang w:val="en-IE"/>
        </w:rPr>
        <w:t xml:space="preserve"> tal-</w:t>
      </w:r>
      <w:r>
        <w:rPr>
          <w:rFonts w:ascii="Times New Roman" w:hAnsi="Times New Roman"/>
        </w:rPr>
        <w:t>EIGE</w:t>
      </w:r>
      <w:r>
        <w:rPr>
          <w:rFonts w:ascii="Times New Roman" w:hAnsi="Times New Roman"/>
          <w:lang w:val="en-IE"/>
        </w:rPr>
        <w:t xml:space="preserve"> għall-istatistiki marbuta mal-ġeneru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  <w:noProof/>
        </w:rPr>
        <w:t>Women and men in decision-making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 2019 – ara l-infografika.</w:t>
      </w:r>
    </w:p>
  </w:footnote>
  <w:footnote w:id="7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COM(2012)614 final.</w:t>
      </w:r>
    </w:p>
  </w:footnote>
  <w:footnote w:id="71">
    <w:p>
      <w:pPr>
        <w:pStyle w:val="FootnoteText"/>
        <w:jc w:val="both"/>
        <w:rPr>
          <w:rFonts w:ascii="Times New Roman" w:hAnsi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Hemm riżultati pożittivi f’diversi pajjiżi li introduċew miżuri leġiżlattivi rilevanti, inkluż Franza, l-Italja, il-Belġju, il-Ġermanja u aktar reċentement l-Awstrija u l-Portugall. Ara </w:t>
      </w:r>
    </w:p>
    <w:p>
      <w:pPr>
        <w:pStyle w:val="FootnoteText"/>
        <w:jc w:val="both"/>
        <w:rPr>
          <w:rFonts w:ascii="Times New Roman" w:hAnsi="Times New Roman" w:cs="Times New Roman"/>
        </w:rPr>
      </w:pPr>
      <w:hyperlink r:id="rId32" w:history="1">
        <w:r>
          <w:rPr>
            <w:rStyle w:val="Hyperlink"/>
            <w:rFonts w:ascii="Times New Roman" w:hAnsi="Times New Roman"/>
            <w:u w:val="none"/>
          </w:rPr>
          <w:t>https://eige.europa.eu/publications/gender-equality-index-2019-report/more-gender-equality-corporate-boards-only-few-member-states</w:t>
        </w:r>
      </w:hyperlink>
      <w:r>
        <w:rPr>
          <w:rFonts w:ascii="Times New Roman" w:hAnsi="Times New Roman"/>
        </w:rPr>
        <w:t>.</w:t>
      </w:r>
    </w:p>
  </w:footnote>
  <w:footnote w:id="72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3" w:history="1">
        <w:r>
          <w:rPr>
            <w:rStyle w:val="Hyperlink"/>
            <w:rFonts w:ascii="Times New Roman" w:hAnsi="Times New Roman"/>
            <w:u w:val="none"/>
          </w:rPr>
          <w:t>https://ec.europa.eu/info/policies/justice-and-fundamental-rights/combatting-discrimination/tackling-discrimination/diversity-management/eu-platform-diversity-charters_en</w:t>
        </w:r>
      </w:hyperlink>
      <w:r>
        <w:rPr>
          <w:rStyle w:val="Hyperlink"/>
          <w:rFonts w:ascii="Times New Roman" w:hAnsi="Times New Roman"/>
          <w:u w:val="none"/>
        </w:rPr>
        <w:t>.</w:t>
      </w:r>
    </w:p>
  </w:footnote>
  <w:footnote w:id="73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fr-BE"/>
        </w:rPr>
        <w:t>Il-p</w:t>
      </w:r>
      <w:r>
        <w:rPr>
          <w:rFonts w:ascii="Times New Roman" w:hAnsi="Times New Roman"/>
        </w:rPr>
        <w:t xml:space="preserve">roġetti rilevanti jinkludu n-Nisa Ewropej fuq il-Bordijiet: </w:t>
      </w:r>
      <w:hyperlink r:id="rId34" w:history="1">
        <w:r>
          <w:rPr>
            <w:rStyle w:val="Hyperlink"/>
            <w:rFonts w:ascii="Times New Roman" w:hAnsi="Times New Roman"/>
            <w:u w:val="none"/>
          </w:rPr>
          <w:t>https://europeanwomenonboards.eu/</w:t>
        </w:r>
      </w:hyperlink>
      <w:r>
        <w:rPr>
          <w:rFonts w:ascii="Times New Roman" w:hAnsi="Times New Roman"/>
        </w:rPr>
        <w:t>.</w:t>
      </w:r>
    </w:p>
  </w:footnote>
  <w:footnote w:id="74">
    <w:p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lang w:val="fr-BE"/>
        </w:rPr>
        <w:t xml:space="preserve"> </w:t>
      </w:r>
      <w:r>
        <w:rPr>
          <w:rFonts w:ascii="Times New Roman" w:hAnsi="Times New Roman"/>
          <w:sz w:val="20"/>
          <w:szCs w:val="20"/>
        </w:rPr>
        <w:t>Ir-Regolament 2018/673 li jemenda r-Regolament (UE, Euratom) Nru 1141/2014 dwar l-istatut u l-finanzjament tal-partiti politiċi Ewropej u l-fondazzjonijiet politiċi Ewropej, il-premessa 6.</w:t>
      </w:r>
    </w:p>
  </w:footnote>
  <w:footnote w:id="75">
    <w:p>
      <w:pPr>
        <w:pStyle w:val="FootnoteText"/>
        <w:jc w:val="both"/>
        <w:rPr>
          <w:rFonts w:ascii="Times New Roman" w:hAnsi="Times New Roman" w:cs="Times New Roman"/>
          <w:sz w:val="22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Fl-2019, 41 % tal-maniġers fil-Kummissjoni kienu nisa (minn 30 % fl-2014). Dan kien jinkludi 37 % tal-maniġers superjuri (minn 27 %) u 42 % tal-maniġers intermedji (minn 31 %).</w:t>
      </w:r>
    </w:p>
  </w:footnote>
  <w:footnote w:id="7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Għall-miżuri eżistenti: Il-Kummissjoni Ewropea, “</w:t>
      </w:r>
      <w:r>
        <w:rPr>
          <w:rFonts w:ascii="Times New Roman" w:hAnsi="Times New Roman"/>
          <w:lang w:val="en-US"/>
        </w:rPr>
        <w:t>Diversity and Gender Equality Report 2019” (</w:t>
      </w:r>
      <w:r>
        <w:rPr>
          <w:rFonts w:ascii="Times New Roman" w:hAnsi="Times New Roman"/>
        </w:rPr>
        <w:t>Rapport tal-2019 dwar id-Diversità u l-Ugwaljanza bejn is-Sessi</w:t>
      </w:r>
      <w:r>
        <w:rPr>
          <w:rFonts w:ascii="Times New Roman" w:hAnsi="Times New Roman"/>
          <w:lang w:val="en-IE"/>
        </w:rPr>
        <w:t>)</w:t>
      </w:r>
      <w:r>
        <w:rPr>
          <w:rFonts w:ascii="Times New Roman" w:hAnsi="Times New Roman"/>
        </w:rPr>
        <w:t>, Brussell, is-6 ta’ Novembru 2019.</w:t>
      </w:r>
    </w:p>
  </w:footnote>
  <w:footnote w:id="77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Aktar minn tliet minn kull erba’ aġenziji bħalissa huma mmexxija mill-irġiel.</w:t>
      </w:r>
    </w:p>
  </w:footnote>
  <w:footnote w:id="78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5" w:history="1">
        <w:r>
          <w:rPr>
            <w:rStyle w:val="Hyperlink"/>
            <w:rFonts w:ascii="Times New Roman" w:hAnsi="Times New Roman"/>
            <w:u w:val="none"/>
          </w:rPr>
          <w:t>https://ec.europa.eu/info/policies/justice-and-fundamental-rights/gender-equality/who-we-work-gender-equality/mutual-learning-programme-gender-equality_en</w:t>
        </w:r>
      </w:hyperlink>
      <w:r>
        <w:rPr>
          <w:rFonts w:ascii="Times New Roman" w:hAnsi="Times New Roman"/>
        </w:rPr>
        <w:t>.</w:t>
      </w:r>
    </w:p>
  </w:footnote>
  <w:footnote w:id="7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It-Task Force se tiffaċilita l-integrazzjoni tal-ugwaljanza fir-rigward ta’ sitt raġunijiet ta’ diskriminazzjoni: sess, razza jew oriġini etnika, reliġjon jew twemmin, diżabbiltà, età u orjentazzjoni sesswali.</w:t>
      </w:r>
    </w:p>
  </w:footnote>
  <w:footnote w:id="80">
    <w:p>
      <w:pPr>
        <w:pStyle w:val="FootnoteText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Fiż-żewġ każijiet, attenzjoni speċifika lejn l-anzjani (f’termini ta’ rinnovazzjonijiet sostenibbli futuri jew, għal politiki ta’ adattament tal-klima, miżuri matul perjodi ta’ sħana estrema biex itejbu l-idratazzjoni) se jkollhom, pereżempju, impatt pożittiv fuq in-nisa b’mod partikolari minħabba li huma jiffurmaw il-maġġoranza tal-popolazzjoni anzjana.</w:t>
      </w:r>
    </w:p>
  </w:footnote>
  <w:footnote w:id="8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COM/2018/375 final.</w:t>
      </w:r>
    </w:p>
  </w:footnote>
  <w:footnote w:id="82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6" w:history="1">
        <w:r>
          <w:rPr>
            <w:rStyle w:val="Hyperlink"/>
            <w:rFonts w:ascii="Times New Roman" w:hAnsi="Times New Roman"/>
            <w:u w:val="none"/>
          </w:rPr>
          <w:t>https://ec.europa.eu/jrc/en/news/how-big-eus-blue-economy-eu-report-potential-coasts-and-oceans-provide-sustainable-economic-growth</w:t>
        </w:r>
      </w:hyperlink>
      <w:r>
        <w:rPr>
          <w:rFonts w:ascii="Times New Roman" w:hAnsi="Times New Roman"/>
        </w:rPr>
        <w:t>.</w:t>
      </w:r>
    </w:p>
  </w:footnote>
  <w:footnote w:id="83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7" w:history="1">
        <w:r>
          <w:rPr>
            <w:rStyle w:val="Hyperlink"/>
            <w:rFonts w:ascii="Times New Roman" w:hAnsi="Times New Roman"/>
            <w:u w:val="none"/>
          </w:rPr>
          <w:t>http://www.europarl.europa.eu/meetdocs/2014_2019/plmrep/COMMITTEES/FEMM/DV/2018/09-03/20180828DraftResolutionGenderBudgetingintheEUBudget-thewayforward_EN.pdf</w:t>
        </w:r>
      </w:hyperlink>
      <w:r>
        <w:rPr>
          <w:rFonts w:ascii="Times New Roman" w:hAnsi="Times New Roman"/>
        </w:rPr>
        <w:t>.</w:t>
      </w:r>
    </w:p>
  </w:footnote>
  <w:footnote w:id="84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8" w:history="1">
        <w:r>
          <w:rPr>
            <w:rStyle w:val="Hyperlink"/>
            <w:rFonts w:ascii="Times New Roman" w:hAnsi="Times New Roman"/>
            <w:u w:val="none"/>
          </w:rPr>
          <w:t>https://europa.eu/capacity4dev/articles/eu-gender-action-plan-ii-how-eu-delegations-contribute-gender-equality-worldwide</w:t>
        </w:r>
      </w:hyperlink>
      <w:r>
        <w:rPr>
          <w:rFonts w:ascii="Times New Roman" w:hAnsi="Times New Roman"/>
        </w:rPr>
        <w:t>.</w:t>
      </w:r>
    </w:p>
  </w:footnote>
  <w:footnote w:id="85">
    <w:p>
      <w:pPr>
        <w:pStyle w:val="FootnoteText"/>
        <w:jc w:val="both"/>
        <w:rPr>
          <w:rFonts w:ascii="Times New Roman" w:hAnsi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L-Approċċ Strateġiku tal-UE għan-Nisa, il-Paċi u s-Sigurtà (WPS, Women, Peace and Security) huwa anness mal-Konklużjonijiet tal-Kunsill tal-Affarijiet Barranin dwar id-WPS adottati fl-10 ta’ Diċembru 2018, (dokument tal-Kunsill 15086/18), </w:t>
      </w:r>
      <w:hyperlink r:id="rId39" w:history="1">
        <w:r>
          <w:rPr>
            <w:rStyle w:val="Hyperlink"/>
            <w:rFonts w:ascii="Times New Roman" w:hAnsi="Times New Roman"/>
            <w:u w:val="none"/>
          </w:rPr>
          <w:t>https://www.consilium.europa.eu/media/37412/st15086-en18.pdf</w:t>
        </w:r>
      </w:hyperlink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br/>
        <w:t>u l-Pjan ta’ Azzjoni tal-UE dwar in-Nisa, il-Paċi u s-Sigurtà (WPS) għall-perjodu 2019-2024, tal-4 ta’ Lulju 2019 SEAE (2019) 747,</w:t>
      </w:r>
    </w:p>
    <w:p>
      <w:pPr>
        <w:pStyle w:val="FootnoteText"/>
        <w:jc w:val="both"/>
        <w:rPr>
          <w:rFonts w:ascii="Times New Roman" w:hAnsi="Times New Roman" w:cs="Times New Roman"/>
        </w:rPr>
      </w:pPr>
      <w:hyperlink r:id="rId40" w:history="1">
        <w:r>
          <w:rPr>
            <w:rStyle w:val="Hyperlink"/>
            <w:rFonts w:ascii="Times New Roman" w:hAnsi="Times New Roman"/>
            <w:u w:val="none"/>
          </w:rPr>
          <w:t>https://www.consilium.europa.eu/register/en/content/out?&amp;typ=ENTRY&amp;i=ADV&amp;DOC_ID=ST-11031-2019-INIT</w:t>
        </w:r>
      </w:hyperlink>
      <w:r>
        <w:rPr>
          <w:rFonts w:ascii="Times New Roman" w:hAnsi="Times New Roman"/>
        </w:rPr>
        <w:t>.</w:t>
      </w:r>
    </w:p>
  </w:footnote>
  <w:footnote w:id="8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BE"/>
        </w:rPr>
        <w:t xml:space="preserve"> </w:t>
      </w:r>
      <w:r>
        <w:rPr>
          <w:rFonts w:ascii="Times New Roman" w:hAnsi="Times New Roman"/>
        </w:rPr>
        <w:t>Il-kejl isir skont il-Punt ta’ Riferiment tal-Politika dwar l-Ugwaljanza bejn is-Sessi tal-OECD</w:t>
      </w:r>
      <w:r>
        <w:t>.</w:t>
      </w:r>
      <w:r>
        <w:rPr>
          <w:rFonts w:ascii="Times New Roman" w:hAnsi="Times New Roman"/>
        </w:rPr>
        <w:t xml:space="preserve"> B’mod speċifiku għall-għajnuna umanitarja, il-Kummissjoni tapplika l-punt ta’ riferiment umanitarju tagħha stess li jieħu kont tal-ġeneru u tal-età.</w:t>
      </w:r>
    </w:p>
  </w:footnote>
  <w:footnote w:id="87">
    <w:p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Ir-riżoluzzjonijiet reċenti tal-Parlament Ewropew dwar l-ugwaljanza bejn is-sessi jinkludu: Ir-riżoluzzjoni</w:t>
      </w:r>
      <w:r>
        <w:t xml:space="preserve"> </w:t>
      </w:r>
      <w:hyperlink r:id="rId41" w:history="1">
        <w:r>
          <w:rPr>
            <w:rStyle w:val="Hyperlink"/>
            <w:rFonts w:ascii="Times New Roman" w:hAnsi="Times New Roman"/>
            <w:sz w:val="20"/>
            <w:szCs w:val="20"/>
            <w:u w:val="none"/>
          </w:rPr>
          <w:t>2019/2870(RSP)</w:t>
        </w:r>
      </w:hyperlink>
      <w:r>
        <w:t xml:space="preserve"> </w:t>
      </w:r>
      <w:r>
        <w:rPr>
          <w:rFonts w:ascii="Times New Roman" w:hAnsi="Times New Roman"/>
          <w:sz w:val="20"/>
          <w:szCs w:val="20"/>
        </w:rPr>
        <w:t>tal-Parlament Ewropew (RSP)</w:t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tat-30 ta’ Jannar 2020 dwar id-differenza fil-pagi tal-irġiel u tan-nisa; Ir-riżoluzzjoni </w:t>
      </w:r>
      <w:hyperlink r:id="rId42" w:history="1">
        <w:r>
          <w:rPr>
            <w:rStyle w:val="Hyperlink"/>
            <w:rFonts w:ascii="Times New Roman" w:hAnsi="Times New Roman"/>
            <w:sz w:val="20"/>
            <w:szCs w:val="20"/>
            <w:u w:val="none"/>
          </w:rPr>
          <w:t>2019/2855(RSP)</w:t>
        </w:r>
      </w:hyperlink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tal-Parlament Ewropew (RSP) tat-28 ta’ Novembru 2019 dwar l-adeżjoni tal-UE għall-Konvenzjoni ta’ Istambul u miżuri oħra biex tiġi miġġielda l-vjolenza sessista; Ir-riżoluzzjoni tal-Parlament Ewropew </w:t>
      </w:r>
      <w:hyperlink r:id="rId43" w:history="1">
        <w:r>
          <w:rPr>
            <w:rStyle w:val="Hyperlink"/>
            <w:rFonts w:ascii="Times New Roman" w:hAnsi="Times New Roman"/>
            <w:sz w:val="20"/>
            <w:szCs w:val="20"/>
            <w:u w:val="none"/>
          </w:rPr>
          <w:t>2016/2249(INI)</w:t>
        </w:r>
      </w:hyperlink>
      <w:r>
        <w:rPr>
          <w:rFonts w:ascii="Times New Roman" w:hAnsi="Times New Roman"/>
          <w:sz w:val="20"/>
          <w:szCs w:val="20"/>
        </w:rPr>
        <w:t xml:space="preserve"> tal-14 ta’ Marzu 2017 dwar l-ugwaljanza bejn in-nisa u l-irġiel fl-Unjoni Ewropea fl-2014-2015. </w:t>
      </w:r>
    </w:p>
  </w:footnote>
  <w:footnote w:id="8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Il-Konklużjonijiet reċenti tal-Kunsill dwar l-ugwaljanza bejn is-sessi jinkludu: Il-Konklużjonijiet tal-Kunsill tal-10 ta’ Diċembru 2019 dwar ekonomiji ugwali bejn is-sessi fl-UE: It-triq ’il quddiem – analiżi ta’ 25 sena ta’ implimentazzjoni tal-Pjattaforma ta’ Azzjoni ta’ Beijing; Il-Konklużjonijiet tal-Kunsill tal-24 ta’ Ottubru 2019 dwar </w:t>
      </w:r>
      <w:r>
        <w:rPr>
          <w:rFonts w:ascii="Times New Roman" w:hAnsi="Times New Roman"/>
          <w:bCs/>
        </w:rPr>
        <w:t>L-Ekonomija tal-Benesseri</w:t>
      </w:r>
      <w:r>
        <w:rPr>
          <w:rFonts w:ascii="Times New Roman" w:hAnsi="Times New Roman"/>
        </w:rPr>
        <w:t xml:space="preserve">; </w:t>
      </w:r>
      <w:r>
        <w:rPr>
          <w:rFonts w:ascii="Times New Roman" w:hAnsi="Times New Roman"/>
          <w:bCs/>
        </w:rPr>
        <w:t>Il-Konklużjonijiet tal-Kunsill tat-13 ta’ Ġunju 2019 dwar l-Għeluq tad-Distakk fil-Pagi bejn is-Sessi: “Politiki u Miżuri Ewlenin”</w:t>
      </w:r>
      <w:r>
        <w:rPr>
          <w:rFonts w:ascii="Times New Roman" w:hAnsi="Times New Roman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4E68"/>
    <w:multiLevelType w:val="hybridMultilevel"/>
    <w:tmpl w:val="616849BE"/>
    <w:lvl w:ilvl="0" w:tplc="2E943616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9E7893"/>
    <w:multiLevelType w:val="hybridMultilevel"/>
    <w:tmpl w:val="C4D23E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D553C"/>
    <w:multiLevelType w:val="hybridMultilevel"/>
    <w:tmpl w:val="2B581C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320AD"/>
    <w:multiLevelType w:val="hybridMultilevel"/>
    <w:tmpl w:val="92228780"/>
    <w:lvl w:ilvl="0" w:tplc="EAC8A79C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96C70"/>
    <w:multiLevelType w:val="hybridMultilevel"/>
    <w:tmpl w:val="A322BAD0"/>
    <w:lvl w:ilvl="0" w:tplc="B886847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F10AA"/>
    <w:multiLevelType w:val="hybridMultilevel"/>
    <w:tmpl w:val="83AA8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744C2"/>
    <w:multiLevelType w:val="hybridMultilevel"/>
    <w:tmpl w:val="F19A64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22664"/>
    <w:multiLevelType w:val="hybridMultilevel"/>
    <w:tmpl w:val="1FCE8004"/>
    <w:lvl w:ilvl="0" w:tplc="80409E2A">
      <w:numFmt w:val="bullet"/>
      <w:lvlText w:val="-"/>
      <w:lvlJc w:val="left"/>
      <w:pPr>
        <w:ind w:left="1788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113C65AB"/>
    <w:multiLevelType w:val="hybridMultilevel"/>
    <w:tmpl w:val="EF3ED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C3818"/>
    <w:multiLevelType w:val="hybridMultilevel"/>
    <w:tmpl w:val="4C9A0CA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2404624"/>
    <w:multiLevelType w:val="hybridMultilevel"/>
    <w:tmpl w:val="2CEEF0F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85C96"/>
    <w:multiLevelType w:val="hybridMultilevel"/>
    <w:tmpl w:val="750E1AC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996626"/>
    <w:multiLevelType w:val="hybridMultilevel"/>
    <w:tmpl w:val="BA340CA4"/>
    <w:lvl w:ilvl="0" w:tplc="17BE2C34">
      <w:start w:val="1"/>
      <w:numFmt w:val="bullet"/>
      <w:pStyle w:val="B0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89625A"/>
    <w:multiLevelType w:val="hybridMultilevel"/>
    <w:tmpl w:val="CAB4EA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565CC"/>
    <w:multiLevelType w:val="hybridMultilevel"/>
    <w:tmpl w:val="7C927AF6"/>
    <w:lvl w:ilvl="0" w:tplc="A202B042">
      <w:start w:val="1"/>
      <w:numFmt w:val="decimal"/>
      <w:lvlText w:val="%1."/>
      <w:lvlJc w:val="left"/>
      <w:pPr>
        <w:ind w:left="360" w:hanging="360"/>
      </w:pPr>
      <w:rPr>
        <w:b/>
        <w:i w:val="0"/>
        <w:sz w:val="28"/>
        <w:szCs w:val="28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374086"/>
    <w:multiLevelType w:val="hybridMultilevel"/>
    <w:tmpl w:val="C2C6B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3B1969"/>
    <w:multiLevelType w:val="hybridMultilevel"/>
    <w:tmpl w:val="7C72AF7E"/>
    <w:lvl w:ilvl="0" w:tplc="E498240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343241"/>
    <w:multiLevelType w:val="hybridMultilevel"/>
    <w:tmpl w:val="3F6428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B76495"/>
    <w:multiLevelType w:val="hybridMultilevel"/>
    <w:tmpl w:val="9AC6131E"/>
    <w:lvl w:ilvl="0" w:tplc="2F2287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185CAF"/>
    <w:multiLevelType w:val="hybridMultilevel"/>
    <w:tmpl w:val="BD7CC05C"/>
    <w:lvl w:ilvl="0" w:tplc="08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>
    <w:nsid w:val="2200208C"/>
    <w:multiLevelType w:val="hybridMultilevel"/>
    <w:tmpl w:val="C2467B6C"/>
    <w:lvl w:ilvl="0" w:tplc="9DB4B2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23A5309"/>
    <w:multiLevelType w:val="hybridMultilevel"/>
    <w:tmpl w:val="78DCE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676A38"/>
    <w:multiLevelType w:val="hybridMultilevel"/>
    <w:tmpl w:val="60F64C8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835334"/>
    <w:multiLevelType w:val="hybridMultilevel"/>
    <w:tmpl w:val="72BCF7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0A7454"/>
    <w:multiLevelType w:val="hybridMultilevel"/>
    <w:tmpl w:val="1160F5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6110FB"/>
    <w:multiLevelType w:val="hybridMultilevel"/>
    <w:tmpl w:val="3D70678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E7086D"/>
    <w:multiLevelType w:val="hybridMultilevel"/>
    <w:tmpl w:val="C0B0939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94564D6"/>
    <w:multiLevelType w:val="hybridMultilevel"/>
    <w:tmpl w:val="7E0C06CC"/>
    <w:lvl w:ilvl="0" w:tplc="59D008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CD77D49"/>
    <w:multiLevelType w:val="hybridMultilevel"/>
    <w:tmpl w:val="63B695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4F470A"/>
    <w:multiLevelType w:val="hybridMultilevel"/>
    <w:tmpl w:val="48EAA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732AF8"/>
    <w:multiLevelType w:val="hybridMultilevel"/>
    <w:tmpl w:val="5B9036FA"/>
    <w:lvl w:ilvl="0" w:tplc="BE6E0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8A0F5D"/>
    <w:multiLevelType w:val="hybridMultilevel"/>
    <w:tmpl w:val="438232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3864C4"/>
    <w:multiLevelType w:val="hybridMultilevel"/>
    <w:tmpl w:val="DB0AC8C8"/>
    <w:lvl w:ilvl="0" w:tplc="5B4606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DA19EA"/>
    <w:multiLevelType w:val="hybridMultilevel"/>
    <w:tmpl w:val="AD6C9A2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3AC1498"/>
    <w:multiLevelType w:val="hybridMultilevel"/>
    <w:tmpl w:val="2C2E4D4E"/>
    <w:lvl w:ilvl="0" w:tplc="16B46DF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7CF35FE"/>
    <w:multiLevelType w:val="hybridMultilevel"/>
    <w:tmpl w:val="D63C4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EE1B06"/>
    <w:multiLevelType w:val="hybridMultilevel"/>
    <w:tmpl w:val="9D680D5E"/>
    <w:lvl w:ilvl="0" w:tplc="02A016C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7730C4"/>
    <w:multiLevelType w:val="singleLevel"/>
    <w:tmpl w:val="456C96DE"/>
    <w:lvl w:ilvl="0">
      <w:start w:val="1"/>
      <w:numFmt w:val="bullet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 w:cs="Symbol"/>
      </w:rPr>
    </w:lvl>
  </w:abstractNum>
  <w:abstractNum w:abstractNumId="38">
    <w:nsid w:val="3B3A68C8"/>
    <w:multiLevelType w:val="hybridMultilevel"/>
    <w:tmpl w:val="68DE966C"/>
    <w:lvl w:ilvl="0" w:tplc="EE444F74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sz w:val="28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FB030D"/>
    <w:multiLevelType w:val="hybridMultilevel"/>
    <w:tmpl w:val="843A42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671F4A"/>
    <w:multiLevelType w:val="hybridMultilevel"/>
    <w:tmpl w:val="10DC4EB6"/>
    <w:lvl w:ilvl="0" w:tplc="BE6E085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432B1353"/>
    <w:multiLevelType w:val="hybridMultilevel"/>
    <w:tmpl w:val="A886915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450B03C3"/>
    <w:multiLevelType w:val="hybridMultilevel"/>
    <w:tmpl w:val="D578F79C"/>
    <w:lvl w:ilvl="0" w:tplc="D9C634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FB5FC5"/>
    <w:multiLevelType w:val="hybridMultilevel"/>
    <w:tmpl w:val="BDEA5D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61F5772"/>
    <w:multiLevelType w:val="hybridMultilevel"/>
    <w:tmpl w:val="08D4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83D0E8A"/>
    <w:multiLevelType w:val="hybridMultilevel"/>
    <w:tmpl w:val="DAC676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92A1252"/>
    <w:multiLevelType w:val="hybridMultilevel"/>
    <w:tmpl w:val="12CEEDC2"/>
    <w:lvl w:ilvl="0" w:tplc="BE6E0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9643708"/>
    <w:multiLevelType w:val="hybridMultilevel"/>
    <w:tmpl w:val="C2107A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F717ED"/>
    <w:multiLevelType w:val="hybridMultilevel"/>
    <w:tmpl w:val="0F8CC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C692F63"/>
    <w:multiLevelType w:val="hybridMultilevel"/>
    <w:tmpl w:val="310285D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56718C"/>
    <w:multiLevelType w:val="hybridMultilevel"/>
    <w:tmpl w:val="C5D4FF8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EA72406"/>
    <w:multiLevelType w:val="hybridMultilevel"/>
    <w:tmpl w:val="472AA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EE737AB"/>
    <w:multiLevelType w:val="hybridMultilevel"/>
    <w:tmpl w:val="BD38885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F897938"/>
    <w:multiLevelType w:val="hybridMultilevel"/>
    <w:tmpl w:val="65EC7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10C7B00"/>
    <w:multiLevelType w:val="hybridMultilevel"/>
    <w:tmpl w:val="06B214C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43E0B3E"/>
    <w:multiLevelType w:val="hybridMultilevel"/>
    <w:tmpl w:val="D528117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4F44D5E"/>
    <w:multiLevelType w:val="hybridMultilevel"/>
    <w:tmpl w:val="4E744C2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8E750E1"/>
    <w:multiLevelType w:val="hybridMultilevel"/>
    <w:tmpl w:val="211807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9526F75"/>
    <w:multiLevelType w:val="hybridMultilevel"/>
    <w:tmpl w:val="AE5442C8"/>
    <w:lvl w:ilvl="0" w:tplc="42E49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792952"/>
    <w:multiLevelType w:val="hybridMultilevel"/>
    <w:tmpl w:val="E8F0F3F4"/>
    <w:lvl w:ilvl="0" w:tplc="06CC35F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ADA2E52"/>
    <w:multiLevelType w:val="hybridMultilevel"/>
    <w:tmpl w:val="5FFCB2F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9663EE"/>
    <w:multiLevelType w:val="hybridMultilevel"/>
    <w:tmpl w:val="DD1ABB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D776220"/>
    <w:multiLevelType w:val="hybridMultilevel"/>
    <w:tmpl w:val="EE50309E"/>
    <w:lvl w:ilvl="0" w:tplc="0DC6D5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E856946"/>
    <w:multiLevelType w:val="hybridMultilevel"/>
    <w:tmpl w:val="C41E57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F406FEE"/>
    <w:multiLevelType w:val="hybridMultilevel"/>
    <w:tmpl w:val="9D2C0E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04E6039"/>
    <w:multiLevelType w:val="hybridMultilevel"/>
    <w:tmpl w:val="7CD0B0E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1542B7F"/>
    <w:multiLevelType w:val="hybridMultilevel"/>
    <w:tmpl w:val="95928620"/>
    <w:lvl w:ilvl="0" w:tplc="8BEC7C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22D20EA"/>
    <w:multiLevelType w:val="hybridMultilevel"/>
    <w:tmpl w:val="B686C92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33C4953"/>
    <w:multiLevelType w:val="hybridMultilevel"/>
    <w:tmpl w:val="E05A60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44E5CF9"/>
    <w:multiLevelType w:val="hybridMultilevel"/>
    <w:tmpl w:val="64ACB266"/>
    <w:lvl w:ilvl="0" w:tplc="2E94361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58A2542"/>
    <w:multiLevelType w:val="hybridMultilevel"/>
    <w:tmpl w:val="2250B90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991276D"/>
    <w:multiLevelType w:val="hybridMultilevel"/>
    <w:tmpl w:val="8A94E00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BF43FDA"/>
    <w:multiLevelType w:val="hybridMultilevel"/>
    <w:tmpl w:val="AD9A8B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C8866D1"/>
    <w:multiLevelType w:val="hybridMultilevel"/>
    <w:tmpl w:val="7214DABE"/>
    <w:lvl w:ilvl="0" w:tplc="8A986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D0366DF"/>
    <w:multiLevelType w:val="hybridMultilevel"/>
    <w:tmpl w:val="6A18B1E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D7A3248"/>
    <w:multiLevelType w:val="hybridMultilevel"/>
    <w:tmpl w:val="B8181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1715649"/>
    <w:multiLevelType w:val="hybridMultilevel"/>
    <w:tmpl w:val="E91EE14E"/>
    <w:lvl w:ilvl="0" w:tplc="75245ED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22F479F"/>
    <w:multiLevelType w:val="hybridMultilevel"/>
    <w:tmpl w:val="D82A76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29C26B5"/>
    <w:multiLevelType w:val="hybridMultilevel"/>
    <w:tmpl w:val="06A67D5C"/>
    <w:lvl w:ilvl="0" w:tplc="83C45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30C56AF"/>
    <w:multiLevelType w:val="hybridMultilevel"/>
    <w:tmpl w:val="E7682B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3FE3A80"/>
    <w:multiLevelType w:val="hybridMultilevel"/>
    <w:tmpl w:val="16006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49F4AFF"/>
    <w:multiLevelType w:val="hybridMultilevel"/>
    <w:tmpl w:val="7742BCC4"/>
    <w:lvl w:ilvl="0" w:tplc="41F4A6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4B804FB"/>
    <w:multiLevelType w:val="hybridMultilevel"/>
    <w:tmpl w:val="B6A0CC00"/>
    <w:lvl w:ilvl="0" w:tplc="27E008E6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5BA3838"/>
    <w:multiLevelType w:val="hybridMultilevel"/>
    <w:tmpl w:val="01487B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A7D5636"/>
    <w:multiLevelType w:val="hybridMultilevel"/>
    <w:tmpl w:val="2EE204A0"/>
    <w:lvl w:ilvl="0" w:tplc="BE6E085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7E2F1CBD"/>
    <w:multiLevelType w:val="hybridMultilevel"/>
    <w:tmpl w:val="523C39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9"/>
  </w:num>
  <w:num w:numId="4">
    <w:abstractNumId w:val="73"/>
  </w:num>
  <w:num w:numId="5">
    <w:abstractNumId w:val="14"/>
  </w:num>
  <w:num w:numId="6">
    <w:abstractNumId w:val="33"/>
  </w:num>
  <w:num w:numId="7">
    <w:abstractNumId w:val="70"/>
  </w:num>
  <w:num w:numId="8">
    <w:abstractNumId w:val="10"/>
  </w:num>
  <w:num w:numId="9">
    <w:abstractNumId w:val="79"/>
  </w:num>
  <w:num w:numId="10">
    <w:abstractNumId w:val="67"/>
  </w:num>
  <w:num w:numId="11">
    <w:abstractNumId w:val="36"/>
  </w:num>
  <w:num w:numId="12">
    <w:abstractNumId w:val="4"/>
  </w:num>
  <w:num w:numId="13">
    <w:abstractNumId w:val="12"/>
  </w:num>
  <w:num w:numId="14">
    <w:abstractNumId w:val="12"/>
  </w:num>
  <w:num w:numId="15">
    <w:abstractNumId w:val="25"/>
  </w:num>
  <w:num w:numId="16">
    <w:abstractNumId w:val="54"/>
  </w:num>
  <w:num w:numId="17">
    <w:abstractNumId w:val="38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77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5"/>
  </w:num>
  <w:num w:numId="26">
    <w:abstractNumId w:val="28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9"/>
  </w:num>
  <w:num w:numId="30">
    <w:abstractNumId w:val="63"/>
  </w:num>
  <w:num w:numId="31">
    <w:abstractNumId w:val="45"/>
  </w:num>
  <w:num w:numId="32">
    <w:abstractNumId w:val="16"/>
  </w:num>
  <w:num w:numId="33">
    <w:abstractNumId w:val="72"/>
  </w:num>
  <w:num w:numId="34">
    <w:abstractNumId w:val="62"/>
  </w:num>
  <w:num w:numId="35">
    <w:abstractNumId w:val="42"/>
  </w:num>
  <w:num w:numId="36">
    <w:abstractNumId w:val="13"/>
  </w:num>
  <w:num w:numId="37">
    <w:abstractNumId w:val="46"/>
  </w:num>
  <w:num w:numId="38">
    <w:abstractNumId w:val="77"/>
  </w:num>
  <w:num w:numId="39">
    <w:abstractNumId w:val="81"/>
  </w:num>
  <w:num w:numId="40">
    <w:abstractNumId w:val="82"/>
  </w:num>
  <w:num w:numId="41">
    <w:abstractNumId w:val="3"/>
  </w:num>
  <w:num w:numId="42">
    <w:abstractNumId w:val="49"/>
  </w:num>
  <w:num w:numId="43">
    <w:abstractNumId w:val="71"/>
  </w:num>
  <w:num w:numId="44">
    <w:abstractNumId w:val="52"/>
  </w:num>
  <w:num w:numId="45">
    <w:abstractNumId w:val="6"/>
  </w:num>
  <w:num w:numId="46">
    <w:abstractNumId w:val="60"/>
  </w:num>
  <w:num w:numId="47">
    <w:abstractNumId w:val="32"/>
  </w:num>
  <w:num w:numId="48">
    <w:abstractNumId w:val="59"/>
  </w:num>
  <w:num w:numId="49">
    <w:abstractNumId w:val="76"/>
  </w:num>
  <w:num w:numId="50">
    <w:abstractNumId w:val="79"/>
  </w:num>
  <w:num w:numId="51">
    <w:abstractNumId w:val="55"/>
  </w:num>
  <w:num w:numId="52">
    <w:abstractNumId w:val="57"/>
  </w:num>
  <w:num w:numId="53">
    <w:abstractNumId w:val="65"/>
  </w:num>
  <w:num w:numId="54">
    <w:abstractNumId w:val="50"/>
  </w:num>
  <w:num w:numId="55">
    <w:abstractNumId w:val="83"/>
  </w:num>
  <w:num w:numId="56">
    <w:abstractNumId w:val="74"/>
  </w:num>
  <w:num w:numId="57">
    <w:abstractNumId w:val="64"/>
  </w:num>
  <w:num w:numId="58">
    <w:abstractNumId w:val="1"/>
  </w:num>
  <w:num w:numId="59">
    <w:abstractNumId w:val="47"/>
  </w:num>
  <w:num w:numId="60">
    <w:abstractNumId w:val="11"/>
  </w:num>
  <w:num w:numId="61">
    <w:abstractNumId w:val="2"/>
  </w:num>
  <w:num w:numId="62">
    <w:abstractNumId w:val="24"/>
  </w:num>
  <w:num w:numId="63">
    <w:abstractNumId w:val="17"/>
  </w:num>
  <w:num w:numId="64">
    <w:abstractNumId w:val="22"/>
  </w:num>
  <w:num w:numId="65">
    <w:abstractNumId w:val="31"/>
  </w:num>
  <w:num w:numId="66">
    <w:abstractNumId w:val="85"/>
  </w:num>
  <w:num w:numId="67">
    <w:abstractNumId w:val="20"/>
  </w:num>
  <w:num w:numId="68">
    <w:abstractNumId w:val="19"/>
  </w:num>
  <w:num w:numId="69">
    <w:abstractNumId w:val="37"/>
  </w:num>
  <w:num w:numId="70">
    <w:abstractNumId w:val="40"/>
  </w:num>
  <w:num w:numId="71">
    <w:abstractNumId w:val="61"/>
  </w:num>
  <w:num w:numId="72">
    <w:abstractNumId w:val="80"/>
  </w:num>
  <w:num w:numId="73">
    <w:abstractNumId w:val="21"/>
  </w:num>
  <w:num w:numId="74">
    <w:abstractNumId w:val="51"/>
  </w:num>
  <w:num w:numId="75">
    <w:abstractNumId w:val="48"/>
  </w:num>
  <w:num w:numId="76">
    <w:abstractNumId w:val="69"/>
  </w:num>
  <w:num w:numId="77">
    <w:abstractNumId w:val="0"/>
  </w:num>
  <w:num w:numId="78">
    <w:abstractNumId w:val="53"/>
  </w:num>
  <w:num w:numId="79">
    <w:abstractNumId w:val="66"/>
  </w:num>
  <w:num w:numId="80">
    <w:abstractNumId w:val="44"/>
  </w:num>
  <w:num w:numId="81">
    <w:abstractNumId w:val="35"/>
  </w:num>
  <w:num w:numId="82">
    <w:abstractNumId w:val="43"/>
  </w:num>
  <w:num w:numId="83">
    <w:abstractNumId w:val="30"/>
  </w:num>
  <w:num w:numId="84">
    <w:abstractNumId w:val="75"/>
  </w:num>
  <w:num w:numId="85">
    <w:abstractNumId w:val="68"/>
  </w:num>
  <w:num w:numId="86">
    <w:abstractNumId w:val="18"/>
  </w:num>
  <w:num w:numId="87">
    <w:abstractNumId w:val="58"/>
  </w:num>
  <w:num w:numId="88">
    <w:abstractNumId w:val="56"/>
  </w:num>
  <w:num w:numId="89">
    <w:abstractNumId w:val="26"/>
  </w:num>
  <w:num w:numId="90">
    <w:abstractNumId w:val="34"/>
  </w:num>
  <w:num w:numId="91">
    <w:abstractNumId w:val="84"/>
  </w:num>
  <w:num w:numId="92">
    <w:abstractNumId w:val="7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hideSpellingErrors/>
  <w:hideGrammaticalErrors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IE" w:vendorID="64" w:dllVersion="131078" w:nlCheck="1" w:checkStyle="1"/>
  <w:activeWritingStyle w:appName="MSWord" w:lang="en-CA" w:vendorID="64" w:dllVersion="131078" w:nlCheck="1" w:checkStyle="1"/>
  <w:activeWritingStyle w:appName="MSWord" w:lang="en-US" w:vendorID="64" w:dllVersion="131078" w:nlCheck="1" w:checkStyle="1"/>
  <w:activeWritingStyle w:appName="MSWord" w:lang="it-IT" w:vendorID="64" w:dllVersion="131078" w:nlCheck="1" w:checkStyle="0"/>
  <w:activeWritingStyle w:appName="MSWord" w:lang="en-AU" w:vendorID="64" w:dllVersion="131078" w:nlCheck="1" w:checkStyle="1"/>
  <w:activeWritingStyle w:appName="MSWord" w:lang="de-DE" w:vendorID="64" w:dllVersion="131078" w:nlCheck="1" w:checkStyle="0"/>
  <w:activeWritingStyle w:appName="MSWord" w:lang="pt-PT" w:vendorID="64" w:dllVersion="131078" w:nlCheck="1" w:checkStyle="0"/>
  <w:revisionView w:markup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CORRIGENDUM" w:val="&lt;UNUSED&gt;"/>
    <w:docVar w:name="LW_COVERPAGE_EXISTS" w:val="True"/>
    <w:docVar w:name="LW_COVERPAGE_GUID" w:val="1D955A21-5140-4564-90DB-CD4797DEEC31"/>
    <w:docVar w:name="LW_COVERPAGE_TYPE" w:val="1"/>
    <w:docVar w:name="LW_CROSSREFERENCE" w:val="&lt;UNUSED&gt;"/>
    <w:docVar w:name="LW_DocType" w:val="NORMAL"/>
    <w:docVar w:name="LW_EMISSION" w:val="5.3.2020"/>
    <w:docVar w:name="LW_EMISSION_ISODATE" w:val="2020-03-05"/>
    <w:docVar w:name="LW_EMISSION_LOCATION" w:val="BRX"/>
    <w:docVar w:name="LW_EMISSION_PREFIX" w:val="Brussell, "/>
    <w:docVar w:name="LW_EMISSION_SUFFIX" w:val=" "/>
    <w:docVar w:name="LW_ID_DOCTYPE_NONLW" w:val="CP-014"/>
    <w:docVar w:name="LW_LANGUE" w:val="MT"/>
    <w:docVar w:name="LW_LEVEL_OF_SENSITIVITY" w:val="Standard treatment"/>
    <w:docVar w:name="LW_NOM.INST" w:val="IL-KUMMISSJONI EWROPE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20) 152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Unjoni ta' Ugwaljanza: Strate\u289?ija ta' Ugwaljanza Bejn is-Sessi g\u295?all-2020-2025_x000d__x000d__x000d__x000d__x000d__x000d__x000b__x000d__x000d__x000d__x000d__x000d__x000d__x000d__x000d__x000b_"/>
    <w:docVar w:name="LW_TYPE.DOC.CP" w:val="KOMUNIKAZZJONI TAL-KUMMISSJONI LILL-PARLAMENT EWROPEW, LILL-KUNSILL, LILL-KUMITAT EKONOMIKU U SO\u266?JALI EWROPEW U LILL-KUMITAT TAR-RE\u288?JUNI"/>
    <w:docVar w:name="LW_TYPE.DOC.CP.USERTEXT" w:val="&lt;EMPTY&gt;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1st level - Bullet List Paragraph,List Paragraph1,Lettre d'introduction,Paragrafo elenco,Medium Grid 1 - Accent 21,Fiche List Paragraph,body,Odsek zoznamu2,Odsek zoznamu1,3,Bullet 1,Bullet Points,Colorful List - Accent 11,Dot pt,Bulle,2"/>
    <w:basedOn w:val="Normal"/>
    <w:link w:val="ListParagraphChar"/>
    <w:uiPriority w:val="34"/>
    <w:qFormat/>
    <w:pPr>
      <w:ind w:left="720"/>
      <w:contextualSpacing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B0List">
    <w:name w:val="B0 List"/>
    <w:basedOn w:val="Normal"/>
    <w:qFormat/>
    <w:pPr>
      <w:widowControl w:val="0"/>
      <w:numPr>
        <w:numId w:val="13"/>
      </w:numPr>
      <w:spacing w:after="120" w:line="240" w:lineRule="auto"/>
      <w:jc w:val="both"/>
    </w:pPr>
    <w:rPr>
      <w:rFonts w:ascii="Times New Roman" w:eastAsia="Calibri" w:hAnsi="Times New Roman" w:cs="Tahoma"/>
      <w:sz w:val="24"/>
    </w:rPr>
  </w:style>
  <w:style w:type="paragraph" w:customStyle="1" w:styleId="Briefinglist1">
    <w:name w:val="Briefing list 1"/>
    <w:basedOn w:val="Normal"/>
    <w:pPr>
      <w:tabs>
        <w:tab w:val="num" w:pos="284"/>
      </w:tabs>
      <w:spacing w:after="120" w:line="240" w:lineRule="auto"/>
      <w:ind w:left="284" w:hanging="284"/>
      <w:jc w:val="both"/>
    </w:pPr>
    <w:rPr>
      <w:rFonts w:ascii="Arial" w:hAnsi="Arial" w:cs="Arial"/>
    </w:rPr>
  </w:style>
  <w:style w:type="paragraph" w:styleId="FootnoteText">
    <w:name w:val="footnote text"/>
    <w:aliases w:val="Char,Fußnote,Carattere,fn,Footnotes,Footnote ak,Footnote Text Char1,Footnote Text Char Char,fn Char Char,footnote text Char Char,Footnotes Char Char,Footnote ak Char Char,fn Char1,footnote text Char1,Footnotes Char1,ft,Footnote Text_EP-LC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r Char,Fußnote Char,Carattere Char,fn Char,Footnotes Char,Footnote ak Char,Footnote Text Char1 Char,Footnote Text Char Char Char,fn Char Char Char,footnote text Char Char Char,Footnotes Char Char Char,Footnote ak Char Char Char"/>
    <w:basedOn w:val="DefaultParagraphFont"/>
    <w:link w:val="FootnoteText"/>
    <w:uiPriority w:val="99"/>
    <w:qFormat/>
    <w:rPr>
      <w:sz w:val="20"/>
      <w:szCs w:val="20"/>
      <w:lang w:val="mt-MT"/>
    </w:rPr>
  </w:style>
  <w:style w:type="character" w:styleId="FootnoteReference">
    <w:name w:val="footnote reference"/>
    <w:aliases w:val="Footnote Reference Superscript,BVI fnr, BVI fnr,Footnote symbol,Footnote reference number,note TESI,Appel note de bas de p,Nota,SUPERS,Footnote number,EN Footnote Reference,-E Fußnotenzeichen,number Char Char,number,Ref,styl,styli,o"/>
    <w:basedOn w:val="DefaultParagraphFont"/>
    <w:uiPriority w:val="99"/>
    <w:unhideWhenUsed/>
    <w:qFormat/>
    <w:rPr>
      <w:vertAlign w:val="superscript"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ListParagraphChar">
    <w:name w:val="List Paragraph Char"/>
    <w:aliases w:val="1st level - Bullet List Paragraph Char,List Paragraph1 Char,Lettre d'introduction Char,Paragrafo elenco Char,Medium Grid 1 - Accent 21 Char,Fiche List Paragraph Char,body Char,Odsek zoznamu2 Char,Odsek zoznamu1 Char,3 Char,Bulle Char"/>
    <w:link w:val="ListParagraph"/>
    <w:uiPriority w:val="34"/>
    <w:qFormat/>
    <w:locked/>
    <w:rPr>
      <w:rFonts w:ascii="Calibri" w:hAnsi="Calibri" w:cs="Calibri"/>
      <w:lang w:val="mt-M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mt-MT" w:eastAsia="en-IE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ListParagraphChar"/>
    <w:link w:val="FooterCoverPage"/>
    <w:rPr>
      <w:rFonts w:ascii="Times New Roman" w:hAnsi="Times New Roman" w:cs="Times New Roman"/>
      <w:sz w:val="24"/>
      <w:lang w:val="mt-MT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ListParagraphChar"/>
    <w:link w:val="FooterSensitivity"/>
    <w:rPr>
      <w:rFonts w:ascii="Times New Roman" w:hAnsi="Times New Roman" w:cs="Times New Roman"/>
      <w:b/>
      <w:sz w:val="32"/>
      <w:lang w:val="mt-MT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ListParagraphChar"/>
    <w:link w:val="HeaderCoverPage"/>
    <w:rPr>
      <w:rFonts w:ascii="Times New Roman" w:hAnsi="Times New Roman" w:cs="Times New Roman"/>
      <w:sz w:val="24"/>
      <w:lang w:val="mt-MT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ListParagraphChar"/>
    <w:link w:val="HeaderSensitivity"/>
    <w:rPr>
      <w:rFonts w:ascii="Times New Roman" w:hAnsi="Times New Roman" w:cs="Times New Roman"/>
      <w:b/>
      <w:sz w:val="32"/>
      <w:lang w:val="mt-MT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ListParagraphChar"/>
    <w:link w:val="HeaderSensitivityRight"/>
    <w:rPr>
      <w:rFonts w:ascii="Times New Roman" w:hAnsi="Times New Roman" w:cs="Times New Roman"/>
      <w:sz w:val="28"/>
      <w:lang w:val="mt-MT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">
    <w:name w:val="Text 1"/>
    <w:basedOn w:val="Normal"/>
    <w:uiPriority w:val="90"/>
    <w:qFormat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customStyle="1" w:styleId="ListBullet1">
    <w:name w:val="List Bullet 1"/>
    <w:basedOn w:val="Normal"/>
    <w:pPr>
      <w:tabs>
        <w:tab w:val="num" w:pos="765"/>
      </w:tabs>
      <w:spacing w:after="240" w:line="240" w:lineRule="auto"/>
      <w:ind w:left="765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name">
    <w:name w:val="authors__name"/>
    <w:basedOn w:val="DefaultParagraphFont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TextEP-LC1">
    <w:name w:val="Footnote Text_EP-LC1"/>
    <w:basedOn w:val="Normal"/>
    <w:uiPriority w:val="99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f9">
    <w:name w:val="ff9"/>
    <w:basedOn w:val="DefaultParagraphFont"/>
  </w:style>
  <w:style w:type="character" w:customStyle="1" w:styleId="ff1">
    <w:name w:val="ff1"/>
    <w:basedOn w:val="DefaultParagraphFont"/>
  </w:style>
  <w:style w:type="character" w:customStyle="1" w:styleId="ls12">
    <w:name w:val="ls12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1st level - Bullet List Paragraph,List Paragraph1,Lettre d'introduction,Paragrafo elenco,Medium Grid 1 - Accent 21,Fiche List Paragraph,body,Odsek zoznamu2,Odsek zoznamu1,3,Bullet 1,Bullet Points,Colorful List - Accent 11,Dot pt,Bulle,2"/>
    <w:basedOn w:val="Normal"/>
    <w:link w:val="ListParagraphChar"/>
    <w:uiPriority w:val="34"/>
    <w:qFormat/>
    <w:pPr>
      <w:ind w:left="720"/>
      <w:contextualSpacing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B0List">
    <w:name w:val="B0 List"/>
    <w:basedOn w:val="Normal"/>
    <w:qFormat/>
    <w:pPr>
      <w:widowControl w:val="0"/>
      <w:numPr>
        <w:numId w:val="13"/>
      </w:numPr>
      <w:spacing w:after="120" w:line="240" w:lineRule="auto"/>
      <w:jc w:val="both"/>
    </w:pPr>
    <w:rPr>
      <w:rFonts w:ascii="Times New Roman" w:eastAsia="Calibri" w:hAnsi="Times New Roman" w:cs="Tahoma"/>
      <w:sz w:val="24"/>
    </w:rPr>
  </w:style>
  <w:style w:type="paragraph" w:customStyle="1" w:styleId="Briefinglist1">
    <w:name w:val="Briefing list 1"/>
    <w:basedOn w:val="Normal"/>
    <w:pPr>
      <w:tabs>
        <w:tab w:val="num" w:pos="284"/>
      </w:tabs>
      <w:spacing w:after="120" w:line="240" w:lineRule="auto"/>
      <w:ind w:left="284" w:hanging="284"/>
      <w:jc w:val="both"/>
    </w:pPr>
    <w:rPr>
      <w:rFonts w:ascii="Arial" w:hAnsi="Arial" w:cs="Arial"/>
    </w:rPr>
  </w:style>
  <w:style w:type="paragraph" w:styleId="FootnoteText">
    <w:name w:val="footnote text"/>
    <w:aliases w:val="Char,Fußnote,Carattere,fn,Footnotes,Footnote ak,Footnote Text Char1,Footnote Text Char Char,fn Char Char,footnote text Char Char,Footnotes Char Char,Footnote ak Char Char,fn Char1,footnote text Char1,Footnotes Char1,ft,Footnote Text_EP-LC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r Char,Fußnote Char,Carattere Char,fn Char,Footnotes Char,Footnote ak Char,Footnote Text Char1 Char,Footnote Text Char Char Char,fn Char Char Char,footnote text Char Char Char,Footnotes Char Char Char,Footnote ak Char Char Char"/>
    <w:basedOn w:val="DefaultParagraphFont"/>
    <w:link w:val="FootnoteText"/>
    <w:uiPriority w:val="99"/>
    <w:qFormat/>
    <w:rPr>
      <w:sz w:val="20"/>
      <w:szCs w:val="20"/>
      <w:lang w:val="mt-MT"/>
    </w:rPr>
  </w:style>
  <w:style w:type="character" w:styleId="FootnoteReference">
    <w:name w:val="footnote reference"/>
    <w:aliases w:val="Footnote Reference Superscript,BVI fnr, BVI fnr,Footnote symbol,Footnote reference number,note TESI,Appel note de bas de p,Nota,SUPERS,Footnote number,EN Footnote Reference,-E Fußnotenzeichen,number Char Char,number,Ref,styl,styli,o"/>
    <w:basedOn w:val="DefaultParagraphFont"/>
    <w:uiPriority w:val="99"/>
    <w:unhideWhenUsed/>
    <w:qFormat/>
    <w:rPr>
      <w:vertAlign w:val="superscript"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ListParagraphChar">
    <w:name w:val="List Paragraph Char"/>
    <w:aliases w:val="1st level - Bullet List Paragraph Char,List Paragraph1 Char,Lettre d'introduction Char,Paragrafo elenco Char,Medium Grid 1 - Accent 21 Char,Fiche List Paragraph Char,body Char,Odsek zoznamu2 Char,Odsek zoznamu1 Char,3 Char,Bulle Char"/>
    <w:link w:val="ListParagraph"/>
    <w:uiPriority w:val="34"/>
    <w:qFormat/>
    <w:locked/>
    <w:rPr>
      <w:rFonts w:ascii="Calibri" w:hAnsi="Calibri" w:cs="Calibri"/>
      <w:lang w:val="mt-M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mt-MT" w:eastAsia="en-IE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ListParagraphChar"/>
    <w:link w:val="FooterCoverPage"/>
    <w:rPr>
      <w:rFonts w:ascii="Times New Roman" w:hAnsi="Times New Roman" w:cs="Times New Roman"/>
      <w:sz w:val="24"/>
      <w:lang w:val="mt-MT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ListParagraphChar"/>
    <w:link w:val="FooterSensitivity"/>
    <w:rPr>
      <w:rFonts w:ascii="Times New Roman" w:hAnsi="Times New Roman" w:cs="Times New Roman"/>
      <w:b/>
      <w:sz w:val="32"/>
      <w:lang w:val="mt-MT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ListParagraphChar"/>
    <w:link w:val="HeaderCoverPage"/>
    <w:rPr>
      <w:rFonts w:ascii="Times New Roman" w:hAnsi="Times New Roman" w:cs="Times New Roman"/>
      <w:sz w:val="24"/>
      <w:lang w:val="mt-MT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ListParagraphChar"/>
    <w:link w:val="HeaderSensitivity"/>
    <w:rPr>
      <w:rFonts w:ascii="Times New Roman" w:hAnsi="Times New Roman" w:cs="Times New Roman"/>
      <w:b/>
      <w:sz w:val="32"/>
      <w:lang w:val="mt-MT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ListParagraphChar"/>
    <w:link w:val="HeaderSensitivityRight"/>
    <w:rPr>
      <w:rFonts w:ascii="Times New Roman" w:hAnsi="Times New Roman" w:cs="Times New Roman"/>
      <w:sz w:val="28"/>
      <w:lang w:val="mt-MT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">
    <w:name w:val="Text 1"/>
    <w:basedOn w:val="Normal"/>
    <w:uiPriority w:val="90"/>
    <w:qFormat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customStyle="1" w:styleId="ListBullet1">
    <w:name w:val="List Bullet 1"/>
    <w:basedOn w:val="Normal"/>
    <w:pPr>
      <w:tabs>
        <w:tab w:val="num" w:pos="765"/>
      </w:tabs>
      <w:spacing w:after="240" w:line="240" w:lineRule="auto"/>
      <w:ind w:left="765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name">
    <w:name w:val="authors__name"/>
    <w:basedOn w:val="DefaultParagraphFont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TextEP-LC1">
    <w:name w:val="Footnote Text_EP-LC1"/>
    <w:basedOn w:val="Normal"/>
    <w:uiPriority w:val="99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f9">
    <w:name w:val="ff9"/>
    <w:basedOn w:val="DefaultParagraphFont"/>
  </w:style>
  <w:style w:type="character" w:customStyle="1" w:styleId="ff1">
    <w:name w:val="ff1"/>
    <w:basedOn w:val="DefaultParagraphFont"/>
  </w:style>
  <w:style w:type="character" w:customStyle="1" w:styleId="ls12">
    <w:name w:val="ls12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footer" Target="footer6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dfgm.eu/female-genital-mutilation/fgm-in-europe" TargetMode="External"/><Relationship Id="rId13" Type="http://schemas.openxmlformats.org/officeDocument/2006/relationships/hyperlink" Target="https://ec.europa.eu/programmes/creative-europe/node_en" TargetMode="External"/><Relationship Id="rId18" Type="http://schemas.openxmlformats.org/officeDocument/2006/relationships/hyperlink" Target="https://ec.europa.eu/info/business-economy-euro/economic-and-fiscal-policy-coordination/eu-economic-governance-monitoring-prevention-correction/european-semester_mt" TargetMode="External"/><Relationship Id="rId26" Type="http://schemas.openxmlformats.org/officeDocument/2006/relationships/hyperlink" Target="https://appsso.eurostat.ec.europa.eu/nui/show.do?dataset=ilc_pnp13&amp;lang=en" TargetMode="External"/><Relationship Id="rId39" Type="http://schemas.openxmlformats.org/officeDocument/2006/relationships/hyperlink" Target="https://www.consilium.europa.eu/media/37412/st15086-en18.pdf" TargetMode="External"/><Relationship Id="rId3" Type="http://schemas.openxmlformats.org/officeDocument/2006/relationships/hyperlink" Target="https://data.em2030.org/em2030-sdg-gender-index/" TargetMode="External"/><Relationship Id="rId21" Type="http://schemas.openxmlformats.org/officeDocument/2006/relationships/hyperlink" Target="http://www.oecd.org/pisa/PISA%202018%20Insights%20and%20Interpretations%20FINAL%20PDF.pdf" TargetMode="External"/><Relationship Id="rId34" Type="http://schemas.openxmlformats.org/officeDocument/2006/relationships/hyperlink" Target="https://europeanwomenonboards.eu/" TargetMode="External"/><Relationship Id="rId42" Type="http://schemas.openxmlformats.org/officeDocument/2006/relationships/hyperlink" Target="http://www.europarl.europa.eu/oeil/popups/ficheprocedure.do?lang=en&amp;reference=2019/2855(RSP)" TargetMode="External"/><Relationship Id="rId7" Type="http://schemas.openxmlformats.org/officeDocument/2006/relationships/hyperlink" Target="https://ec.europa.eu/europeaid/policies/sustainable-development-goalsen" TargetMode="External"/><Relationship Id="rId12" Type="http://schemas.openxmlformats.org/officeDocument/2006/relationships/hyperlink" Target="https://ec.europa.eu/info/horizon-europe-next-research-and-innovation-framework-programme_en" TargetMode="External"/><Relationship Id="rId17" Type="http://schemas.openxmlformats.org/officeDocument/2006/relationships/hyperlink" Target="https://ec.europa.eu/eurostat/statistics-explained/pdfscache/35409.pdf" TargetMode="External"/><Relationship Id="rId25" Type="http://schemas.openxmlformats.org/officeDocument/2006/relationships/hyperlink" Target="https://ec.europa.eu/eurostat/databrowser/product/view/SDG_05_20?lang=en" TargetMode="External"/><Relationship Id="rId33" Type="http://schemas.openxmlformats.org/officeDocument/2006/relationships/hyperlink" Target="https://ec.europa.eu/info/policies/justice-and-fundamental-rights/combatting-discrimination/tackling-discrimination/diversity-management/eu-platform-diversity-charters_en" TargetMode="External"/><Relationship Id="rId38" Type="http://schemas.openxmlformats.org/officeDocument/2006/relationships/hyperlink" Target="https://europa.eu/capacity4dev/articles/eu-gender-action-plan-ii-how-eu-delegations-contribute-gender-equality-worldwide" TargetMode="External"/><Relationship Id="rId2" Type="http://schemas.openxmlformats.org/officeDocument/2006/relationships/hyperlink" Target="https://eige.europa.eu/gender-mainstreaming/policy-areas/economic-and-financial-affairs/economic-benefits-gender-equality" TargetMode="External"/><Relationship Id="rId16" Type="http://schemas.openxmlformats.org/officeDocument/2006/relationships/hyperlink" Target="https://appsso.eurostat.ec.europa.eu/nui/show.do?dataset=lfsi_emp_a&amp;lang=en" TargetMode="External"/><Relationship Id="rId20" Type="http://schemas.openxmlformats.org/officeDocument/2006/relationships/hyperlink" Target="https://ec.europa.eu/research/eic/index.cfm" TargetMode="External"/><Relationship Id="rId29" Type="http://schemas.openxmlformats.org/officeDocument/2006/relationships/hyperlink" Target="https://ec.europa.eu/transparency/regexpert/index.cfm?do=groupDetail.groupDetail&amp;groupID=3589&amp;Lang=MT" TargetMode="External"/><Relationship Id="rId41" Type="http://schemas.openxmlformats.org/officeDocument/2006/relationships/hyperlink" Target="http://www.europarl.europa.eu/oeil/popups/ficheprocedure.do?lang=en&amp;reference=2019/2870(RSP)" TargetMode="External"/><Relationship Id="rId1" Type="http://schemas.openxmlformats.org/officeDocument/2006/relationships/hyperlink" Target="https://ec.europa.eu/commission/sites/beta-political/files/social-summit-european-pillar-social-rights-booklet_mt.pdf" TargetMode="External"/><Relationship Id="rId6" Type="http://schemas.openxmlformats.org/officeDocument/2006/relationships/hyperlink" Target="https://beijing20.unwomen.org/en/about" TargetMode="External"/><Relationship Id="rId11" Type="http://schemas.openxmlformats.org/officeDocument/2006/relationships/hyperlink" Target="https://ec.europa.eu/info/sites/info/files/commission-white-paper-artificial-intelligence-feb2020_en.pdf" TargetMode="External"/><Relationship Id="rId24" Type="http://schemas.openxmlformats.org/officeDocument/2006/relationships/hyperlink" Target="https://ec.europa.eu/digital-single-market/en/news/eu-countries-commit-boost-participation-women-digital" TargetMode="External"/><Relationship Id="rId32" Type="http://schemas.openxmlformats.org/officeDocument/2006/relationships/hyperlink" Target="https://eige.europa.eu/publications/gender-equality-index-2019-report/more-gender-equality-corporate-boards-only-few-member-states" TargetMode="External"/><Relationship Id="rId37" Type="http://schemas.openxmlformats.org/officeDocument/2006/relationships/hyperlink" Target="http://www.europarl.europa.eu/meetdocs/2014_2019/plmrep/COMMITTEES/FEMM/DV/2018/09-03/20180828DraftResolutionGenderBudgetingintheEUBudget-thewayforward_EN.pdf" TargetMode="External"/><Relationship Id="rId40" Type="http://schemas.openxmlformats.org/officeDocument/2006/relationships/hyperlink" Target="https://www.consilium.europa.eu/register/en/content/out?&amp;typ=ENTRY&amp;i=ADV&amp;DOC_ID=ST-11031-2019-INIT" TargetMode="External"/><Relationship Id="rId5" Type="http://schemas.openxmlformats.org/officeDocument/2006/relationships/hyperlink" Target="https://eige.europa.eu/thesaurus/terms/1263" TargetMode="External"/><Relationship Id="rId15" Type="http://schemas.openxmlformats.org/officeDocument/2006/relationships/hyperlink" Target="https://ec.europa.eu/eurostat/web/products-datasets/product?code=sdg_05_30" TargetMode="External"/><Relationship Id="rId23" Type="http://schemas.openxmlformats.org/officeDocument/2006/relationships/hyperlink" Target="https://op.europa.eu/en/publication-detail/-/publication/9540ffa1-4478-11e9-a8ed-01aa75ed71a1/language-en" TargetMode="External"/><Relationship Id="rId28" Type="http://schemas.openxmlformats.org/officeDocument/2006/relationships/hyperlink" Target="https://ec.europa.eu/eurostat/web/products-eurostat-news/-/DDN-20190621-1" TargetMode="External"/><Relationship Id="rId36" Type="http://schemas.openxmlformats.org/officeDocument/2006/relationships/hyperlink" Target="https://ec.europa.eu/jrc/en/news/how-big-eus-blue-economy-eu-report-potential-coasts-and-oceans-provide-sustainable-economic-growth" TargetMode="External"/><Relationship Id="rId10" Type="http://schemas.openxmlformats.org/officeDocument/2006/relationships/hyperlink" Target="https://ec.europa.eu/digital-single-market/en/new-eu-rules-e-commerce" TargetMode="External"/><Relationship Id="rId19" Type="http://schemas.openxmlformats.org/officeDocument/2006/relationships/hyperlink" Target="https://2019.stateofeuropeantech.com/chapter/state-european-tech-2019/article/executive-summary" TargetMode="External"/><Relationship Id="rId31" Type="http://schemas.openxmlformats.org/officeDocument/2006/relationships/hyperlink" Target="https://ec.europa.eu/info/sites/info/files/bcn_objectives-report2018_web_en.pdf" TargetMode="External"/><Relationship Id="rId4" Type="http://schemas.openxmlformats.org/officeDocument/2006/relationships/hyperlink" Target="https://eige.europa.eu/gender-equality-index/2019" TargetMode="External"/><Relationship Id="rId9" Type="http://schemas.openxmlformats.org/officeDocument/2006/relationships/hyperlink" Target="https://eige.europa.eu/thesaurus/terms/1285" TargetMode="External"/><Relationship Id="rId14" Type="http://schemas.openxmlformats.org/officeDocument/2006/relationships/hyperlink" Target="https://ec.europa.eu/digital-single-market/en/media-sub-programme-creative-europe" TargetMode="External"/><Relationship Id="rId22" Type="http://schemas.openxmlformats.org/officeDocument/2006/relationships/hyperlink" Target="https://ec.europa.eu/eurostat/web/products-eurostat-news/-/EDN-20180425-1" TargetMode="External"/><Relationship Id="rId27" Type="http://schemas.openxmlformats.org/officeDocument/2006/relationships/hyperlink" Target="https://appsso.eurostat.ec.europa.eu/nui/show.do?dataset=ilc_pnp14&amp;lang=en" TargetMode="External"/><Relationship Id="rId30" Type="http://schemas.openxmlformats.org/officeDocument/2006/relationships/hyperlink" Target="https://www.ilo.org/wcmsp5/groups/public/---dgreports/---cabinet/documents/publication/wcms_713376.pdf" TargetMode="External"/><Relationship Id="rId35" Type="http://schemas.openxmlformats.org/officeDocument/2006/relationships/hyperlink" Target="https://ec.europa.eu/info/policies/justice-and-fundamental-rights/gender-equality/who-we-work-gender-equality/mutual-learning-programme-gender-equality_en" TargetMode="External"/><Relationship Id="rId43" Type="http://schemas.openxmlformats.org/officeDocument/2006/relationships/hyperlink" Target="http://www.europarl.europa.eu/oeil/popups/ficheprocedure.do?lang=en&amp;reference=2016/2249(INI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17A1C524D8DBC041BAC361A7FA0BC3BA" ma:contentTypeVersion="0" ma:contentTypeDescription="Create a new document in this library." ma:contentTypeScope="" ma:versionID="472184d01dc63c2631f13a6db2b93dd8">
  <xsd:schema xmlns:xsd="http://www.w3.org/2001/XMLSchema" xmlns:xs="http://www.w3.org/2001/XMLSchema" xmlns:p="http://schemas.microsoft.com/office/2006/metadata/properties" xmlns:ns2="http://schemas.microsoft.com/sharepoint/v3/fields" xmlns:ns3="724151e2-140d-4670-8684-77a651b4f52a" targetNamespace="http://schemas.microsoft.com/office/2006/metadata/properties" ma:root="true" ma:fieldsID="2be522cebc4dc708207e7baaea01d0b1" ns2:_="" ns3:_="">
    <xsd:import namespace="http://schemas.microsoft.com/sharepoint/v3/fields"/>
    <xsd:import namespace="724151e2-140d-4670-8684-77a651b4f52a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151e2-140d-4670-8684-77a651b4f52a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DocumentLanguage xmlns="724151e2-140d-4670-8684-77a651b4f52a">EN</EC_Collab_DocumentLanguage>
    <EC_Collab_Status xmlns="724151e2-140d-4670-8684-77a651b4f52a">Not Started</EC_Collab_Status>
    <_Status xmlns="http://schemas.microsoft.com/sharepoint/v3/fields">Not Started</_Status>
    <EC_Collab_Reference xmlns="724151e2-140d-4670-8684-77a651b4f5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28D57-7110-4F19-BC08-E1A0CCC06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724151e2-140d-4670-8684-77a651b4f5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DB49A3-B364-427A-AC8C-027C0721EE78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724151e2-140d-4670-8684-77a651b4f52a"/>
    <ds:schemaRef ds:uri="http://purl.org/dc/elements/1.1/"/>
    <ds:schemaRef ds:uri="http://schemas.microsoft.com/office/infopath/2007/PartnerControls"/>
    <ds:schemaRef ds:uri="http://schemas.microsoft.com/sharepoint/v3/field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80832C9-B7EF-4D1B-8CCB-14981AA68B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CEF9FA-DCD0-476A-8B28-4343C4BAE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5973</Words>
  <Characters>43545</Characters>
  <Application>Microsoft Office Word</Application>
  <DocSecurity>0</DocSecurity>
  <Lines>596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2020-03-03T10:03:00Z</dcterms:created>
  <dcterms:modified xsi:type="dcterms:W3CDTF">2020-03-06T13:48:00Z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Last edited using">
    <vt:lpwstr>LW 7.0, Build 20190717</vt:lpwstr>
  </property>
  <property fmtid="{D5CDD505-2E9C-101B-9397-08002B2CF9AE}" pid="4" name="Part">
    <vt:lpwstr>1</vt:lpwstr>
  </property>
  <property fmtid="{D5CDD505-2E9C-101B-9397-08002B2CF9AE}" pid="5" name="Total parts">
    <vt:lpwstr>1</vt:lpwstr>
  </property>
  <property fmtid="{D5CDD505-2E9C-101B-9397-08002B2CF9AE}" pid="6" name="DocStatus">
    <vt:lpwstr>Green</vt:lpwstr>
  </property>
  <property fmtid="{D5CDD505-2E9C-101B-9397-08002B2CF9AE}" pid="7" name="CPTemplateID">
    <vt:lpwstr>CP-014</vt:lpwstr>
  </property>
  <property fmtid="{D5CDD505-2E9C-101B-9397-08002B2CF9AE}" pid="8" name="_LW_INVALIDATED__LW_INVALIDATED__LW_INVALIDATED__LW_INVALIDATED__LW_INVALIDATED__LW_INVALIDATED_ContentTypeId">
    <vt:lpwstr>0x010100258AA79CEB83498886A3A086811232500017A1C524D8DBC041BAC361A7FA0BC3BA</vt:lpwstr>
  </property>
</Properties>
</file>