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3B5320E2-DC1D-42CF-8A36-D8274497ADDB" style="width:450.75pt;height:348pt">
            <v:imagedata r:id="rId12" o:title=""/>
          </v:shape>
        </w:pict>
      </w:r>
    </w:p>
    <w:bookmarkEnd w:id="0"/>
    <w:p>
      <w:pPr>
        <w:pStyle w:val="Pagedecouverture"/>
        <w:rPr>
          <w:noProof/>
          <w:szCs w:val="24"/>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Pagedecouverture"/>
        <w:rPr>
          <w:noProof/>
          <w:szCs w:val="24"/>
        </w:rPr>
      </w:pPr>
      <w:bookmarkStart w:id="1" w:name="_GoBack"/>
      <w:bookmarkEnd w:id="1"/>
    </w:p>
    <w:p>
      <w:pPr>
        <w:pStyle w:val="Heading1"/>
        <w:rPr>
          <w:i/>
          <w:noProof/>
          <w:sz w:val="28"/>
          <w:szCs w:val="28"/>
        </w:rPr>
      </w:pPr>
      <w:r>
        <w:rPr>
          <w:noProof/>
          <w:sz w:val="28"/>
          <w:szCs w:val="28"/>
        </w:rPr>
        <w:t>VERSO UN'EUROPA GARANTE DELLA PARITÀ DI GENERE</w:t>
      </w:r>
    </w:p>
    <w:p>
      <w:pPr>
        <w:spacing w:line="100" w:lineRule="atLeast"/>
        <w:jc w:val="both"/>
        <w:rPr>
          <w:rFonts w:ascii="Times New Roman" w:hAnsi="Times New Roman" w:cs="Times New Roman"/>
          <w:b/>
          <w:i/>
          <w:noProof/>
          <w:sz w:val="24"/>
          <w:szCs w:val="24"/>
        </w:rPr>
      </w:pPr>
      <w:r>
        <w:rPr>
          <w:rFonts w:ascii="Times New Roman" w:hAnsi="Times New Roman"/>
          <w:b/>
          <w:i/>
          <w:noProof/>
          <w:sz w:val="24"/>
          <w:szCs w:val="24"/>
        </w:rPr>
        <w:t xml:space="preserve">"Nelle sue azioni l'Unione mira ad eliminare le ineguaglianze, nonché a promuovere la parità, tra uomini e donne." </w:t>
      </w:r>
    </w:p>
    <w:p>
      <w:pPr>
        <w:pStyle w:val="ListParagraph"/>
        <w:spacing w:line="100" w:lineRule="atLeast"/>
        <w:jc w:val="right"/>
        <w:rPr>
          <w:rFonts w:ascii="Times New Roman" w:hAnsi="Times New Roman" w:cs="Times New Roman"/>
          <w:noProof/>
          <w:sz w:val="24"/>
          <w:szCs w:val="24"/>
        </w:rPr>
      </w:pPr>
      <w:r>
        <w:rPr>
          <w:rFonts w:ascii="Times New Roman" w:hAnsi="Times New Roman"/>
          <w:noProof/>
          <w:sz w:val="24"/>
          <w:szCs w:val="24"/>
        </w:rPr>
        <w:t>Articolo 8 del trattato sul funzionamento dell'Unione Europea</w:t>
      </w:r>
    </w:p>
    <w:p>
      <w:pPr>
        <w:spacing w:line="100" w:lineRule="atLeast"/>
        <w:jc w:val="both"/>
        <w:rPr>
          <w:rFonts w:ascii="Times New Roman" w:hAnsi="Times New Roman" w:cs="Times New Roman"/>
          <w:b/>
          <w:i/>
          <w:noProof/>
          <w:sz w:val="24"/>
          <w:szCs w:val="24"/>
        </w:rPr>
      </w:pPr>
    </w:p>
    <w:p>
      <w:pPr>
        <w:spacing w:line="100" w:lineRule="atLeast"/>
        <w:jc w:val="both"/>
        <w:rPr>
          <w:rFonts w:ascii="Times New Roman" w:hAnsi="Times New Roman" w:cs="Times New Roman"/>
          <w:b/>
          <w:i/>
          <w:noProof/>
          <w:sz w:val="24"/>
          <w:szCs w:val="24"/>
        </w:rPr>
      </w:pPr>
      <w:r>
        <w:rPr>
          <w:rFonts w:ascii="Times New Roman" w:hAnsi="Times New Roman"/>
          <w:b/>
          <w:i/>
          <w:noProof/>
          <w:sz w:val="24"/>
          <w:szCs w:val="24"/>
        </w:rPr>
        <w:t>"Non dobbiamo aver paura di essere fieri di dove siamo arrivati o di essere ambiziosi per il nostro futuro."</w:t>
      </w:r>
    </w:p>
    <w:p>
      <w:pPr>
        <w:spacing w:line="100" w:lineRule="atLeast"/>
        <w:jc w:val="right"/>
        <w:rPr>
          <w:rFonts w:ascii="Times New Roman" w:hAnsi="Times New Roman" w:cs="Times New Roman"/>
          <w:noProof/>
          <w:sz w:val="24"/>
          <w:szCs w:val="24"/>
        </w:rPr>
      </w:pPr>
      <w:r>
        <w:rPr>
          <w:rFonts w:ascii="Times New Roman" w:hAnsi="Times New Roman"/>
          <w:noProof/>
          <w:sz w:val="24"/>
          <w:szCs w:val="24"/>
        </w:rPr>
        <w:t>Presidente Ursula von der Leyen</w:t>
      </w:r>
      <w:r>
        <w:rPr>
          <w:rFonts w:ascii="Times New Roman" w:hAnsi="Times New Roman"/>
          <w:noProof/>
          <w:sz w:val="24"/>
          <w:szCs w:val="24"/>
        </w:rPr>
        <w:br/>
        <w:t>Orientamenti politici</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La promozione della parità tra donne e uomini è un compito che spetta all'Unione in tutte le attività che le competono in virtù dei trattati.</w:t>
      </w:r>
      <w:r>
        <w:rPr>
          <w:rFonts w:ascii="Times New Roman" w:hAnsi="Times New Roman"/>
          <w:noProof/>
          <w:sz w:val="24"/>
          <w:szCs w:val="24"/>
        </w:rPr>
        <w:t xml:space="preserve"> La parità di genere è un valore cardine dell'UE, un diritto fondamentale</w:t>
      </w:r>
      <w:r>
        <w:rPr>
          <w:rStyle w:val="FootnoteReference"/>
          <w:rFonts w:ascii="Times New Roman" w:hAnsi="Times New Roman" w:cs="Times New Roman"/>
          <w:noProof/>
          <w:sz w:val="24"/>
          <w:szCs w:val="24"/>
        </w:rPr>
        <w:footnoteReference w:id="2"/>
      </w:r>
      <w:r>
        <w:rPr>
          <w:rFonts w:ascii="Times New Roman" w:hAnsi="Times New Roman"/>
          <w:noProof/>
          <w:sz w:val="24"/>
          <w:szCs w:val="24"/>
        </w:rPr>
        <w:t xml:space="preserve"> e un principio chiave del pilastro europeo dei diritti sociali</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xml:space="preserve">. Rispecchia la nostra identità ed è inoltre una condizione essenziale per un'economia europea innovativa, competitiva e prospera. </w:t>
      </w:r>
      <w:r>
        <w:rPr>
          <w:rFonts w:ascii="Times New Roman" w:hAnsi="Times New Roman"/>
          <w:b/>
          <w:noProof/>
          <w:sz w:val="24"/>
          <w:szCs w:val="24"/>
        </w:rPr>
        <w:t xml:space="preserve">Nel mondo degli affari, in politica e nella società nel suo complesso potremo raggiungere il nostro pieno potenziale solo utilizzando tutti i nostri talenti e la nostra diversità. </w:t>
      </w:r>
      <w:r>
        <w:rPr>
          <w:rFonts w:ascii="Times New Roman" w:hAnsi="Times New Roman"/>
          <w:noProof/>
          <w:sz w:val="24"/>
          <w:szCs w:val="24"/>
        </w:rPr>
        <w:t>La parità di genere fa aumentare i posti di lavoro e la produttività</w:t>
      </w:r>
      <w:r>
        <w:rPr>
          <w:rStyle w:val="FootnoteReference"/>
          <w:rFonts w:ascii="Times New Roman" w:hAnsi="Times New Roman" w:cs="Times New Roman"/>
          <w:noProof/>
          <w:sz w:val="24"/>
          <w:szCs w:val="24"/>
        </w:rPr>
        <w:footnoteReference w:id="4"/>
      </w:r>
      <w:r>
        <w:rPr>
          <w:rFonts w:ascii="Times New Roman" w:hAnsi="Times New Roman"/>
          <w:noProof/>
          <w:sz w:val="24"/>
          <w:szCs w:val="24"/>
        </w:rPr>
        <w:t xml:space="preserve">: è quindi un potenziale che va sfruttato man mano che si procede verso le </w:t>
      </w:r>
      <w:r>
        <w:rPr>
          <w:rFonts w:ascii="Times New Roman" w:hAnsi="Times New Roman"/>
          <w:b/>
          <w:noProof/>
          <w:sz w:val="24"/>
          <w:szCs w:val="24"/>
        </w:rPr>
        <w:t>transizioni verde e digitale</w:t>
      </w:r>
      <w:r>
        <w:rPr>
          <w:rFonts w:ascii="Times New Roman" w:hAnsi="Times New Roman"/>
          <w:noProof/>
          <w:sz w:val="24"/>
          <w:szCs w:val="24"/>
        </w:rPr>
        <w:t xml:space="preserve"> e si fronteggiano le sfide demografiche.</w:t>
      </w:r>
    </w:p>
    <w:p>
      <w:pPr>
        <w:spacing w:line="100" w:lineRule="atLeast"/>
        <w:jc w:val="both"/>
        <w:rPr>
          <w:rFonts w:ascii="Times New Roman" w:hAnsi="Times New Roman" w:cs="Times New Roman"/>
          <w:i/>
          <w:noProof/>
          <w:sz w:val="24"/>
          <w:szCs w:val="24"/>
        </w:rPr>
      </w:pPr>
      <w:r>
        <w:rPr>
          <w:rFonts w:ascii="Times New Roman" w:hAnsi="Times New Roman"/>
          <w:b/>
          <w:noProof/>
          <w:sz w:val="24"/>
          <w:szCs w:val="24"/>
        </w:rPr>
        <w:t xml:space="preserve">L'Unione europea è all'avanguardia nel mondo per la parità di genere: </w:t>
      </w:r>
      <w:r>
        <w:rPr>
          <w:rFonts w:ascii="Times New Roman" w:hAnsi="Times New Roman"/>
          <w:noProof/>
          <w:sz w:val="24"/>
          <w:szCs w:val="24"/>
        </w:rPr>
        <w:t>14 tra i primi 20 paesi al mondo per l'attuazione della parità di genere sono Stati membri dell'UE</w:t>
      </w:r>
      <w:r>
        <w:rPr>
          <w:rStyle w:val="FootnoteReference"/>
          <w:rFonts w:ascii="Times New Roman" w:hAnsi="Times New Roman" w:cs="Times New Roman"/>
          <w:noProof/>
          <w:sz w:val="24"/>
          <w:szCs w:val="24"/>
        </w:rPr>
        <w:footnoteReference w:id="5"/>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Grazie ad una legislazione e ad una giurisprudenza solide in materia di parità di trattamento</w:t>
      </w:r>
      <w:r>
        <w:rPr>
          <w:rStyle w:val="FootnoteReference"/>
          <w:rFonts w:ascii="Times New Roman" w:hAnsi="Times New Roman" w:cs="Times New Roman"/>
          <w:noProof/>
          <w:sz w:val="24"/>
          <w:szCs w:val="24"/>
        </w:rPr>
        <w:footnoteReference w:id="6"/>
      </w:r>
      <w:r>
        <w:rPr>
          <w:rFonts w:ascii="Times New Roman" w:hAnsi="Times New Roman"/>
          <w:noProof/>
          <w:sz w:val="24"/>
          <w:szCs w:val="24"/>
        </w:rPr>
        <w:t>, agli sforzi intrapresi per integrare la prospettiva di genere</w:t>
      </w:r>
      <w:r>
        <w:rPr>
          <w:rStyle w:val="FootnoteReference"/>
          <w:rFonts w:ascii="Times New Roman" w:hAnsi="Times New Roman" w:cs="Times New Roman"/>
          <w:noProof/>
          <w:sz w:val="24"/>
          <w:szCs w:val="24"/>
        </w:rPr>
        <w:footnoteReference w:id="7"/>
      </w:r>
      <w:r>
        <w:rPr>
          <w:rFonts w:ascii="Times New Roman" w:hAnsi="Times New Roman"/>
          <w:noProof/>
          <w:sz w:val="24"/>
          <w:szCs w:val="24"/>
        </w:rPr>
        <w:t xml:space="preserve"> nei diversi ambiti politici e a norme volte a sanare disuguaglianze specifiche, l'UE ha compiuto immensi progressi sulla parità di genere negli ultimi decenni.</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Nessuno Stato membro, tuttavia, ha raggiunto la piena parità di genere e i progressi vanno a rilento.</w:t>
      </w:r>
      <w:r>
        <w:rPr>
          <w:rFonts w:ascii="Times New Roman" w:hAnsi="Times New Roman"/>
          <w:noProof/>
          <w:sz w:val="24"/>
          <w:szCs w:val="24"/>
        </w:rPr>
        <w:t xml:space="preserve"> Nell'indice sull'uguaglianza di genere dell'UE del 2019</w:t>
      </w:r>
      <w:r>
        <w:rPr>
          <w:rStyle w:val="FootnoteReference"/>
          <w:rFonts w:ascii="Times New Roman" w:hAnsi="Times New Roman" w:cs="Times New Roman"/>
          <w:noProof/>
          <w:sz w:val="24"/>
          <w:szCs w:val="24"/>
        </w:rPr>
        <w:footnoteReference w:id="8"/>
      </w:r>
      <w:r>
        <w:rPr>
          <w:rFonts w:ascii="Times New Roman" w:hAnsi="Times New Roman"/>
          <w:noProof/>
          <w:sz w:val="24"/>
          <w:szCs w:val="24"/>
        </w:rPr>
        <w:t xml:space="preserve"> gli Stati membri hanno ottenuto in media 67,4 punti su 100, migliorando di appena 5,4 punti il punteggio dal 2005 ad oggi.</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I progressi in materia di parità di genere purtroppo non sono inevitabili né irreversibili ed è per questo che dobbiamo dare nuovo slancio all'uguaglianza tra donne e uomini.</w:t>
      </w:r>
      <w:r>
        <w:rPr>
          <w:rFonts w:ascii="Times New Roman" w:hAnsi="Times New Roman"/>
          <w:noProof/>
          <w:sz w:val="24"/>
          <w:szCs w:val="24"/>
        </w:rPr>
        <w:t xml:space="preserve"> Il divario di genere si sta colmando nel campo dell'istruzione, ma è ancora presente nel mondo del lavoro e a livello di retribuzioni, assistenza, poteri e pensioni.</w:t>
      </w:r>
      <w:r>
        <w:rPr>
          <w:noProof/>
          <w:sz w:val="24"/>
          <w:szCs w:val="24"/>
        </w:rPr>
        <w:t xml:space="preserve"> </w:t>
      </w:r>
      <w:r>
        <w:rPr>
          <w:rFonts w:ascii="Times New Roman" w:hAnsi="Times New Roman"/>
          <w:noProof/>
          <w:sz w:val="24"/>
          <w:szCs w:val="24"/>
        </w:rPr>
        <w:t>Ancor oggi troppe persone violano il principio della parità di genere con una retorica dell'odio in chiave sessista e bloccando qualunque azione contro la violenza e gli stereotipi di genere. La violenza e le molestie di genere proseguono a livelli allarmanti. Il movimento #</w:t>
      </w:r>
      <w:r>
        <w:rPr>
          <w:rFonts w:ascii="Times New Roman" w:hAnsi="Times New Roman"/>
          <w:i/>
          <w:iCs/>
          <w:noProof/>
          <w:sz w:val="24"/>
          <w:szCs w:val="24"/>
        </w:rPr>
        <w:t>MeToo</w:t>
      </w:r>
      <w:r>
        <w:rPr>
          <w:rFonts w:ascii="Times New Roman" w:hAnsi="Times New Roman"/>
          <w:noProof/>
          <w:sz w:val="24"/>
          <w:szCs w:val="24"/>
        </w:rPr>
        <w:t xml:space="preserve"> ci ha dato la dimostrazione di quanto siano diffusi il sessismo e gli abusi che le donne e le ragazze continuano ad affrontare. Al tempo stesso ha dato alle donne, in tutto il mondo, la possibilità di rendere pubbliche le loro esperienze e di adire le vie legali. </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La strategia per la parità di genere qui delineata inquadra l'operato della Commissione europea in materia di parità di genere e definisce gli obiettivi politici e le azioni chiave per il periodo 2020-2025</w:t>
      </w:r>
      <w:r>
        <w:rPr>
          <w:rStyle w:val="FootnoteReference"/>
          <w:rFonts w:ascii="Times New Roman" w:hAnsi="Times New Roman" w:cs="Times New Roman"/>
          <w:noProof/>
          <w:sz w:val="24"/>
          <w:szCs w:val="24"/>
        </w:rPr>
        <w:footnoteReference w:id="9"/>
      </w:r>
      <w:r>
        <w:rPr>
          <w:rFonts w:ascii="Times New Roman" w:hAnsi="Times New Roman"/>
          <w:noProof/>
          <w:sz w:val="24"/>
          <w:szCs w:val="24"/>
        </w:rPr>
        <w:t>. Il suo scopo è costruire un'Europa garante della parità di genere, in cui la violenza di genere, la discriminazione sessuale e la disuguaglianza strutturale tra donne e uomini appartengano al passato; un'Europa in cui donne e uomini, ragazze e ragazzi, in tutta la loro diversità</w:t>
      </w:r>
      <w:r>
        <w:rPr>
          <w:rStyle w:val="FootnoteReference"/>
          <w:rFonts w:ascii="Times New Roman" w:hAnsi="Times New Roman" w:cs="Times New Roman"/>
          <w:bCs/>
          <w:noProof/>
          <w:sz w:val="24"/>
          <w:szCs w:val="24"/>
        </w:rPr>
        <w:footnoteReference w:id="10"/>
      </w:r>
      <w:r>
        <w:rPr>
          <w:rFonts w:ascii="Times New Roman" w:hAnsi="Times New Roman"/>
          <w:noProof/>
          <w:sz w:val="24"/>
          <w:szCs w:val="24"/>
        </w:rPr>
        <w:t xml:space="preserve">, siano uguali e </w:t>
      </w:r>
      <w:r>
        <w:rPr>
          <w:rFonts w:ascii="Times New Roman" w:hAnsi="Times New Roman"/>
          <w:b/>
          <w:i/>
          <w:noProof/>
          <w:sz w:val="24"/>
          <w:szCs w:val="24"/>
        </w:rPr>
        <w:t>liberi</w:t>
      </w:r>
      <w:r>
        <w:rPr>
          <w:rFonts w:ascii="Times New Roman" w:hAnsi="Times New Roman"/>
          <w:noProof/>
          <w:sz w:val="24"/>
          <w:szCs w:val="24"/>
        </w:rPr>
        <w:t xml:space="preserve"> di perseguire le loro scelte di vita, abbiano pari opportunità di </w:t>
      </w:r>
      <w:r>
        <w:rPr>
          <w:rFonts w:ascii="Times New Roman" w:hAnsi="Times New Roman"/>
          <w:b/>
          <w:i/>
          <w:noProof/>
          <w:sz w:val="24"/>
          <w:szCs w:val="24"/>
        </w:rPr>
        <w:t>realizzazione personale</w:t>
      </w:r>
      <w:r>
        <w:rPr>
          <w:rFonts w:ascii="Times New Roman" w:hAnsi="Times New Roman"/>
          <w:noProof/>
          <w:sz w:val="24"/>
          <w:szCs w:val="24"/>
        </w:rPr>
        <w:t xml:space="preserve"> e le stesse possibilità di partecipare alla nostra società europea e svolgervi un </w:t>
      </w:r>
      <w:r>
        <w:rPr>
          <w:rFonts w:ascii="Times New Roman" w:hAnsi="Times New Roman"/>
          <w:i/>
          <w:noProof/>
          <w:sz w:val="24"/>
          <w:szCs w:val="24"/>
        </w:rPr>
        <w:t>ruolo guida</w:t>
      </w:r>
      <w:r>
        <w:rPr>
          <w:rFonts w:ascii="Times New Roman" w:hAnsi="Times New Roman"/>
          <w:noProof/>
          <w:sz w:val="24"/>
          <w:szCs w:val="24"/>
        </w:rPr>
        <w:t>.</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L'attuazione di questa strategia procederà su un </w:t>
      </w:r>
      <w:r>
        <w:rPr>
          <w:rFonts w:ascii="Times New Roman" w:hAnsi="Times New Roman"/>
          <w:b/>
          <w:noProof/>
          <w:sz w:val="24"/>
          <w:szCs w:val="24"/>
        </w:rPr>
        <w:t>duplice binario</w:t>
      </w:r>
      <w:r>
        <w:rPr>
          <w:rFonts w:ascii="Times New Roman" w:hAnsi="Times New Roman"/>
          <w:noProof/>
          <w:sz w:val="24"/>
          <w:szCs w:val="24"/>
        </w:rPr>
        <w:t xml:space="preserve">: misure mirate volte a conseguire la parità di genere, combinate a una maggior integrazione della dimensione di genere. La Commissione migliorerà tale integrazione </w:t>
      </w:r>
      <w:r>
        <w:rPr>
          <w:rFonts w:ascii="Times New Roman" w:hAnsi="Times New Roman"/>
          <w:b/>
          <w:noProof/>
          <w:sz w:val="24"/>
          <w:szCs w:val="24"/>
        </w:rPr>
        <w:t>inserendo sistematicamente una prospettiva di genere in ogni fase dell'elaborazione delle politiche in tutti i settori di azione dell'UE, sia interni che esterni</w:t>
      </w:r>
      <w:r>
        <w:rPr>
          <w:rFonts w:ascii="Times New Roman" w:hAnsi="Times New Roman"/>
          <w:noProof/>
          <w:sz w:val="24"/>
          <w:szCs w:val="24"/>
        </w:rPr>
        <w:t xml:space="preserve">. La strategia sarà attuata utilizzando, </w:t>
      </w:r>
      <w:r>
        <w:rPr>
          <w:rFonts w:ascii="Times New Roman" w:hAnsi="Times New Roman"/>
          <w:b/>
          <w:noProof/>
          <w:sz w:val="24"/>
          <w:szCs w:val="24"/>
        </w:rPr>
        <w:t>come principio trasversale</w:t>
      </w:r>
      <w:r>
        <w:rPr>
          <w:rFonts w:ascii="Times New Roman" w:hAnsi="Times New Roman"/>
          <w:noProof/>
          <w:sz w:val="24"/>
          <w:szCs w:val="24"/>
        </w:rPr>
        <w:t>, l'</w:t>
      </w:r>
      <w:r>
        <w:rPr>
          <w:rFonts w:ascii="Times New Roman" w:hAnsi="Times New Roman"/>
          <w:b/>
          <w:noProof/>
          <w:sz w:val="24"/>
          <w:szCs w:val="24"/>
        </w:rPr>
        <w:t>intersezionalità</w:t>
      </w:r>
      <w:r>
        <w:rPr>
          <w:rStyle w:val="FootnoteReference"/>
          <w:rFonts w:ascii="Times New Roman" w:eastAsia="Times New Roman" w:hAnsi="Times New Roman" w:cs="Times New Roman"/>
          <w:noProof/>
          <w:sz w:val="24"/>
          <w:szCs w:val="24"/>
        </w:rPr>
        <w:footnoteReference w:id="11"/>
      </w:r>
      <w:r>
        <w:rPr>
          <w:rFonts w:ascii="Times New Roman" w:hAnsi="Times New Roman"/>
          <w:noProof/>
          <w:sz w:val="24"/>
          <w:szCs w:val="24"/>
        </w:rPr>
        <w:t>, vale a dire la combinazione del genere con altre caratteristiche o identità personali e il modo in cui tali intersezioni contribuiscono a determinare esperienze di discriminazione specifiche.</w:t>
      </w:r>
    </w:p>
    <w:p>
      <w:pPr>
        <w:spacing w:line="100" w:lineRule="atLeast"/>
        <w:jc w:val="both"/>
        <w:rPr>
          <w:rFonts w:ascii="Times New Roman" w:hAnsi="Times New Roman" w:cs="Times New Roman"/>
          <w:b/>
          <w:noProof/>
          <w:sz w:val="24"/>
          <w:szCs w:val="24"/>
        </w:rPr>
      </w:pPr>
      <w:r>
        <w:rPr>
          <w:rFonts w:ascii="Times New Roman" w:hAnsi="Times New Roman"/>
          <w:noProof/>
          <w:sz w:val="24"/>
          <w:szCs w:val="24"/>
        </w:rPr>
        <w:t>In questo anno 2020, che coincide con il 25º anniversario dell'adozione della dichiarazione e della piattaforma d'azione di Pechino</w:t>
      </w:r>
      <w:r>
        <w:rPr>
          <w:rStyle w:val="FootnoteReference"/>
          <w:rFonts w:ascii="Times New Roman" w:hAnsi="Times New Roman" w:cs="Times New Roman"/>
          <w:noProof/>
          <w:sz w:val="24"/>
          <w:szCs w:val="24"/>
        </w:rPr>
        <w:footnoteReference w:id="12"/>
      </w:r>
      <w:r>
        <w:rPr>
          <w:rFonts w:ascii="Times New Roman" w:hAnsi="Times New Roman"/>
          <w:noProof/>
          <w:sz w:val="24"/>
          <w:szCs w:val="24"/>
        </w:rPr>
        <w:t xml:space="preserve"> – il primo impegno e piano d'azione universale per promuovere l'uguaglianza tra donne e uomini – </w:t>
      </w:r>
      <w:r>
        <w:rPr>
          <w:rFonts w:ascii="Times New Roman" w:hAnsi="Times New Roman"/>
          <w:b/>
          <w:noProof/>
          <w:sz w:val="24"/>
          <w:szCs w:val="24"/>
        </w:rPr>
        <w:t>la strategia qui delineata rappresenta il contributo dell'UE alla costruzione di un mondo migliore per donne e uomini, ragazze e ragazzi</w:t>
      </w:r>
      <w:r>
        <w:rPr>
          <w:rFonts w:ascii="Times New Roman" w:hAnsi="Times New Roman"/>
          <w:noProof/>
          <w:sz w:val="24"/>
          <w:szCs w:val="24"/>
        </w:rPr>
        <w:t>. Risponde all'obiettivo di sviluppo sostenibile sulla parità di genere (OSS 5) e alla volontà di fare della parità di genere una priorità trasversale di tutti gli obiettivi di sviluppo sostenibile</w:t>
      </w:r>
      <w:r>
        <w:rPr>
          <w:rStyle w:val="FootnoteReference"/>
          <w:rFonts w:ascii="Times New Roman" w:hAnsi="Times New Roman" w:cs="Times New Roman"/>
          <w:noProof/>
          <w:sz w:val="24"/>
          <w:szCs w:val="24"/>
        </w:rPr>
        <w:footnoteReference w:id="13"/>
      </w:r>
      <w:r>
        <w:rPr>
          <w:rFonts w:ascii="Times New Roman" w:hAnsi="Times New Roman"/>
          <w:noProof/>
          <w:sz w:val="24"/>
          <w:szCs w:val="24"/>
        </w:rPr>
        <w:t xml:space="preserve"> e tiene fede all'impegno assunto dall'UE nel sottoscrivere la Convenzione delle Nazioni Unite sui diritti delle persone con disabilità.</w:t>
      </w:r>
    </w:p>
    <w:p>
      <w:pPr>
        <w:spacing w:line="100" w:lineRule="atLeast"/>
        <w:ind w:left="709" w:hanging="709"/>
        <w:jc w:val="both"/>
        <w:rPr>
          <w:rFonts w:ascii="Times New Roman" w:hAnsi="Times New Roman" w:cs="Times New Roman"/>
          <w:b/>
          <w:noProof/>
          <w:sz w:val="24"/>
          <w:szCs w:val="24"/>
        </w:rPr>
      </w:pPr>
      <w:r>
        <w:rPr>
          <w:rFonts w:ascii="Times New Roman" w:hAnsi="Times New Roman"/>
          <w:b/>
          <w:noProof/>
          <w:sz w:val="24"/>
          <w:szCs w:val="24"/>
        </w:rPr>
        <w:t xml:space="preserve">1. </w:t>
      </w:r>
      <w:r>
        <w:rPr>
          <w:rFonts w:ascii="Times New Roman" w:hAnsi="Times New Roman"/>
          <w:b/>
          <w:noProof/>
          <w:sz w:val="24"/>
          <w:szCs w:val="24"/>
        </w:rPr>
        <w:tab/>
        <w:t>Liberarsi della violenza e degli stereotipi</w:t>
      </w:r>
    </w:p>
    <w:p>
      <w:pPr>
        <w:spacing w:line="240" w:lineRule="auto"/>
        <w:jc w:val="both"/>
        <w:rPr>
          <w:rFonts w:ascii="Times New Roman" w:hAnsi="Times New Roman" w:cs="Times New Roman"/>
          <w:b/>
          <w:i/>
          <w:noProof/>
          <w:sz w:val="24"/>
          <w:szCs w:val="24"/>
        </w:rPr>
      </w:pPr>
      <w:r>
        <w:rPr>
          <w:rFonts w:ascii="Times New Roman" w:hAnsi="Times New Roman"/>
          <w:i/>
          <w:noProof/>
          <w:sz w:val="24"/>
          <w:szCs w:val="24"/>
        </w:rPr>
        <w:t>Chiunque dovrebbe essere al sicuro nella propria casa, nelle relazioni più strette, sui luoghi di lavoro, negli spazi pubblici e online. Le donne e gli uomini, le ragazze e i ragazzi, in tutta la loro diversità, dovrebbero essere liberi di esprimere le loro idee e le loro emozioni e di perseguire le loro scelte formative e professionali senza sentirsi vincolati da ruoli di genere stereotipati.</w:t>
      </w:r>
    </w:p>
    <w:p>
      <w:pPr>
        <w:rPr>
          <w:rFonts w:ascii="Times New Roman" w:hAnsi="Times New Roman" w:cs="Times New Roman"/>
          <w:b/>
          <w:noProof/>
          <w:sz w:val="24"/>
          <w:szCs w:val="24"/>
        </w:rPr>
      </w:pPr>
      <w:r>
        <w:rPr>
          <w:rFonts w:ascii="Times New Roman" w:hAnsi="Times New Roman"/>
          <w:b/>
          <w:i/>
          <w:noProof/>
          <w:sz w:val="24"/>
          <w:szCs w:val="24"/>
        </w:rPr>
        <w:t>Porre fine alla violenza di genere</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La violenza di genere, vale a dire qualsiasi violenza diretta contro una donna in quanto tale o che colpisce le donne in modo sproporzionato</w:t>
      </w:r>
      <w:r>
        <w:rPr>
          <w:rStyle w:val="FootnoteReference"/>
          <w:rFonts w:ascii="Times New Roman" w:hAnsi="Times New Roman" w:cs="Times New Roman"/>
          <w:noProof/>
          <w:sz w:val="24"/>
          <w:szCs w:val="24"/>
        </w:rPr>
        <w:footnoteReference w:id="14"/>
      </w:r>
      <w:r>
        <w:rPr>
          <w:rFonts w:ascii="Times New Roman" w:hAnsi="Times New Roman"/>
          <w:noProof/>
          <w:sz w:val="24"/>
          <w:szCs w:val="24"/>
        </w:rPr>
        <w:t>, rimane una delle maggiori sfide delle nostre società ed è profondamente radicata nella disparità di genere</w:t>
      </w:r>
      <w:r>
        <w:rPr>
          <w:rStyle w:val="FootnoteReference"/>
          <w:rFonts w:ascii="Times New Roman" w:hAnsi="Times New Roman" w:cs="Times New Roman"/>
          <w:noProof/>
          <w:sz w:val="24"/>
          <w:szCs w:val="24"/>
        </w:rPr>
        <w:footnoteReference w:id="15"/>
      </w:r>
      <w:r>
        <w:rPr>
          <w:rFonts w:ascii="Times New Roman" w:hAnsi="Times New Roman"/>
          <w:noProof/>
          <w:sz w:val="24"/>
          <w:szCs w:val="24"/>
        </w:rPr>
        <w:t xml:space="preserve">. Sulla violenza di genere, in tutte le sue forme, si continua a tacere e a chiudere gli occhi, sia all'interno che all'esterno dell'UE. </w:t>
      </w:r>
      <w:r>
        <w:rPr>
          <w:rFonts w:ascii="Times New Roman" w:hAnsi="Times New Roman"/>
          <w:b/>
          <w:noProof/>
          <w:sz w:val="24"/>
          <w:szCs w:val="24"/>
        </w:rPr>
        <w:t>L'UE farà tutto il possibile per impedire e combattere la violenza di genere, sostenere e proteggere le vittime di questi reati e far sì che i responsabili rispondano</w:t>
      </w:r>
      <w:r>
        <w:rPr>
          <w:rFonts w:ascii="Times New Roman" w:hAnsi="Times New Roman"/>
          <w:noProof/>
          <w:sz w:val="24"/>
          <w:szCs w:val="24"/>
        </w:rPr>
        <w:t xml:space="preserve"> del loro comportamento violento.</w:t>
      </w:r>
    </w:p>
    <w:p>
      <w:pPr>
        <w:spacing w:line="100" w:lineRule="atLeast"/>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59450" cy="1004448"/>
            <wp:effectExtent l="0" t="0" r="0" b="5715"/>
            <wp:docPr id="3" name="Picture 3" descr="C:\Users\signoem\AppData\Local\Temp\1\7zO411C3DF4\IT_gender-based-vio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gnoem\AppData\Local\Temp\1\7zO411C3DF4\IT_gender-based-violenc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1004448"/>
                    </a:xfrm>
                    <a:prstGeom prst="rect">
                      <a:avLst/>
                    </a:prstGeom>
                    <a:noFill/>
                    <a:ln>
                      <a:noFill/>
                    </a:ln>
                  </pic:spPr>
                </pic:pic>
              </a:graphicData>
            </a:graphic>
          </wp:inline>
        </w:drawing>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La Convenzione del Consiglio d'Europa sulla prevenzione e la lotta contro la violenza nei confronti delle donne e la violenza domestica (</w:t>
      </w:r>
      <w:r>
        <w:rPr>
          <w:rFonts w:ascii="Times New Roman" w:hAnsi="Times New Roman"/>
          <w:b/>
          <w:noProof/>
          <w:sz w:val="24"/>
          <w:szCs w:val="24"/>
        </w:rPr>
        <w:t>"Convenzione di Istanbul"</w:t>
      </w:r>
      <w:r>
        <w:rPr>
          <w:rFonts w:ascii="Times New Roman" w:hAnsi="Times New Roman"/>
          <w:noProof/>
          <w:sz w:val="24"/>
          <w:szCs w:val="24"/>
        </w:rPr>
        <w:t>) è la cornice di riferimento per le norme internazionali in questo settore. Concludere l'adesione dell'UE, che l'ha firmata nel 2017, è una priorità fondamentale per la Commissione. Per accelerare la conclusione di questa adesione, nel 2019 il Parlamento europeo ha chiesto alla Corte di giustizia dell'Unione europea di pronunciarsi sulla questione</w:t>
      </w:r>
      <w:r>
        <w:rPr>
          <w:rFonts w:ascii="Times New Roman" w:eastAsia="Times New Roman" w:hAnsi="Times New Roman" w:cs="Times New Roman"/>
          <w:noProof/>
          <w:sz w:val="24"/>
          <w:szCs w:val="24"/>
          <w:vertAlign w:val="superscript"/>
        </w:rPr>
        <w:footnoteReference w:id="16"/>
      </w:r>
      <w:r>
        <w:rPr>
          <w:rFonts w:ascii="Times New Roman" w:hAnsi="Times New Roman"/>
          <w:noProof/>
          <w:sz w:val="24"/>
          <w:szCs w:val="24"/>
        </w:rPr>
        <w:t>.</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Nel caso in cui l'adesione dell'UE alla Convenzione di Istanbul rimanga bloccata, la Commissione intende </w:t>
      </w:r>
      <w:r>
        <w:rPr>
          <w:rFonts w:ascii="Times New Roman" w:hAnsi="Times New Roman"/>
          <w:b/>
          <w:noProof/>
          <w:sz w:val="24"/>
          <w:szCs w:val="24"/>
        </w:rPr>
        <w:t>proporre, nel 2021, misure</w:t>
      </w:r>
      <w:r>
        <w:rPr>
          <w:rFonts w:ascii="Times New Roman" w:hAnsi="Times New Roman"/>
          <w:noProof/>
          <w:sz w:val="24"/>
          <w:szCs w:val="24"/>
        </w:rPr>
        <w:t xml:space="preserve"> </w:t>
      </w:r>
      <w:r>
        <w:rPr>
          <w:rFonts w:ascii="Times New Roman" w:hAnsi="Times New Roman"/>
          <w:b/>
          <w:noProof/>
          <w:sz w:val="24"/>
          <w:szCs w:val="24"/>
        </w:rPr>
        <w:t>atte a conseguire gli stessi obiettivi della Convenzione di Istanbul</w:t>
      </w:r>
      <w:r>
        <w:rPr>
          <w:rFonts w:ascii="Times New Roman" w:hAnsi="Times New Roman"/>
          <w:noProof/>
          <w:sz w:val="24"/>
          <w:szCs w:val="24"/>
        </w:rPr>
        <w:t>, nei limiti della competenza dell'UE.</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La Commissione, in particolare, intende presentare un'iniziativa volta ad </w:t>
      </w:r>
      <w:r>
        <w:rPr>
          <w:rFonts w:ascii="Times New Roman" w:hAnsi="Times New Roman"/>
          <w:b/>
          <w:noProof/>
          <w:sz w:val="24"/>
          <w:szCs w:val="24"/>
        </w:rPr>
        <w:t>estendere</w:t>
      </w:r>
      <w:r>
        <w:rPr>
          <w:rFonts w:ascii="Times New Roman" w:hAnsi="Times New Roman"/>
          <w:noProof/>
          <w:sz w:val="24"/>
          <w:szCs w:val="24"/>
        </w:rPr>
        <w:t xml:space="preserve"> </w:t>
      </w:r>
      <w:r>
        <w:rPr>
          <w:rFonts w:ascii="Times New Roman" w:hAnsi="Times New Roman"/>
          <w:b/>
          <w:noProof/>
          <w:sz w:val="24"/>
          <w:szCs w:val="24"/>
        </w:rPr>
        <w:t>le sfere di criminalità</w:t>
      </w:r>
      <w:r>
        <w:rPr>
          <w:rFonts w:ascii="Times New Roman" w:hAnsi="Times New Roman"/>
          <w:noProof/>
          <w:sz w:val="24"/>
          <w:szCs w:val="24"/>
        </w:rPr>
        <w:t xml:space="preserve"> in cui vi siano margini di armonizzazione - i cosiddetti </w:t>
      </w:r>
      <w:r>
        <w:rPr>
          <w:rFonts w:ascii="Times New Roman" w:hAnsi="Times New Roman"/>
          <w:b/>
          <w:noProof/>
          <w:sz w:val="24"/>
          <w:szCs w:val="24"/>
        </w:rPr>
        <w:t>eurocrimini</w:t>
      </w:r>
      <w:r>
        <w:rPr>
          <w:rFonts w:ascii="Times New Roman" w:hAnsi="Times New Roman"/>
          <w:noProof/>
          <w:sz w:val="24"/>
          <w:szCs w:val="24"/>
        </w:rPr>
        <w:t xml:space="preserve"> - a forme specifiche di violenza di genere conformemente all'articolo 83, paragrafo 1, del TFUE.</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Qualora siano già incluse negli eurocrimini attualmente previsti ai sensi dell'articolo 83, paragrafo 1, del TFUE, la Commissione proporrà </w:t>
      </w:r>
      <w:r>
        <w:rPr>
          <w:rFonts w:ascii="Times New Roman" w:hAnsi="Times New Roman"/>
          <w:b/>
          <w:noProof/>
          <w:sz w:val="24"/>
          <w:szCs w:val="24"/>
        </w:rPr>
        <w:t>misure supplementari per prevenire e combattere forme specifiche di violenza di genere</w:t>
      </w:r>
      <w:r>
        <w:rPr>
          <w:rFonts w:ascii="Times New Roman" w:hAnsi="Times New Roman"/>
          <w:noProof/>
          <w:sz w:val="24"/>
          <w:szCs w:val="24"/>
        </w:rPr>
        <w:t>, comprese le molestie sessuali, gli abusi a danno delle donne e le mutilazioni genitali femminili (MGF).</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59450" cy="1018552"/>
            <wp:effectExtent l="0" t="0" r="0" b="0"/>
            <wp:docPr id="4" name="Picture 4" descr="C:\Users\signoem\AppData\Local\Temp\1\7zO4112FE14\IT_F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gnoem\AppData\Local\Temp\1\7zO4112FE14\IT_FG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1018552"/>
                    </a:xfrm>
                    <a:prstGeom prst="rect">
                      <a:avLst/>
                    </a:prstGeom>
                    <a:noFill/>
                    <a:ln>
                      <a:noFill/>
                    </a:ln>
                  </pic:spPr>
                </pic:pic>
              </a:graphicData>
            </a:graphic>
          </wp:inline>
        </w:drawing>
      </w:r>
    </w:p>
    <w:p>
      <w:pPr>
        <w:spacing w:line="100" w:lineRule="atLeast"/>
        <w:jc w:val="both"/>
        <w:rPr>
          <w:rFonts w:ascii="Times New Roman" w:hAnsi="Times New Roman"/>
          <w:noProof/>
          <w:sz w:val="24"/>
          <w:szCs w:val="24"/>
        </w:rPr>
      </w:pPr>
      <w:r>
        <w:rPr>
          <w:rFonts w:ascii="Times New Roman" w:hAnsi="Times New Roman"/>
          <w:noProof/>
          <w:sz w:val="24"/>
          <w:szCs w:val="24"/>
        </w:rPr>
        <w:t>Le mutilazioni genitali femminili</w:t>
      </w:r>
      <w:r>
        <w:rPr>
          <w:rStyle w:val="FootnoteReference"/>
          <w:rFonts w:ascii="Times New Roman" w:hAnsi="Times New Roman" w:cs="Times New Roman"/>
          <w:noProof/>
          <w:sz w:val="24"/>
          <w:szCs w:val="24"/>
        </w:rPr>
        <w:footnoteReference w:id="17"/>
      </w:r>
      <w:r>
        <w:rPr>
          <w:rFonts w:ascii="Times New Roman" w:hAnsi="Times New Roman"/>
          <w:noProof/>
          <w:sz w:val="24"/>
          <w:szCs w:val="24"/>
        </w:rPr>
        <w:t xml:space="preserve">, l'aborto forzato e la sterilizzazione forzata, i matrimoni precoci ed imposti con la forza, la violenza perpetrata in nome del cosiddetto "onore" e altre </w:t>
      </w:r>
      <w:r>
        <w:rPr>
          <w:rFonts w:ascii="Times New Roman" w:hAnsi="Times New Roman"/>
          <w:b/>
          <w:noProof/>
          <w:sz w:val="24"/>
          <w:szCs w:val="24"/>
        </w:rPr>
        <w:t>pratiche lesive a danno delle donne e delle ragazze sono forme di violenza di genere e gravi violazioni dei diritti delle donne e dei minori</w:t>
      </w:r>
      <w:r>
        <w:rPr>
          <w:rFonts w:ascii="Times New Roman" w:hAnsi="Times New Roman"/>
          <w:noProof/>
          <w:sz w:val="24"/>
          <w:szCs w:val="24"/>
        </w:rPr>
        <w:t xml:space="preserve"> all'interno dell'UE e nel mondo intero. Oltre ad un'eventuale normativa, l'UE presenterà una </w:t>
      </w:r>
      <w:r>
        <w:rPr>
          <w:rFonts w:ascii="Times New Roman" w:hAnsi="Times New Roman"/>
          <w:b/>
          <w:noProof/>
          <w:sz w:val="24"/>
          <w:szCs w:val="24"/>
        </w:rPr>
        <w:t>raccomandazione sulla prevenzione delle pratiche lesive</w:t>
      </w:r>
      <w:r>
        <w:rPr>
          <w:rFonts w:ascii="Times New Roman" w:hAnsi="Times New Roman"/>
          <w:noProof/>
          <w:sz w:val="24"/>
          <w:szCs w:val="24"/>
        </w:rPr>
        <w:t xml:space="preserve"> che terrà conto anche della necessità di misure preventive e riconoscerà l'importanza dell'istruzione. La raccomandazione affronterà inoltre gli aspetti del potenziamento dei servizi pubblici, delle misure di prevenzione e di supporto, dello sviluppo di capacità professionali e di un accesso alla giustizia incentrato sulle esigenze delle vittime. </w:t>
      </w:r>
    </w:p>
    <w:p>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Nel 2020 la Commissione presenterà inoltre una </w:t>
      </w:r>
      <w:r>
        <w:rPr>
          <w:rFonts w:ascii="Times New Roman" w:hAnsi="Times New Roman"/>
          <w:b/>
          <w:noProof/>
          <w:sz w:val="24"/>
          <w:szCs w:val="24"/>
        </w:rPr>
        <w:t>strategia per i diritti delle vittime</w:t>
      </w:r>
      <w:r>
        <w:rPr>
          <w:rFonts w:ascii="Times New Roman" w:hAnsi="Times New Roman"/>
          <w:noProof/>
          <w:sz w:val="24"/>
          <w:szCs w:val="24"/>
        </w:rPr>
        <w:t xml:space="preserve"> che risponderà alle esigenze specifiche delle vittime della violenza di genere, compresa quella domestica, sulla base della direttiva riguardante i diritti delle vittime</w:t>
      </w:r>
      <w:r>
        <w:rPr>
          <w:rStyle w:val="FootnoteReference"/>
          <w:rFonts w:ascii="Times New Roman" w:eastAsia="Times New Roman" w:hAnsi="Times New Roman" w:cs="Times New Roman"/>
          <w:noProof/>
          <w:sz w:val="24"/>
          <w:szCs w:val="24"/>
        </w:rPr>
        <w:footnoteReference w:id="18"/>
      </w:r>
      <w:r>
        <w:rPr>
          <w:rFonts w:ascii="Times New Roman" w:hAnsi="Times New Roman"/>
          <w:noProof/>
          <w:sz w:val="24"/>
          <w:szCs w:val="24"/>
        </w:rPr>
        <w:t>.</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Le donne che hanno </w:t>
      </w:r>
      <w:r>
        <w:rPr>
          <w:rFonts w:ascii="Times New Roman" w:hAnsi="Times New Roman"/>
          <w:b/>
          <w:noProof/>
          <w:sz w:val="24"/>
          <w:szCs w:val="24"/>
        </w:rPr>
        <w:t>un problema di salute o una disabilità</w:t>
      </w:r>
      <w:r>
        <w:rPr>
          <w:rFonts w:ascii="Times New Roman" w:hAnsi="Times New Roman"/>
          <w:noProof/>
          <w:sz w:val="24"/>
          <w:szCs w:val="24"/>
        </w:rPr>
        <w:t xml:space="preserve"> hanno maggiori probabilità di diventare bersaglio di diverse forme di violenza</w:t>
      </w:r>
      <w:r>
        <w:rPr>
          <w:rStyle w:val="FootnoteReference"/>
          <w:rFonts w:ascii="Times New Roman" w:hAnsi="Times New Roman" w:cs="Times New Roman"/>
          <w:noProof/>
          <w:sz w:val="24"/>
          <w:szCs w:val="24"/>
        </w:rPr>
        <w:footnoteReference w:id="19"/>
      </w:r>
      <w:r>
        <w:rPr>
          <w:rFonts w:ascii="Times New Roman" w:hAnsi="Times New Roman"/>
          <w:noProof/>
          <w:sz w:val="24"/>
          <w:szCs w:val="24"/>
        </w:rPr>
        <w:t>. La Commissione elaborerà e finanzierà misure</w:t>
      </w:r>
      <w:r>
        <w:rPr>
          <w:rStyle w:val="FootnoteReference"/>
          <w:rFonts w:ascii="Times New Roman" w:hAnsi="Times New Roman" w:cs="Times New Roman"/>
          <w:noProof/>
          <w:sz w:val="24"/>
          <w:szCs w:val="24"/>
        </w:rPr>
        <w:footnoteReference w:id="20"/>
      </w:r>
      <w:r>
        <w:rPr>
          <w:rFonts w:ascii="Times New Roman" w:hAnsi="Times New Roman"/>
          <w:noProof/>
          <w:sz w:val="24"/>
          <w:szCs w:val="24"/>
        </w:rPr>
        <w:t xml:space="preserve"> atte a contrastare gli abusi, la violenza e la sterilizzazione e l'aborto forzati, ad esempio tramite lo sviluppo di capacità professionali e campagne di sensibilizzazione sui diritti e sull'accesso alla giustizia.</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Prevenire efficacemente la violenza è fondamentale</w:t>
      </w:r>
      <w:r>
        <w:rPr>
          <w:rFonts w:ascii="Times New Roman" w:hAnsi="Times New Roman"/>
          <w:noProof/>
          <w:sz w:val="24"/>
          <w:szCs w:val="24"/>
        </w:rPr>
        <w:t xml:space="preserve">. Implica educare ragazzi e ragazze alla parità di genere sin dall'infanzia e sostenere lo sviluppo di relazioni non violente. Richiede inoltre l'adozione di un approccio multidisciplinare da parte dei professionisti e dei servizi preposti, che coinvolga anche il sistema della giustizia penale ed includa il supporto alle vittime, programmi rivolti ai responsabili degli atti di violenza e servizi socio-sanitari. Affrontare l'aspetto della violenza sulle donne e delle ideologie che minano i loro diritti potrebbe anche contribuire a prevenire la radicalizzazione che porta all'estremismo violento e al terrorismo. La Commissione avvierà una </w:t>
      </w:r>
      <w:r>
        <w:rPr>
          <w:rFonts w:ascii="Times New Roman" w:hAnsi="Times New Roman"/>
          <w:b/>
          <w:noProof/>
          <w:sz w:val="24"/>
          <w:szCs w:val="24"/>
        </w:rPr>
        <w:t>rete dell'UE per la prevenzione della violenza di genere e della violenza domestica</w:t>
      </w:r>
      <w:r>
        <w:rPr>
          <w:rFonts w:ascii="Times New Roman" w:hAnsi="Times New Roman"/>
          <w:noProof/>
          <w:sz w:val="24"/>
          <w:szCs w:val="24"/>
        </w:rPr>
        <w:t xml:space="preserve"> che riunirà gli Stati membri e le parti interessate per lo scambio di buone pratiche e finanzierà la formazione, il rafforzamento delle capacità e i servizi di supporto. Prevenire la violenza incentrandosi in particolare sugli uomini, sui ragazzi e sulle "mascolinità"</w:t>
      </w:r>
      <w:r>
        <w:rPr>
          <w:rStyle w:val="FootnoteReference"/>
          <w:rFonts w:ascii="Times New Roman" w:hAnsi="Times New Roman" w:cs="Times New Roman"/>
          <w:noProof/>
          <w:sz w:val="24"/>
          <w:szCs w:val="24"/>
        </w:rPr>
        <w:footnoteReference w:id="21"/>
      </w:r>
      <w:r>
        <w:rPr>
          <w:rFonts w:ascii="Times New Roman" w:hAnsi="Times New Roman"/>
          <w:noProof/>
          <w:sz w:val="24"/>
          <w:szCs w:val="24"/>
        </w:rPr>
        <w:t xml:space="preserve"> avrà un'importanza fondamentale.</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Per affrontare l'aspetto della violenza e delle molestie in ambito lavorativo, la Commissione continuerà a incoraggiare gli Stati membri a ratificare la </w:t>
      </w:r>
      <w:r>
        <w:rPr>
          <w:rFonts w:ascii="Times New Roman" w:hAnsi="Times New Roman"/>
          <w:b/>
          <w:noProof/>
          <w:sz w:val="24"/>
          <w:szCs w:val="24"/>
        </w:rPr>
        <w:t>Convenzione dell'Organizzazione internazionale del lavoro (OIL) sull'eliminazione della violenza e delle molestie nel mondo del lavoro</w:t>
      </w:r>
      <w:r>
        <w:rPr>
          <w:rStyle w:val="FootnoteReference"/>
          <w:rFonts w:ascii="Times New Roman" w:hAnsi="Times New Roman" w:cs="Times New Roman"/>
          <w:noProof/>
          <w:sz w:val="24"/>
          <w:szCs w:val="24"/>
        </w:rPr>
        <w:footnoteReference w:id="22"/>
      </w:r>
      <w:r>
        <w:rPr>
          <w:rFonts w:ascii="Times New Roman" w:hAnsi="Times New Roman"/>
          <w:noProof/>
          <w:sz w:val="24"/>
          <w:szCs w:val="24"/>
        </w:rPr>
        <w:t>, ad attuare le norme dell'UE</w:t>
      </w:r>
      <w:r>
        <w:rPr>
          <w:rStyle w:val="FootnoteReference"/>
          <w:rFonts w:ascii="Times New Roman" w:hAnsi="Times New Roman" w:cs="Times New Roman"/>
          <w:noProof/>
          <w:sz w:val="24"/>
          <w:szCs w:val="24"/>
        </w:rPr>
        <w:footnoteReference w:id="23"/>
      </w:r>
      <w:r>
        <w:rPr>
          <w:rFonts w:ascii="Times New Roman" w:hAnsi="Times New Roman"/>
          <w:noProof/>
          <w:sz w:val="24"/>
          <w:szCs w:val="24"/>
        </w:rPr>
        <w:t xml:space="preserve"> attualmente in vigore in materia di protezione dei lavoratori contro le molestie sessuali e a sensibilizzare i cittadini. In quanto datore di lavoro, la Commissione adotterà un nuovo quadro giuridico completo contenente una serie di misure di prevenzione e reazione alle molestie sul luogo di lavoro.</w:t>
      </w:r>
    </w:p>
    <w:p>
      <w:pPr>
        <w:spacing w:line="100" w:lineRule="atLeast"/>
        <w:jc w:val="both"/>
        <w:rPr>
          <w:rFonts w:ascii="Times New Roman" w:hAnsi="Times New Roman"/>
          <w:noProof/>
          <w:sz w:val="24"/>
          <w:szCs w:val="24"/>
        </w:rPr>
      </w:pPr>
      <w:r>
        <w:rPr>
          <w:rFonts w:ascii="Times New Roman" w:hAnsi="Times New Roman"/>
          <w:noProof/>
          <w:sz w:val="24"/>
          <w:szCs w:val="24"/>
        </w:rPr>
        <w:t xml:space="preserve">La </w:t>
      </w:r>
      <w:r>
        <w:rPr>
          <w:rFonts w:ascii="Times New Roman" w:hAnsi="Times New Roman"/>
          <w:b/>
          <w:noProof/>
          <w:sz w:val="24"/>
          <w:szCs w:val="24"/>
        </w:rPr>
        <w:t>violenza online contro le donne</w:t>
      </w:r>
      <w:r>
        <w:rPr>
          <w:rFonts w:ascii="Times New Roman" w:hAnsi="Times New Roman"/>
          <w:noProof/>
          <w:sz w:val="24"/>
          <w:szCs w:val="24"/>
        </w:rPr>
        <w:t xml:space="preserve"> è diventata dilagante e ha conseguenze specifiche e drammatiche: </w:t>
      </w:r>
      <w:r>
        <w:rPr>
          <w:rFonts w:ascii="Times New Roman" w:hAnsi="Times New Roman"/>
          <w:b/>
          <w:noProof/>
          <w:sz w:val="24"/>
          <w:szCs w:val="24"/>
        </w:rPr>
        <w:t xml:space="preserve">è una cosa inaccettabile. Questo tipo di violenza ostacola la partecipazione delle donne alla vita pubblica. </w:t>
      </w:r>
      <w:r>
        <w:rPr>
          <w:rFonts w:ascii="Times New Roman" w:hAnsi="Times New Roman"/>
          <w:noProof/>
          <w:sz w:val="24"/>
          <w:szCs w:val="24"/>
        </w:rPr>
        <w:t xml:space="preserve">Il bullismo, le molestie e le ingiurie sui social media hanno effetti di ampia portata sulla vita quotidiana delle donne e delle ragazze. La Commissione proporrà una </w:t>
      </w:r>
      <w:r>
        <w:rPr>
          <w:rFonts w:ascii="Times New Roman" w:hAnsi="Times New Roman"/>
          <w:b/>
          <w:noProof/>
          <w:sz w:val="24"/>
          <w:szCs w:val="24"/>
        </w:rPr>
        <w:t>legge sui servizi digitali</w:t>
      </w:r>
      <w:r>
        <w:rPr>
          <w:rStyle w:val="FootnoteReference"/>
          <w:rFonts w:ascii="Times New Roman" w:hAnsi="Times New Roman" w:cs="Times New Roman"/>
          <w:noProof/>
          <w:sz w:val="24"/>
          <w:szCs w:val="24"/>
        </w:rPr>
        <w:footnoteReference w:id="24"/>
      </w:r>
      <w:r>
        <w:rPr>
          <w:rFonts w:ascii="Times New Roman" w:hAnsi="Times New Roman"/>
          <w:noProof/>
          <w:sz w:val="24"/>
          <w:szCs w:val="24"/>
        </w:rPr>
        <w:t xml:space="preserve"> per chiarire le responsabilità delle piattaforme online per quanto riguarda i contenuti diffusi dagli utenti. La legge chiarirà quali misure si attendono dalle piattaforme per contrastare le attività illegali online, tutelando nel contempo i diritti fondamentali. Gli utenti devono inoltre essere in grado di contrastare altri tipi di contenuti lesivi e oltraggiosi che non sempre sono considerati illegali, ma che possono avere effetti devastanti. Per proteggere la sicurezza delle donne online, la Commissione agevolerà lo sviluppo di </w:t>
      </w:r>
      <w:r>
        <w:rPr>
          <w:rFonts w:ascii="Times New Roman" w:hAnsi="Times New Roman"/>
          <w:b/>
          <w:noProof/>
          <w:sz w:val="24"/>
          <w:szCs w:val="24"/>
        </w:rPr>
        <w:t>un nuovo quadro di cooperazione tra le piattaforme Internet</w:t>
      </w:r>
      <w:r>
        <w:rPr>
          <w:rStyle w:val="FootnoteReference"/>
          <w:rFonts w:ascii="Times New Roman" w:hAnsi="Times New Roman" w:cs="Times New Roman"/>
          <w:noProof/>
          <w:sz w:val="24"/>
          <w:szCs w:val="24"/>
        </w:rPr>
        <w:footnoteReference w:id="25"/>
      </w:r>
      <w:r>
        <w:rPr>
          <w:rFonts w:ascii="Times New Roman" w:hAnsi="Times New Roman"/>
          <w:noProof/>
          <w:sz w:val="24"/>
          <w:szCs w:val="24"/>
        </w:rPr>
        <w:t>.</w:t>
      </w:r>
    </w:p>
    <w:p>
      <w:pPr>
        <w:spacing w:line="100" w:lineRule="atLeast"/>
        <w:jc w:val="both"/>
        <w:rPr>
          <w:rFonts w:ascii="Times New Roman" w:hAnsi="Times New Roman" w:cs="Times New Roman"/>
          <w:noProof/>
          <w:sz w:val="24"/>
          <w:szCs w:val="24"/>
        </w:rPr>
      </w:pPr>
      <w:r>
        <w:rPr>
          <w:rFonts w:ascii="Times New Roman" w:hAnsi="Times New Roman"/>
          <w:b/>
          <w:bCs/>
          <w:noProof/>
          <w:sz w:val="24"/>
          <w:szCs w:val="24"/>
        </w:rPr>
        <w:t>La stragrande maggioranza delle vittime della tratta di esseri umani</w:t>
      </w:r>
      <w:r>
        <w:rPr>
          <w:rFonts w:ascii="Times New Roman" w:hAnsi="Times New Roman"/>
          <w:noProof/>
          <w:sz w:val="24"/>
          <w:szCs w:val="24"/>
        </w:rPr>
        <w:t xml:space="preserve">, sia all'interno che all'esterno dell'UE, </w:t>
      </w:r>
      <w:r>
        <w:rPr>
          <w:rFonts w:ascii="Times New Roman" w:hAnsi="Times New Roman"/>
          <w:b/>
          <w:bCs/>
          <w:noProof/>
          <w:sz w:val="24"/>
          <w:szCs w:val="24"/>
        </w:rPr>
        <w:t>è rappresentata da donne e ragazze</w:t>
      </w:r>
      <w:r>
        <w:rPr>
          <w:rStyle w:val="FootnoteReference"/>
          <w:rFonts w:ascii="Times New Roman" w:hAnsi="Times New Roman" w:cs="Times New Roman"/>
          <w:noProof/>
          <w:sz w:val="24"/>
          <w:szCs w:val="24"/>
        </w:rPr>
        <w:footnoteReference w:id="26"/>
      </w:r>
      <w:r>
        <w:rPr>
          <w:rFonts w:ascii="Times New Roman" w:hAnsi="Times New Roman"/>
          <w:noProof/>
          <w:sz w:val="24"/>
          <w:szCs w:val="24"/>
        </w:rPr>
        <w:t>, che sono principalmente oggetto di sfruttamento sessuale. L'UE affronta il problema della tratta in modo globale attraverso un coordinamento in tutti i settori pertinenti</w:t>
      </w:r>
      <w:r>
        <w:rPr>
          <w:rStyle w:val="FootnoteReference"/>
          <w:rFonts w:ascii="Times New Roman" w:hAnsi="Times New Roman" w:cs="Times New Roman"/>
          <w:noProof/>
          <w:sz w:val="24"/>
          <w:szCs w:val="24"/>
        </w:rPr>
        <w:footnoteReference w:id="27"/>
      </w:r>
      <w:r>
        <w:rPr>
          <w:rFonts w:ascii="Times New Roman" w:hAnsi="Times New Roman"/>
          <w:noProof/>
          <w:sz w:val="24"/>
          <w:szCs w:val="24"/>
        </w:rPr>
        <w:t xml:space="preserve">. Combattere l'impunità di chi la utilizza, la sfrutta e ne trae lucro è una priorità. </w:t>
      </w:r>
      <w:r>
        <w:rPr>
          <w:rFonts w:ascii="Times New Roman" w:hAnsi="Times New Roman"/>
          <w:bCs/>
          <w:noProof/>
          <w:sz w:val="24"/>
          <w:szCs w:val="24"/>
        </w:rPr>
        <w:t xml:space="preserve">Le preoccupazioni delle donne e delle ragazze vittime della tratta devono essere al centro dell'elaborazione delle politiche. </w:t>
      </w:r>
      <w:r>
        <w:rPr>
          <w:rFonts w:ascii="Times New Roman" w:hAnsi="Times New Roman"/>
          <w:noProof/>
          <w:sz w:val="24"/>
          <w:szCs w:val="24"/>
        </w:rPr>
        <w:t xml:space="preserve">Nell'ambito dell'Unione della sicurezza, la Commissione presenterà una nuova </w:t>
      </w:r>
      <w:r>
        <w:rPr>
          <w:rFonts w:ascii="Times New Roman" w:hAnsi="Times New Roman"/>
          <w:b/>
          <w:bCs/>
          <w:noProof/>
          <w:sz w:val="24"/>
          <w:szCs w:val="24"/>
        </w:rPr>
        <w:t>strategia dell'UE per l'eradicazione della tratta degli esseri umani</w:t>
      </w:r>
      <w:r>
        <w:rPr>
          <w:rFonts w:ascii="Times New Roman" w:hAnsi="Times New Roman"/>
          <w:noProof/>
          <w:sz w:val="24"/>
          <w:szCs w:val="24"/>
        </w:rPr>
        <w:t xml:space="preserve"> e una </w:t>
      </w:r>
      <w:r>
        <w:rPr>
          <w:rFonts w:ascii="Times New Roman" w:hAnsi="Times New Roman"/>
          <w:b/>
          <w:bCs/>
          <w:noProof/>
          <w:sz w:val="24"/>
          <w:szCs w:val="24"/>
        </w:rPr>
        <w:t>strategia dell'UE per una lotta più efficace contro l'abuso sessuale sui minori</w:t>
      </w:r>
      <w:r>
        <w:rPr>
          <w:rFonts w:ascii="Times New Roman" w:hAnsi="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Per rendere efficaci le sue politiche in materia di lotta contro la violenza di genere </w:t>
      </w:r>
      <w:r>
        <w:rPr>
          <w:rFonts w:ascii="Times New Roman" w:hAnsi="Times New Roman"/>
          <w:b/>
          <w:noProof/>
          <w:sz w:val="24"/>
          <w:szCs w:val="24"/>
        </w:rPr>
        <w:t>l'UE ha bisogno di dati completi, aggiornati e comparabili</w:t>
      </w:r>
      <w:r>
        <w:rPr>
          <w:rFonts w:ascii="Times New Roman" w:hAnsi="Times New Roman"/>
          <w:noProof/>
          <w:sz w:val="24"/>
          <w:szCs w:val="24"/>
        </w:rPr>
        <w:t>. Per avere un quadro completo della violenza di genere, tali dati dovrebbero essere disaggregati a seconda degli aspetti intersezionali pertinenti e di indicatori quali l'età, la condizione di disabilità, lo status di migrante e la residenza in ambito rurale o urbano. Un'</w:t>
      </w:r>
      <w:r>
        <w:rPr>
          <w:rFonts w:ascii="Times New Roman" w:hAnsi="Times New Roman"/>
          <w:b/>
          <w:noProof/>
          <w:sz w:val="24"/>
          <w:szCs w:val="24"/>
        </w:rPr>
        <w:t>indagine a livello dell'UE</w:t>
      </w:r>
      <w:r>
        <w:rPr>
          <w:rFonts w:ascii="Times New Roman" w:hAnsi="Times New Roman"/>
          <w:noProof/>
          <w:sz w:val="24"/>
          <w:szCs w:val="24"/>
        </w:rPr>
        <w:t xml:space="preserve"> coordinata da Eurostat, i cui risultati saranno presentati nel 2023, fornirà dati sulla diffusione e sulle dinamiche della violenza sulle donne e altre forme di violenza interpersonale.</w:t>
      </w:r>
    </w:p>
    <w:p>
      <w:pPr>
        <w:spacing w:line="100" w:lineRule="atLeast"/>
        <w:jc w:val="both"/>
        <w:rPr>
          <w:rFonts w:ascii="Times New Roman" w:eastAsia="Calibri" w:hAnsi="Times New Roman" w:cs="Times New Roman"/>
          <w:b/>
          <w:noProof/>
          <w:sz w:val="24"/>
          <w:szCs w:val="24"/>
        </w:rPr>
      </w:pPr>
      <w:r>
        <w:rPr>
          <w:rFonts w:ascii="Times New Roman" w:hAnsi="Times New Roman"/>
          <w:b/>
          <w:i/>
          <w:noProof/>
          <w:sz w:val="24"/>
          <w:szCs w:val="24"/>
        </w:rPr>
        <w:t>Combattere gli stereotipi di genere</w:t>
      </w:r>
    </w:p>
    <w:p>
      <w:pPr>
        <w:pStyle w:val="NormalWeb"/>
        <w:spacing w:before="0" w:beforeAutospacing="0" w:after="200" w:afterAutospacing="0" w:line="100" w:lineRule="atLeast"/>
        <w:jc w:val="both"/>
        <w:rPr>
          <w:noProof/>
        </w:rPr>
      </w:pPr>
      <w:r>
        <w:rPr>
          <w:b/>
          <w:noProof/>
        </w:rPr>
        <w:t>Gli stereotipi di genere sono una delle cause profonde della disparità di genere e interessano tutti i settori della società</w:t>
      </w:r>
      <w:r>
        <w:rPr>
          <w:rStyle w:val="FootnoteReference"/>
          <w:noProof/>
        </w:rPr>
        <w:footnoteReference w:id="28"/>
      </w:r>
      <w:r>
        <w:rPr>
          <w:noProof/>
        </w:rPr>
        <w:t>. Le aspettative stereotipate basate su un modello standardizzato di donna, uomo, ragazza e ragazzo limitano le loro aspirazioni, le loro scelte e la loro libertà e devono pertanto essere smantellate. Gli stereotipi di genere contribuiscono fortemente al divario retributivo di genere. Sono spesso associati ad altri stereotipi, quali quelli basati sulla razza o l'origine etnica, la religione o le convinzioni personali, la disabilità, l'età o l'orientamento sessuale, e tale associazione può rafforzarne gli effetti negativi.</w:t>
      </w:r>
    </w:p>
    <w:p>
      <w:pPr>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9450" cy="995233"/>
            <wp:effectExtent l="0" t="0" r="0" b="0"/>
            <wp:docPr id="6" name="Picture 6" descr="C:\Users\signoem\AppData\Local\Temp\1\7zO411B69B5\IT_stereo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gnoem\AppData\Local\Temp\1\7zO411B69B5\IT_stereotype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995233"/>
                    </a:xfrm>
                    <a:prstGeom prst="rect">
                      <a:avLst/>
                    </a:prstGeom>
                    <a:noFill/>
                    <a:ln>
                      <a:noFill/>
                    </a:ln>
                  </pic:spPr>
                </pic:pic>
              </a:graphicData>
            </a:graphic>
          </wp:inline>
        </w:drawing>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L'intelligenza artificiale</w:t>
      </w:r>
      <w:r>
        <w:rPr>
          <w:rFonts w:ascii="Times New Roman" w:hAnsi="Times New Roman"/>
          <w:noProof/>
          <w:sz w:val="24"/>
          <w:szCs w:val="24"/>
        </w:rPr>
        <w:t xml:space="preserve"> (IA) </w:t>
      </w:r>
      <w:r>
        <w:rPr>
          <w:rFonts w:ascii="Times New Roman" w:hAnsi="Times New Roman"/>
          <w:b/>
          <w:noProof/>
          <w:sz w:val="24"/>
          <w:szCs w:val="24"/>
        </w:rPr>
        <w:t>è diventata un settore di importanza strategica</w:t>
      </w:r>
      <w:r>
        <w:rPr>
          <w:rFonts w:ascii="Times New Roman" w:hAnsi="Times New Roman"/>
          <w:noProof/>
          <w:sz w:val="24"/>
          <w:szCs w:val="24"/>
        </w:rPr>
        <w:t xml:space="preserve"> e un fattore trainante per il progresso economico; le donne devono perciò partecipare al suo sviluppo in veste di ricercatrici, programmatrici e utilizzatrici.</w:t>
      </w:r>
      <w:r>
        <w:rPr>
          <w:rFonts w:ascii="Times New Roman" w:hAnsi="Times New Roman"/>
          <w:b/>
          <w:noProof/>
          <w:sz w:val="24"/>
          <w:szCs w:val="24"/>
        </w:rPr>
        <w:t xml:space="preserve"> </w:t>
      </w:r>
      <w:r>
        <w:rPr>
          <w:rFonts w:ascii="Times New Roman" w:hAnsi="Times New Roman"/>
          <w:noProof/>
          <w:sz w:val="24"/>
          <w:szCs w:val="24"/>
        </w:rPr>
        <w:t>Se è vero che l'intelligenza artificiale può trovare soluzioni per molte sfide sociali, essa rischia tuttavia di aggravare le disparità di genere. Gli algoritmi e l'apprendimento automatico ad essi correlato, se non sufficientemente trasparenti e robusti, rischiano di riprodurre, amplificare o contribuire a pregiudizi di genere di cui i programmatori possono non essere a conoscenza o che sono il risultato di una specifica selezione di dati. Il nuovo Libro bianco della Commissione sull'intelligenza artificiale definisce la strategia europea in questo settore, fondandola sui valori e sui diritti fondamentali dell'UE, tra cui il principio di non discriminazione e la parità di genere</w:t>
      </w:r>
      <w:r>
        <w:rPr>
          <w:rStyle w:val="FootnoteReference"/>
          <w:rFonts w:ascii="Times New Roman" w:hAnsi="Times New Roman" w:cs="Times New Roman"/>
          <w:noProof/>
          <w:sz w:val="24"/>
          <w:szCs w:val="24"/>
        </w:rPr>
        <w:footnoteReference w:id="29"/>
      </w:r>
      <w:r>
        <w:rPr>
          <w:rFonts w:ascii="Times New Roman" w:hAnsi="Times New Roman"/>
          <w:noProof/>
          <w:sz w:val="24"/>
          <w:szCs w:val="24"/>
        </w:rPr>
        <w:t xml:space="preserve">. Il prossimo programma quadro per la ricerca e l'innovazione, </w:t>
      </w:r>
      <w:r>
        <w:rPr>
          <w:rFonts w:ascii="Times New Roman" w:hAnsi="Times New Roman"/>
          <w:b/>
          <w:noProof/>
          <w:sz w:val="24"/>
          <w:szCs w:val="24"/>
        </w:rPr>
        <w:t>Orizzonte Europa</w:t>
      </w:r>
      <w:r>
        <w:rPr>
          <w:rStyle w:val="FootnoteReference"/>
          <w:rFonts w:ascii="Times New Roman" w:hAnsi="Times New Roman" w:cs="Times New Roman"/>
          <w:noProof/>
          <w:sz w:val="24"/>
          <w:szCs w:val="24"/>
        </w:rPr>
        <w:footnoteReference w:id="30"/>
      </w:r>
      <w:r>
        <w:rPr>
          <w:rFonts w:ascii="Times New Roman" w:hAnsi="Times New Roman"/>
          <w:noProof/>
          <w:sz w:val="24"/>
          <w:szCs w:val="24"/>
        </w:rPr>
        <w:t>, fornirà anche idee e soluzioni per affrontare i pregiudizi di genere potenzialmente connessi all'intelligenza artificiale e per sfatare gli stereotipi di genere in tutti gli ambiti sociali, economici e culturali, sostenendo l'elaborazione di politiche scevre da pregiudizi e basate su dati comprovati.</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I mezzi di comunicazione e i settori culturali influenzano notevolmente le convinzioni, i valori e la percezione della realtà della gente e sono quindi altri canali chiave per cambiare gli atteggiamenti e combattere gli stereotipi</w:t>
      </w:r>
      <w:r>
        <w:rPr>
          <w:rStyle w:val="FootnoteReference"/>
          <w:rFonts w:ascii="Times New Roman" w:hAnsi="Times New Roman" w:cs="Times New Roman"/>
          <w:noProof/>
          <w:sz w:val="24"/>
          <w:szCs w:val="24"/>
        </w:rPr>
        <w:footnoteReference w:id="31"/>
      </w:r>
      <w:r>
        <w:rPr>
          <w:rFonts w:ascii="Times New Roman" w:hAnsi="Times New Roman"/>
          <w:noProof/>
          <w:sz w:val="24"/>
          <w:szCs w:val="24"/>
        </w:rPr>
        <w:t xml:space="preserve">. La Commissione continuerà a finanziare progetti di promozione della parità di genere nel quadro di </w:t>
      </w:r>
      <w:r>
        <w:rPr>
          <w:rFonts w:ascii="Times New Roman" w:hAnsi="Times New Roman"/>
          <w:b/>
          <w:noProof/>
          <w:sz w:val="24"/>
          <w:szCs w:val="24"/>
        </w:rPr>
        <w:t>Europa creativa</w:t>
      </w:r>
      <w:r>
        <w:rPr>
          <w:rStyle w:val="FootnoteReference"/>
          <w:rFonts w:ascii="Times New Roman" w:hAnsi="Times New Roman" w:cs="Times New Roman"/>
          <w:noProof/>
          <w:sz w:val="24"/>
          <w:szCs w:val="24"/>
        </w:rPr>
        <w:footnoteReference w:id="32"/>
      </w:r>
      <w:r>
        <w:rPr>
          <w:rFonts w:ascii="Times New Roman" w:hAnsi="Times New Roman"/>
          <w:noProof/>
          <w:sz w:val="24"/>
          <w:szCs w:val="24"/>
        </w:rPr>
        <w:t xml:space="preserve"> e di </w:t>
      </w:r>
      <w:r>
        <w:rPr>
          <w:rFonts w:ascii="Times New Roman" w:hAnsi="Times New Roman"/>
          <w:b/>
          <w:noProof/>
          <w:sz w:val="24"/>
          <w:szCs w:val="24"/>
        </w:rPr>
        <w:t>Music Moves Europe</w:t>
      </w:r>
      <w:r>
        <w:rPr>
          <w:rFonts w:ascii="Times New Roman" w:hAnsi="Times New Roman"/>
          <w:noProof/>
          <w:sz w:val="24"/>
          <w:szCs w:val="24"/>
        </w:rPr>
        <w:t xml:space="preserve"> e presenterà una </w:t>
      </w:r>
      <w:r>
        <w:rPr>
          <w:rFonts w:ascii="Times New Roman" w:hAnsi="Times New Roman"/>
          <w:b/>
          <w:noProof/>
          <w:sz w:val="24"/>
          <w:szCs w:val="24"/>
        </w:rPr>
        <w:t>strategia per la parità di genere nell'industria audiovisiva</w:t>
      </w:r>
      <w:r>
        <w:rPr>
          <w:rFonts w:ascii="Times New Roman" w:hAnsi="Times New Roman"/>
          <w:noProof/>
          <w:sz w:val="24"/>
          <w:szCs w:val="24"/>
        </w:rPr>
        <w:t xml:space="preserve"> quale componente del prossimo sottoprogramma </w:t>
      </w:r>
      <w:r>
        <w:rPr>
          <w:rFonts w:ascii="Times New Roman" w:hAnsi="Times New Roman"/>
          <w:b/>
          <w:noProof/>
          <w:sz w:val="24"/>
          <w:szCs w:val="24"/>
        </w:rPr>
        <w:t>MEDIA</w:t>
      </w:r>
      <w:r>
        <w:rPr>
          <w:rStyle w:val="FootnoteReference"/>
          <w:rFonts w:ascii="Times New Roman" w:hAnsi="Times New Roman" w:cs="Times New Roman"/>
          <w:noProof/>
          <w:sz w:val="24"/>
          <w:szCs w:val="24"/>
        </w:rPr>
        <w:footnoteReference w:id="33"/>
      </w:r>
      <w:r>
        <w:rPr>
          <w:rFonts w:ascii="Times New Roman" w:hAnsi="Times New Roman"/>
          <w:noProof/>
          <w:sz w:val="24"/>
          <w:szCs w:val="24"/>
        </w:rPr>
        <w:t>, in cui includerà un sostegno finanziario, un dialogo strutturato e azioni di tutoraggio e formazione per registe, produttrici e sceneggiatrici.</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La Commissione avvierà una </w:t>
      </w:r>
      <w:r>
        <w:rPr>
          <w:rFonts w:ascii="Times New Roman" w:hAnsi="Times New Roman"/>
          <w:b/>
          <w:noProof/>
          <w:sz w:val="24"/>
          <w:szCs w:val="24"/>
        </w:rPr>
        <w:t xml:space="preserve">campagna di comunicazione a livello dell'UE per combattere gli stereotipi di genere </w:t>
      </w:r>
      <w:r>
        <w:rPr>
          <w:rFonts w:ascii="Times New Roman" w:hAnsi="Times New Roman"/>
          <w:noProof/>
          <w:sz w:val="24"/>
          <w:szCs w:val="24"/>
        </w:rPr>
        <w:t>in cui prenderà in considerazione tutti gli ambiti di vita, con un approccio intersezionale e focalizzandosi sull'impegno dei giovani, in collaborazione con gli Stati membri.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spacing w:before="120" w:line="100" w:lineRule="atLeast"/>
              <w:jc w:val="both"/>
              <w:rPr>
                <w:rFonts w:ascii="Times New Roman" w:hAnsi="Times New Roman"/>
                <w:b/>
                <w:noProof/>
                <w:sz w:val="24"/>
                <w:szCs w:val="24"/>
              </w:rPr>
            </w:pPr>
          </w:p>
          <w:p>
            <w:pPr>
              <w:spacing w:before="120" w:line="100" w:lineRule="atLeast"/>
              <w:jc w:val="both"/>
              <w:rPr>
                <w:rFonts w:ascii="Times New Roman" w:hAnsi="Times New Roman" w:cs="Times New Roman"/>
                <w:b/>
                <w:noProof/>
                <w:sz w:val="24"/>
                <w:szCs w:val="24"/>
              </w:rPr>
            </w:pPr>
            <w:r>
              <w:rPr>
                <w:rFonts w:ascii="Times New Roman" w:hAnsi="Times New Roman"/>
                <w:b/>
                <w:noProof/>
                <w:sz w:val="24"/>
                <w:szCs w:val="24"/>
              </w:rPr>
              <w:t>Oltre a prevedere le azioni sopra elencate, la Commissione invita:</w:t>
            </w:r>
          </w:p>
          <w:p>
            <w:pPr>
              <w:pStyle w:val="ListParagraph"/>
              <w:numPr>
                <w:ilvl w:val="0"/>
                <w:numId w:val="91"/>
              </w:numPr>
              <w:spacing w:before="120" w:line="100" w:lineRule="atLeast"/>
              <w:jc w:val="both"/>
              <w:rPr>
                <w:rFonts w:ascii="Times New Roman" w:hAnsi="Times New Roman" w:cs="Times New Roman"/>
                <w:noProof/>
                <w:sz w:val="24"/>
                <w:szCs w:val="24"/>
              </w:rPr>
            </w:pPr>
            <w:r>
              <w:rPr>
                <w:rFonts w:ascii="Times New Roman" w:hAnsi="Times New Roman"/>
                <w:b/>
                <w:noProof/>
                <w:sz w:val="24"/>
                <w:szCs w:val="24"/>
              </w:rPr>
              <w:t>il Consiglio</w:t>
            </w:r>
            <w:r>
              <w:rPr>
                <w:rFonts w:ascii="Times New Roman" w:hAnsi="Times New Roman"/>
                <w:noProof/>
                <w:sz w:val="24"/>
                <w:szCs w:val="24"/>
              </w:rPr>
              <w:t>:</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a concludere l'adesione dell'UE alla Convenzione di Istanbul e a garantirne una rapida ratifica da parte dell'UE;</w:t>
            </w:r>
          </w:p>
          <w:p>
            <w:pPr>
              <w:pStyle w:val="ListParagraph"/>
              <w:spacing w:after="120"/>
              <w:jc w:val="both"/>
              <w:rPr>
                <w:rFonts w:ascii="Times New Roman" w:hAnsi="Times New Roman" w:cs="Times New Roman"/>
                <w:noProof/>
                <w:sz w:val="24"/>
                <w:szCs w:val="24"/>
              </w:rPr>
            </w:pPr>
          </w:p>
          <w:p>
            <w:pPr>
              <w:pStyle w:val="ListParagraph"/>
              <w:numPr>
                <w:ilvl w:val="0"/>
                <w:numId w:val="91"/>
              </w:numPr>
              <w:spacing w:before="120" w:line="100" w:lineRule="atLeast"/>
              <w:jc w:val="both"/>
              <w:rPr>
                <w:rFonts w:ascii="Times New Roman" w:hAnsi="Times New Roman" w:cs="Times New Roman"/>
                <w:noProof/>
                <w:sz w:val="24"/>
                <w:szCs w:val="24"/>
              </w:rPr>
            </w:pPr>
            <w:r>
              <w:rPr>
                <w:rFonts w:ascii="Times New Roman" w:hAnsi="Times New Roman"/>
                <w:b/>
                <w:noProof/>
                <w:sz w:val="24"/>
                <w:szCs w:val="24"/>
              </w:rPr>
              <w:t>gli Stati membri</w:t>
            </w:r>
            <w:r>
              <w:rPr>
                <w:rFonts w:ascii="Times New Roman" w:hAnsi="Times New Roman"/>
                <w:noProof/>
                <w:sz w:val="24"/>
                <w:szCs w:val="24"/>
              </w:rPr>
              <w:t xml:space="preserve">: </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 xml:space="preserve">a ratificare e attuare la Convenzione di Istanbul; </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a ratificare e attuare la Convenzione dell'OIL sull'eliminazione della violenza e delle molestie nel mondo del lavoro;</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ad attuare la direttiva riguardante i diritti delle vittime, la direttiva sulla lotta contro l'abuso sessuale dei minori</w:t>
            </w:r>
            <w:r>
              <w:rPr>
                <w:rStyle w:val="FootnoteReference"/>
                <w:rFonts w:ascii="Times New Roman" w:hAnsi="Times New Roman" w:cs="Times New Roman"/>
                <w:noProof/>
                <w:sz w:val="24"/>
                <w:szCs w:val="24"/>
              </w:rPr>
              <w:footnoteReference w:id="34"/>
            </w:r>
            <w:r>
              <w:rPr>
                <w:rFonts w:ascii="Times New Roman" w:hAnsi="Times New Roman"/>
                <w:noProof/>
                <w:sz w:val="24"/>
                <w:szCs w:val="24"/>
              </w:rPr>
              <w:t xml:space="preserve"> e altre normative dell'UE pertinenti a tutela delle vittime della violenza di genere</w:t>
            </w:r>
            <w:r>
              <w:rPr>
                <w:rStyle w:val="FootnoteReference"/>
                <w:rFonts w:ascii="Times New Roman" w:hAnsi="Times New Roman" w:cs="Times New Roman"/>
                <w:noProof/>
                <w:sz w:val="24"/>
                <w:szCs w:val="24"/>
              </w:rPr>
              <w:footnoteReference w:id="35"/>
            </w:r>
            <w:r>
              <w:rPr>
                <w:rFonts w:ascii="Times New Roman" w:hAnsi="Times New Roman"/>
                <w:noProof/>
                <w:sz w:val="24"/>
                <w:szCs w:val="24"/>
              </w:rPr>
              <w:t>;</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 xml:space="preserve">a raccogliere e comunicare sistematicamente i dati sulla violenza di genere; e </w:t>
            </w:r>
          </w:p>
          <w:p>
            <w:pPr>
              <w:pStyle w:val="ListParagraph"/>
              <w:numPr>
                <w:ilvl w:val="0"/>
                <w:numId w:val="54"/>
              </w:numPr>
              <w:spacing w:after="120"/>
              <w:jc w:val="both"/>
              <w:rPr>
                <w:rFonts w:ascii="Times New Roman" w:hAnsi="Times New Roman" w:cs="Times New Roman"/>
                <w:i/>
                <w:noProof/>
                <w:sz w:val="24"/>
                <w:szCs w:val="24"/>
              </w:rPr>
            </w:pPr>
            <w:r>
              <w:rPr>
                <w:rFonts w:ascii="Times New Roman" w:hAnsi="Times New Roman"/>
                <w:noProof/>
                <w:sz w:val="24"/>
                <w:szCs w:val="24"/>
              </w:rPr>
              <w:t>a sostenere la società civile e i servizi pubblici nel prevenire e lottare contro la violenza di genere e gli stereotipi di genere, anche con l'aiuto dei finanziamenti dell'UE disponibili nell'ambito del programma "Cittadini, uguaglianza, diritti e valori" (2021-2027).</w:t>
            </w:r>
          </w:p>
        </w:tc>
      </w:tr>
    </w:tbl>
    <w:p>
      <w:pPr>
        <w:spacing w:line="100" w:lineRule="atLeast"/>
        <w:jc w:val="both"/>
        <w:rPr>
          <w:rFonts w:ascii="Times New Roman" w:hAnsi="Times New Roman" w:cs="Times New Roman"/>
          <w:noProof/>
          <w:sz w:val="24"/>
          <w:szCs w:val="24"/>
        </w:rPr>
      </w:pPr>
    </w:p>
    <w:p>
      <w:pPr>
        <w:rPr>
          <w:rFonts w:ascii="Times New Roman" w:hAnsi="Times New Roman" w:cs="Times New Roman"/>
          <w:b/>
          <w:noProof/>
          <w:sz w:val="24"/>
          <w:szCs w:val="24"/>
        </w:rPr>
      </w:pPr>
      <w:r>
        <w:rPr>
          <w:rFonts w:ascii="Times New Roman" w:hAnsi="Times New Roman"/>
          <w:b/>
          <w:noProof/>
          <w:sz w:val="24"/>
          <w:szCs w:val="24"/>
        </w:rPr>
        <w:t xml:space="preserve">2. </w:t>
      </w:r>
      <w:r>
        <w:rPr>
          <w:rFonts w:ascii="Times New Roman" w:hAnsi="Times New Roman"/>
          <w:b/>
          <w:noProof/>
          <w:sz w:val="24"/>
          <w:szCs w:val="24"/>
        </w:rPr>
        <w:tab/>
        <w:t>Realizzarsi in un'economia basata sulla parità di genere</w:t>
      </w:r>
    </w:p>
    <w:p>
      <w:pPr>
        <w:spacing w:line="100" w:lineRule="atLeast"/>
        <w:jc w:val="both"/>
        <w:rPr>
          <w:rFonts w:ascii="Times New Roman" w:hAnsi="Times New Roman" w:cs="Times New Roman"/>
          <w:b/>
          <w:noProof/>
          <w:sz w:val="24"/>
          <w:szCs w:val="24"/>
        </w:rPr>
      </w:pPr>
      <w:r>
        <w:rPr>
          <w:rFonts w:ascii="Times New Roman" w:hAnsi="Times New Roman"/>
          <w:i/>
          <w:noProof/>
          <w:sz w:val="24"/>
          <w:szCs w:val="24"/>
        </w:rPr>
        <w:t>La costruzione di un'Europa prospera e sociale dipende da tutti noi. Le donne e gli uomini, in tutta la loro diversità, dovrebbero avere pari opportunità di realizzazione personale</w:t>
      </w:r>
      <w:r>
        <w:rPr>
          <w:noProof/>
          <w:sz w:val="24"/>
          <w:szCs w:val="24"/>
        </w:rPr>
        <w:t xml:space="preserve"> </w:t>
      </w:r>
      <w:r>
        <w:rPr>
          <w:rFonts w:ascii="Times New Roman" w:hAnsi="Times New Roman"/>
          <w:i/>
          <w:noProof/>
          <w:sz w:val="24"/>
          <w:szCs w:val="24"/>
        </w:rPr>
        <w:t xml:space="preserve">ed essere economicamente indipendenti, ricevere la stessa retribuzione per un lavoro di pari valore, avere pari accesso ai finanziamenti e percepire pensioni eque. Le donne e gli uomini dovrebbero ripartirsi equamente le responsabilità economiche e di assistenza familiare. </w:t>
      </w:r>
    </w:p>
    <w:p>
      <w:pPr>
        <w:spacing w:line="100" w:lineRule="atLeast"/>
        <w:jc w:val="both"/>
        <w:rPr>
          <w:rFonts w:ascii="Times New Roman" w:hAnsi="Times New Roman"/>
          <w:b/>
          <w:i/>
          <w:noProof/>
          <w:sz w:val="24"/>
          <w:szCs w:val="24"/>
        </w:rPr>
      </w:pPr>
    </w:p>
    <w:p>
      <w:pPr>
        <w:spacing w:line="100" w:lineRule="atLeast"/>
        <w:jc w:val="both"/>
        <w:rPr>
          <w:rFonts w:ascii="Times New Roman" w:hAnsi="Times New Roman" w:cs="Times New Roman"/>
          <w:b/>
          <w:i/>
          <w:noProof/>
          <w:sz w:val="24"/>
          <w:szCs w:val="24"/>
        </w:rPr>
      </w:pPr>
      <w:r>
        <w:rPr>
          <w:rFonts w:ascii="Times New Roman" w:hAnsi="Times New Roman"/>
          <w:b/>
          <w:i/>
          <w:noProof/>
          <w:sz w:val="24"/>
          <w:szCs w:val="24"/>
        </w:rPr>
        <w:t xml:space="preserve">Colmare il divario di genere nel mercato del lavoro </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 xml:space="preserve">L'aumento della partecipazione delle donne al mercato del lavoro ha un forte impatto positivo sull'economia, soprattutto a fronte di una riduzione della forza lavoro e di una carenza di competenze. </w:t>
      </w:r>
      <w:r>
        <w:rPr>
          <w:rFonts w:ascii="Times New Roman" w:hAnsi="Times New Roman"/>
          <w:noProof/>
          <w:sz w:val="24"/>
          <w:szCs w:val="24"/>
        </w:rPr>
        <w:t>È inoltre un mezzo che consente alle donne di plasmare la loro vita, svolgere un ruolo nella vita pubblica ed essere economicamente indipendenti.</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Il tasso di occupazione femminile nell'UE non è mai stato così elevato</w:t>
      </w:r>
      <w:r>
        <w:rPr>
          <w:rStyle w:val="FootnoteReference"/>
          <w:rFonts w:ascii="Times New Roman" w:hAnsi="Times New Roman" w:cs="Times New Roman"/>
          <w:noProof/>
          <w:sz w:val="24"/>
          <w:szCs w:val="24"/>
        </w:rPr>
        <w:footnoteReference w:id="36"/>
      </w:r>
      <w:r>
        <w:rPr>
          <w:rFonts w:ascii="Times New Roman" w:hAnsi="Times New Roman"/>
          <w:noProof/>
          <w:sz w:val="24"/>
          <w:szCs w:val="24"/>
        </w:rPr>
        <w:t>; eppure, molte donne continuano ad incontrare ostacoli all'accesso e alla permanenza nel mercato del lavoro</w:t>
      </w:r>
      <w:r>
        <w:rPr>
          <w:rStyle w:val="FootnoteReference"/>
          <w:rFonts w:ascii="Times New Roman" w:hAnsi="Times New Roman" w:cs="Times New Roman"/>
          <w:noProof/>
          <w:sz w:val="24"/>
          <w:szCs w:val="24"/>
        </w:rPr>
        <w:footnoteReference w:id="37"/>
      </w:r>
      <w:r>
        <w:rPr>
          <w:rFonts w:ascii="Times New Roman" w:hAnsi="Times New Roman"/>
          <w:noProof/>
          <w:sz w:val="24"/>
          <w:szCs w:val="24"/>
        </w:rPr>
        <w:t>. Alcune sono strutturalmente sottorappresentate nel mercato del lavoro</w:t>
      </w:r>
      <w:r>
        <w:rPr>
          <w:rStyle w:val="FootnoteReference"/>
          <w:rFonts w:ascii="Times New Roman" w:hAnsi="Times New Roman" w:cs="Times New Roman"/>
          <w:noProof/>
          <w:sz w:val="24"/>
          <w:szCs w:val="24"/>
        </w:rPr>
        <w:footnoteReference w:id="38"/>
      </w:r>
      <w:r>
        <w:rPr>
          <w:rFonts w:ascii="Times New Roman" w:hAnsi="Times New Roman"/>
          <w:noProof/>
          <w:sz w:val="24"/>
          <w:szCs w:val="24"/>
        </w:rPr>
        <w:t>, spesso a causa della combinazione dell'essere donna con ulteriori condizioni di vulnerabilità o emarginazione, ad esempio l'appartenenza a minoranze etniche o religiose</w:t>
      </w:r>
      <w:r>
        <w:rPr>
          <w:rStyle w:val="FootnoteReference"/>
          <w:rFonts w:ascii="Times New Roman" w:hAnsi="Times New Roman" w:cs="Times New Roman"/>
          <w:noProof/>
          <w:sz w:val="24"/>
          <w:szCs w:val="24"/>
        </w:rPr>
        <w:footnoteReference w:id="39"/>
      </w:r>
      <w:r>
        <w:rPr>
          <w:rFonts w:ascii="Times New Roman" w:hAnsi="Times New Roman"/>
          <w:noProof/>
          <w:sz w:val="24"/>
          <w:szCs w:val="24"/>
        </w:rPr>
        <w:t xml:space="preserve"> o la provenienza da un contesto migratorio. </w:t>
      </w:r>
    </w:p>
    <w:p>
      <w:pPr>
        <w:pStyle w:val="NormalWeb"/>
        <w:spacing w:before="0" w:beforeAutospacing="0" w:after="200" w:afterAutospacing="0" w:line="100" w:lineRule="atLeast"/>
        <w:jc w:val="both"/>
        <w:rPr>
          <w:noProof/>
        </w:rPr>
      </w:pPr>
      <w:r>
        <w:rPr>
          <w:noProof/>
          <w:lang w:val="en-GB" w:eastAsia="en-GB"/>
        </w:rPr>
        <w:drawing>
          <wp:inline distT="0" distB="0" distL="0" distR="0">
            <wp:extent cx="5759450" cy="1992263"/>
            <wp:effectExtent l="0" t="0" r="0" b="8255"/>
            <wp:docPr id="10" name="Picture 10" descr="C:\Users\signoem\AppData\Local\Temp\1\7zO41111A25\IT_gender-gap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gnoem\AppData\Local\Temp\1\7zO41111A25\IT_gender-gap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1992263"/>
                    </a:xfrm>
                    <a:prstGeom prst="rect">
                      <a:avLst/>
                    </a:prstGeom>
                    <a:noFill/>
                    <a:ln>
                      <a:noFill/>
                    </a:ln>
                  </pic:spPr>
                </pic:pic>
              </a:graphicData>
            </a:graphic>
          </wp:inline>
        </w:drawing>
      </w:r>
    </w:p>
    <w:p>
      <w:pPr>
        <w:pStyle w:val="NormalWeb"/>
        <w:spacing w:after="200" w:line="100" w:lineRule="atLeast"/>
        <w:jc w:val="both"/>
        <w:rPr>
          <w:noProof/>
        </w:rPr>
      </w:pPr>
      <w:r>
        <w:rPr>
          <w:noProof/>
        </w:rPr>
        <w:t xml:space="preserve">Migliorare l'equilibrio tra la vita professionale e la vita privata è uno dei modi per colmare il divario di genere nel mercato del lavoro. Le responsabilità e i diritti in materia di assistenza familiare devono spettare a entrambi i genitori. La </w:t>
      </w:r>
      <w:r>
        <w:rPr>
          <w:b/>
          <w:noProof/>
        </w:rPr>
        <w:t>direttiva sull'equilibrio tra attività professionale e vita familiare</w:t>
      </w:r>
      <w:r>
        <w:rPr>
          <w:rStyle w:val="FootnoteReference"/>
          <w:noProof/>
        </w:rPr>
        <w:footnoteReference w:id="40"/>
      </w:r>
      <w:r>
        <w:rPr>
          <w:noProof/>
        </w:rPr>
        <w:t xml:space="preserve"> introduce norme minime in materia di congedi per motivi familiari e modalità di lavoro flessibili per i lavoratori e promuove un'equa ripartizione delle responsabilità di assistenza tra i genitori. Per consentire a donne e uomini di realizzarsi sia personalmente che professionalmente, la Commissione farà sì che gli Stati membri </w:t>
      </w:r>
      <w:r>
        <w:rPr>
          <w:b/>
          <w:noProof/>
        </w:rPr>
        <w:t>recepiscano</w:t>
      </w:r>
      <w:r>
        <w:rPr>
          <w:rStyle w:val="FootnoteReference"/>
          <w:noProof/>
        </w:rPr>
        <w:footnoteReference w:id="41"/>
      </w:r>
      <w:r>
        <w:rPr>
          <w:noProof/>
        </w:rPr>
        <w:t xml:space="preserve"> </w:t>
      </w:r>
      <w:r>
        <w:rPr>
          <w:b/>
          <w:noProof/>
        </w:rPr>
        <w:t>e attuino</w:t>
      </w:r>
      <w:r>
        <w:rPr>
          <w:noProof/>
        </w:rPr>
        <w:t xml:space="preserve"> correttamente questa direttiva; li esorta inoltre ad andare al di là di tali norme minime in sede di riesame delle loro politiche e a garantire soluzioni efficaci, ad esempio per l'assistenza all'infanzia, in modo da raggiungere anche le zone meno popolate d'Europa. All'interno della propria amministrazione, la Commissione promuoverà e monitorerà l'uso equo di formule di lavoro flessibili da parte di tutti i suoi dipendenti</w:t>
      </w:r>
      <w:r>
        <w:rPr>
          <w:noProof/>
          <w:vertAlign w:val="superscript"/>
        </w:rPr>
        <w:footnoteReference w:id="42"/>
      </w:r>
      <w:r>
        <w:rPr>
          <w:noProof/>
        </w:rPr>
        <w:t>.</w:t>
      </w:r>
    </w:p>
    <w:p>
      <w:pPr>
        <w:pStyle w:val="Text1"/>
        <w:ind w:left="0"/>
        <w:rPr>
          <w:noProof/>
          <w:szCs w:val="24"/>
        </w:rPr>
      </w:pPr>
      <w:r>
        <w:rPr>
          <w:noProof/>
          <w:szCs w:val="24"/>
        </w:rPr>
        <w:t xml:space="preserve">Le problematiche inerenti alla parità di genere negli Stati membri, in particolare gli aspetti relativi al mercato del lavoro, all'inclusione sociale e all'istruzione, continueranno a essere monitorate nell'ambito del </w:t>
      </w:r>
      <w:r>
        <w:rPr>
          <w:b/>
          <w:noProof/>
          <w:szCs w:val="24"/>
        </w:rPr>
        <w:t>semestre europeo</w:t>
      </w:r>
      <w:r>
        <w:rPr>
          <w:rStyle w:val="FootnoteReference"/>
          <w:noProof/>
          <w:szCs w:val="24"/>
        </w:rPr>
        <w:footnoteReference w:id="43"/>
      </w:r>
      <w:r>
        <w:rPr>
          <w:noProof/>
          <w:szCs w:val="24"/>
        </w:rPr>
        <w:t>. Attraverso il quadro di valutazione della situazione sociale, il semestre europeo monitora tali dimensioni anche con riferimento al pilastro europeo dei diritti sociali</w:t>
      </w:r>
      <w:r>
        <w:rPr>
          <w:rStyle w:val="FootnoteReference"/>
          <w:noProof/>
          <w:szCs w:val="24"/>
        </w:rPr>
        <w:footnoteReference w:id="44"/>
      </w:r>
      <w:r>
        <w:rPr>
          <w:noProof/>
          <w:szCs w:val="24"/>
        </w:rPr>
        <w:t xml:space="preserve">. A partire dal ciclo 2019-2020, le relazioni per paese previste nell'ambito del semestre contribuiscono al monitoraggio sia degli obiettivi di sviluppo sostenibile, anche in materia di parità di genere (OSS 5), che del modo in cui le politiche economiche e occupazionali possono contribuire a realizzarli.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Il </w:t>
      </w:r>
      <w:r>
        <w:rPr>
          <w:rFonts w:ascii="Times New Roman" w:hAnsi="Times New Roman"/>
          <w:b/>
          <w:noProof/>
          <w:sz w:val="24"/>
          <w:szCs w:val="24"/>
        </w:rPr>
        <w:t>programma di sostegno alle riforme strutturali</w:t>
      </w:r>
      <w:r>
        <w:rPr>
          <w:rFonts w:ascii="Times New Roman" w:hAnsi="Times New Roman"/>
          <w:noProof/>
          <w:sz w:val="24"/>
          <w:szCs w:val="24"/>
        </w:rPr>
        <w:t xml:space="preserve"> può aiutare gli Stati membri ad integrare la dimensione di genere nella pubblica amministrazione, nell'elaborazione del bilancio dello Stato e nella gestione finanziaria. Può inoltre contribuire alle riforme strutturali nazionali negli Stati membri volte a </w:t>
      </w:r>
      <w:r>
        <w:rPr>
          <w:rFonts w:ascii="Times New Roman" w:hAnsi="Times New Roman"/>
          <w:b/>
          <w:noProof/>
          <w:sz w:val="24"/>
          <w:szCs w:val="24"/>
        </w:rPr>
        <w:t>colmare il divario di genere nei livelli di occupazione</w:t>
      </w:r>
      <w:r>
        <w:rPr>
          <w:rFonts w:ascii="Times New Roman" w:hAnsi="Times New Roman"/>
          <w:noProof/>
          <w:sz w:val="24"/>
          <w:szCs w:val="24"/>
        </w:rPr>
        <w:t xml:space="preserve"> e affrontare il problema della percentuale più elevata di donne in condizioni di povertà, in particolare in età avanzata.</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Le </w:t>
      </w:r>
      <w:r>
        <w:rPr>
          <w:rFonts w:ascii="Times New Roman" w:hAnsi="Times New Roman"/>
          <w:b/>
          <w:noProof/>
          <w:sz w:val="24"/>
          <w:szCs w:val="24"/>
        </w:rPr>
        <w:t>politiche sociali ed economiche, la fiscalità e i sistemi di protezione sociale</w:t>
      </w:r>
      <w:r>
        <w:rPr>
          <w:rFonts w:ascii="Times New Roman" w:hAnsi="Times New Roman"/>
          <w:noProof/>
          <w:sz w:val="24"/>
          <w:szCs w:val="24"/>
        </w:rPr>
        <w:t xml:space="preserve"> non dovrebbero perpetuare le disuguaglianze strutturali di genere basate sui ruoli tradizionalmente assegnati alla donna e all'uomo nel mondo del lavoro e nella vita privata. La Commissione elaborerà orientamenti per gli Stati membri su come i sistemi fiscali e previdenziali nazionali possano avere un impatto </w:t>
      </w:r>
      <w:r>
        <w:rPr>
          <w:rFonts w:ascii="Times New Roman" w:hAnsi="Times New Roman"/>
          <w:b/>
          <w:noProof/>
          <w:sz w:val="24"/>
          <w:szCs w:val="24"/>
        </w:rPr>
        <w:t>sugli incentivi o sui disincentivi finanziari per le persone che costituiscono la seconda fonte di reddito familiare</w:t>
      </w:r>
      <w:r>
        <w:rPr>
          <w:rFonts w:ascii="Times New Roman" w:hAnsi="Times New Roman"/>
          <w:noProof/>
          <w:sz w:val="24"/>
          <w:szCs w:val="24"/>
        </w:rPr>
        <w:t xml:space="preserve">. </w:t>
      </w:r>
    </w:p>
    <w:p>
      <w:pPr>
        <w:spacing w:line="100" w:lineRule="atLeast"/>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59450" cy="1336192"/>
            <wp:effectExtent l="0" t="0" r="0" b="0"/>
            <wp:docPr id="12" name="Picture 12" descr="C:\Users\signoem\AppData\Local\Temp\1\7zO4119E5A6\IT_decision-makers-priv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gnoem\AppData\Local\Temp\1\7zO4119E5A6\IT_decision-makers-privat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1336192"/>
                    </a:xfrm>
                    <a:prstGeom prst="rect">
                      <a:avLst/>
                    </a:prstGeom>
                    <a:noFill/>
                    <a:ln>
                      <a:noFill/>
                    </a:ln>
                  </pic:spPr>
                </pic:pic>
              </a:graphicData>
            </a:graphic>
          </wp:inline>
        </w:drawing>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Emancipare le donne nel mercato del lavoro significa anche offrir loro la possibilità di </w:t>
      </w:r>
      <w:r>
        <w:rPr>
          <w:rFonts w:ascii="Times New Roman" w:hAnsi="Times New Roman"/>
          <w:b/>
          <w:noProof/>
          <w:sz w:val="24"/>
          <w:szCs w:val="24"/>
        </w:rPr>
        <w:t>affermarsi come investitrici e imprenditrici</w:t>
      </w:r>
      <w:r>
        <w:rPr>
          <w:rStyle w:val="FootnoteReference"/>
          <w:rFonts w:ascii="Times New Roman" w:hAnsi="Times New Roman" w:cs="Times New Roman"/>
          <w:noProof/>
          <w:sz w:val="24"/>
          <w:szCs w:val="24"/>
        </w:rPr>
        <w:footnoteReference w:id="45"/>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La politica di coesione dell'UE sostiene l'imprenditoria femminile, il (re)inserimento delle donne nel mercato del lavoro e la parità di genere in settori specifici, tradizionalmente maschili. Nell'ambito del </w:t>
      </w:r>
      <w:r>
        <w:rPr>
          <w:rFonts w:ascii="Times New Roman" w:hAnsi="Times New Roman"/>
          <w:b/>
          <w:noProof/>
          <w:sz w:val="24"/>
          <w:szCs w:val="24"/>
        </w:rPr>
        <w:t>Consiglio europeo per l'innovazione</w:t>
      </w:r>
      <w:r>
        <w:rPr>
          <w:rFonts w:ascii="Times New Roman" w:hAnsi="Times New Roman"/>
          <w:noProof/>
          <w:sz w:val="24"/>
          <w:szCs w:val="24"/>
        </w:rPr>
        <w:t xml:space="preserve"> istituito dal programma Orizzonte Europa, si definiranno misure mirate volte a promuovere la partecipazione delle donne all'innovazione, tra cui, nel 2020, un progetto pilota diretto a promuovere le start-up e le piccole e medie imprese innovative guidate da donne</w:t>
      </w:r>
      <w:r>
        <w:rPr>
          <w:rStyle w:val="FootnoteReference"/>
          <w:rFonts w:ascii="Times New Roman" w:hAnsi="Times New Roman" w:cs="Times New Roman"/>
          <w:noProof/>
          <w:sz w:val="24"/>
          <w:szCs w:val="24"/>
        </w:rPr>
        <w:footnoteReference w:id="46"/>
      </w:r>
      <w:r>
        <w:rPr>
          <w:rFonts w:ascii="Times New Roman" w:hAnsi="Times New Roman"/>
          <w:noProof/>
          <w:sz w:val="24"/>
          <w:szCs w:val="24"/>
        </w:rPr>
        <w:t xml:space="preserve">. La Commissione promuoverà inoltre la presenza delle donne nelle posizioni dirigenziali dei fondi di private equity e venture capital e sosterrà i fondi che, con portafogli diversificati in base al genere, effettueranno investimenti nel quadro del </w:t>
      </w:r>
      <w:r>
        <w:rPr>
          <w:rFonts w:ascii="Times New Roman" w:hAnsi="Times New Roman"/>
          <w:b/>
          <w:noProof/>
          <w:sz w:val="24"/>
          <w:szCs w:val="24"/>
        </w:rPr>
        <w:t>programma InvestEU</w:t>
      </w:r>
      <w:r>
        <w:rPr>
          <w:rFonts w:ascii="Times New Roman" w:hAnsi="Times New Roman"/>
          <w:noProof/>
          <w:sz w:val="24"/>
          <w:szCs w:val="24"/>
        </w:rPr>
        <w:t xml:space="preserve"> mirante a mobilitare investimenti pubblici e privati in Europa per una crescita più sostenibile, inclusiva e innovativa. </w:t>
      </w:r>
    </w:p>
    <w:p>
      <w:pPr>
        <w:spacing w:line="100" w:lineRule="atLeast"/>
        <w:jc w:val="both"/>
        <w:rPr>
          <w:rFonts w:ascii="Times New Roman" w:hAnsi="Times New Roman" w:cs="Times New Roman"/>
          <w:noProof/>
          <w:sz w:val="24"/>
          <w:szCs w:val="24"/>
        </w:rPr>
      </w:pPr>
      <w:r>
        <w:rPr>
          <w:rFonts w:ascii="Times New Roman" w:hAnsi="Times New Roman"/>
          <w:b/>
          <w:i/>
          <w:noProof/>
          <w:sz w:val="24"/>
          <w:szCs w:val="24"/>
        </w:rPr>
        <w:t xml:space="preserve">Raggiungere la parità nella partecipazione ai diversi settori economici </w:t>
      </w:r>
    </w:p>
    <w:p>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Sebbene </w:t>
      </w:r>
      <w:r>
        <w:rPr>
          <w:rFonts w:ascii="Times New Roman" w:hAnsi="Times New Roman"/>
          <w:b/>
          <w:noProof/>
          <w:sz w:val="24"/>
          <w:szCs w:val="24"/>
        </w:rPr>
        <w:t>in Europa le laureate superino numericamente i laureati</w:t>
      </w:r>
      <w:r>
        <w:rPr>
          <w:rFonts w:ascii="Times New Roman" w:hAnsi="Times New Roman"/>
          <w:noProof/>
          <w:sz w:val="24"/>
          <w:szCs w:val="24"/>
        </w:rPr>
        <w:t>, le donne continuano a essere sottorappresentate nelle professioni più remunerate</w:t>
      </w:r>
      <w:r>
        <w:rPr>
          <w:rStyle w:val="FootnoteReference"/>
          <w:rFonts w:ascii="Times New Roman" w:eastAsia="Times New Roman" w:hAnsi="Times New Roman" w:cs="Times New Roman"/>
          <w:noProof/>
          <w:sz w:val="24"/>
          <w:szCs w:val="24"/>
        </w:rPr>
        <w:footnoteReference w:id="47"/>
      </w:r>
      <w:r>
        <w:rPr>
          <w:rFonts w:ascii="Times New Roman" w:hAnsi="Times New Roman"/>
          <w:noProof/>
          <w:sz w:val="24"/>
          <w:szCs w:val="24"/>
        </w:rPr>
        <w:t>. Nei lavori e nei settori scarsamente retribuiti e negli inquadramenti di livello più basso, la presenza femminile è superiore a quella maschile</w:t>
      </w:r>
      <w:r>
        <w:rPr>
          <w:rFonts w:ascii="Times New Roman" w:eastAsia="Times New Roman" w:hAnsi="Times New Roman" w:cs="Times New Roman"/>
          <w:noProof/>
          <w:sz w:val="24"/>
          <w:szCs w:val="24"/>
          <w:vertAlign w:val="superscript"/>
        </w:rPr>
        <w:footnoteReference w:id="48"/>
      </w:r>
      <w:r>
        <w:rPr>
          <w:rFonts w:ascii="Times New Roman" w:hAnsi="Times New Roman"/>
          <w:noProof/>
          <w:sz w:val="24"/>
          <w:szCs w:val="24"/>
        </w:rPr>
        <w:t>. Modelli sociali discriminatori, idee preconcette sulle competenze di donne e uomini e una sottovalutazione del lavoro femminile sono tra i fattori che contribuiscono a questa situazione.</w:t>
      </w:r>
    </w:p>
    <w:p>
      <w:pPr>
        <w:spacing w:line="100" w:lineRule="atLeast"/>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9450" cy="1308547"/>
            <wp:effectExtent l="0" t="0" r="0" b="6350"/>
            <wp:docPr id="13" name="Picture 13" descr="C:\Users\signoem\AppData\Local\Temp\1\7zO411FEB18\IT_sectors-econ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gnoem\AppData\Local\Temp\1\7zO411FEB18\IT_sectors-econom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1308547"/>
                    </a:xfrm>
                    <a:prstGeom prst="rect">
                      <a:avLst/>
                    </a:prstGeom>
                    <a:noFill/>
                    <a:ln>
                      <a:noFill/>
                    </a:ln>
                  </pic:spPr>
                </pic:pic>
              </a:graphicData>
            </a:graphic>
          </wp:inline>
        </w:drawing>
      </w:r>
    </w:p>
    <w:p>
      <w:pPr>
        <w:rPr>
          <w:rFonts w:ascii="Times New Roman" w:hAnsi="Times New Roman" w:cs="Times New Roman"/>
          <w:b/>
          <w:noProof/>
          <w:sz w:val="24"/>
          <w:szCs w:val="24"/>
        </w:rPr>
      </w:pP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In questo contesto la </w:t>
      </w:r>
      <w:r>
        <w:rPr>
          <w:rFonts w:ascii="Times New Roman" w:hAnsi="Times New Roman"/>
          <w:b/>
          <w:noProof/>
          <w:sz w:val="24"/>
          <w:szCs w:val="24"/>
        </w:rPr>
        <w:t>transizione digitale</w:t>
      </w:r>
      <w:r>
        <w:rPr>
          <w:rFonts w:ascii="Times New Roman" w:hAnsi="Times New Roman"/>
          <w:noProof/>
          <w:sz w:val="24"/>
          <w:szCs w:val="24"/>
        </w:rPr>
        <w:t xml:space="preserve"> è estremamente importante. Con la rapida trasformazione e digitalizzazione dell'economia e del mercato del lavoro, oggi il 90 % dei posti di lavoro richiede competenze digitali di base</w:t>
      </w:r>
      <w:r>
        <w:rPr>
          <w:rFonts w:ascii="Times New Roman" w:hAnsi="Times New Roman" w:cs="Times New Roman"/>
          <w:noProof/>
          <w:sz w:val="24"/>
          <w:szCs w:val="24"/>
          <w:vertAlign w:val="superscript"/>
        </w:rPr>
        <w:footnoteReference w:id="49"/>
      </w:r>
      <w:r>
        <w:rPr>
          <w:rFonts w:ascii="Times New Roman" w:hAnsi="Times New Roman"/>
          <w:noProof/>
          <w:sz w:val="24"/>
          <w:szCs w:val="24"/>
        </w:rPr>
        <w:t>. Nell'UE</w:t>
      </w:r>
      <w:r>
        <w:rPr>
          <w:rStyle w:val="FootnoteReference"/>
          <w:rFonts w:ascii="Times New Roman" w:hAnsi="Times New Roman" w:cs="Times New Roman"/>
          <w:noProof/>
          <w:sz w:val="24"/>
          <w:szCs w:val="24"/>
        </w:rPr>
        <w:footnoteReference w:id="50"/>
      </w:r>
      <w:r>
        <w:rPr>
          <w:rFonts w:ascii="Times New Roman" w:hAnsi="Times New Roman"/>
          <w:noProof/>
          <w:sz w:val="24"/>
          <w:szCs w:val="24"/>
        </w:rPr>
        <w:t xml:space="preserve"> solo il 17 % di chi intraprende studi o abbraccia una professione nel settore delle TIC</w:t>
      </w:r>
      <w:r>
        <w:rPr>
          <w:rStyle w:val="FootnoteReference"/>
          <w:rFonts w:ascii="Times New Roman" w:hAnsi="Times New Roman" w:cs="Times New Roman"/>
          <w:noProof/>
          <w:sz w:val="24"/>
          <w:szCs w:val="24"/>
        </w:rPr>
        <w:footnoteReference w:id="51"/>
      </w:r>
      <w:r>
        <w:rPr>
          <w:rFonts w:ascii="Times New Roman" w:hAnsi="Times New Roman"/>
          <w:noProof/>
          <w:sz w:val="24"/>
          <w:szCs w:val="24"/>
        </w:rPr>
        <w:t xml:space="preserve"> e solo il 36 % dei laureati</w:t>
      </w:r>
      <w:r>
        <w:rPr>
          <w:rStyle w:val="FootnoteReference"/>
          <w:rFonts w:ascii="Times New Roman" w:hAnsi="Times New Roman" w:cs="Times New Roman"/>
          <w:noProof/>
          <w:sz w:val="24"/>
          <w:szCs w:val="24"/>
        </w:rPr>
        <w:footnoteReference w:id="52"/>
      </w:r>
      <w:r>
        <w:rPr>
          <w:rFonts w:ascii="Times New Roman" w:hAnsi="Times New Roman"/>
          <w:noProof/>
          <w:sz w:val="24"/>
          <w:szCs w:val="24"/>
        </w:rPr>
        <w:t xml:space="preserve"> nel settore STEM</w:t>
      </w:r>
      <w:r>
        <w:rPr>
          <w:rStyle w:val="FootnoteReference"/>
          <w:rFonts w:ascii="Times New Roman" w:hAnsi="Times New Roman" w:cs="Times New Roman"/>
          <w:noProof/>
          <w:sz w:val="24"/>
          <w:szCs w:val="24"/>
        </w:rPr>
        <w:footnoteReference w:id="53"/>
      </w:r>
      <w:r>
        <w:rPr>
          <w:rFonts w:ascii="Times New Roman" w:hAnsi="Times New Roman"/>
          <w:noProof/>
          <w:sz w:val="24"/>
          <w:szCs w:val="24"/>
        </w:rPr>
        <w:t xml:space="preserve"> è rappresentato da donne, sebbene le ragazze abbiano risultati migliori dei ragazzi nell'alfabetizzazione digitale</w:t>
      </w:r>
      <w:r>
        <w:rPr>
          <w:rFonts w:ascii="Times New Roman" w:hAnsi="Times New Roman" w:cs="Times New Roman"/>
          <w:noProof/>
          <w:sz w:val="24"/>
          <w:szCs w:val="24"/>
          <w:vertAlign w:val="superscript"/>
        </w:rPr>
        <w:footnoteReference w:id="54"/>
      </w:r>
      <w:r>
        <w:rPr>
          <w:rFonts w:ascii="Times New Roman" w:hAnsi="Times New Roman"/>
          <w:noProof/>
          <w:sz w:val="24"/>
          <w:szCs w:val="24"/>
        </w:rPr>
        <w:t xml:space="preserve">. Questo divario e questo paradosso saranno affrontati nel </w:t>
      </w:r>
      <w:r>
        <w:rPr>
          <w:rFonts w:ascii="Times New Roman" w:hAnsi="Times New Roman"/>
          <w:b/>
          <w:noProof/>
          <w:sz w:val="24"/>
          <w:szCs w:val="24"/>
        </w:rPr>
        <w:t>piano d'azione per l'istruzione digitale</w:t>
      </w:r>
      <w:r>
        <w:rPr>
          <w:rFonts w:ascii="Times New Roman" w:hAnsi="Times New Roman"/>
          <w:noProof/>
          <w:sz w:val="24"/>
          <w:szCs w:val="24"/>
        </w:rPr>
        <w:t xml:space="preserve"> aggiornato e tramite l'attuazione della </w:t>
      </w:r>
      <w:r>
        <w:rPr>
          <w:rFonts w:ascii="Times New Roman" w:hAnsi="Times New Roman"/>
          <w:b/>
          <w:noProof/>
          <w:sz w:val="24"/>
          <w:szCs w:val="24"/>
        </w:rPr>
        <w:t>dichiarazione ministeriale di impegno sulle "donne nel digitale"</w:t>
      </w:r>
      <w:r>
        <w:rPr>
          <w:rStyle w:val="FootnoteReference"/>
          <w:rFonts w:ascii="Times New Roman" w:hAnsi="Times New Roman" w:cs="Times New Roman"/>
          <w:noProof/>
          <w:sz w:val="24"/>
          <w:szCs w:val="24"/>
        </w:rPr>
        <w:footnoteReference w:id="55"/>
      </w:r>
      <w:r>
        <w:rPr>
          <w:rFonts w:ascii="Times New Roman" w:hAnsi="Times New Roman"/>
          <w:noProof/>
          <w:sz w:val="24"/>
          <w:szCs w:val="24"/>
        </w:rPr>
        <w:t xml:space="preserve">. Il </w:t>
      </w:r>
      <w:r>
        <w:rPr>
          <w:rFonts w:ascii="Times New Roman" w:hAnsi="Times New Roman"/>
          <w:b/>
          <w:noProof/>
          <w:sz w:val="24"/>
          <w:szCs w:val="24"/>
        </w:rPr>
        <w:t>quadro di valutazione per le "donne nel digitale"</w:t>
      </w:r>
      <w:r>
        <w:rPr>
          <w:rFonts w:ascii="Times New Roman" w:hAnsi="Times New Roman"/>
          <w:noProof/>
          <w:sz w:val="24"/>
          <w:szCs w:val="24"/>
        </w:rPr>
        <w:t xml:space="preserve"> sarà utilizzato in modo più sistematico.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L'</w:t>
      </w:r>
      <w:r>
        <w:rPr>
          <w:rFonts w:ascii="Times New Roman" w:hAnsi="Times New Roman"/>
          <w:b/>
          <w:noProof/>
          <w:sz w:val="24"/>
          <w:szCs w:val="24"/>
        </w:rPr>
        <w:t>agenda aggiornata per le competenze per l'Europa</w:t>
      </w:r>
      <w:r>
        <w:rPr>
          <w:rFonts w:ascii="Times New Roman" w:hAnsi="Times New Roman"/>
          <w:noProof/>
          <w:sz w:val="24"/>
          <w:szCs w:val="24"/>
        </w:rPr>
        <w:t xml:space="preserve"> contribuirà ad affrontare il problema della segregazione orizzontale, degli stereotipi e del divario di genere nell'istruzione e nella formazione.</w:t>
      </w:r>
      <w:r>
        <w:rPr>
          <w:noProof/>
          <w:sz w:val="24"/>
          <w:szCs w:val="24"/>
        </w:rPr>
        <w:t xml:space="preserve"> </w:t>
      </w:r>
      <w:r>
        <w:rPr>
          <w:rFonts w:ascii="Times New Roman" w:hAnsi="Times New Roman"/>
          <w:noProof/>
          <w:sz w:val="24"/>
          <w:szCs w:val="24"/>
        </w:rPr>
        <w:t xml:space="preserve">La proposta di </w:t>
      </w:r>
      <w:r>
        <w:rPr>
          <w:rFonts w:ascii="Times New Roman" w:hAnsi="Times New Roman"/>
          <w:b/>
          <w:noProof/>
          <w:sz w:val="24"/>
          <w:szCs w:val="24"/>
        </w:rPr>
        <w:t>raccomandazione del Consiglio relativa all'istruzione e alla formazione professionale</w:t>
      </w:r>
      <w:r>
        <w:rPr>
          <w:rFonts w:ascii="Times New Roman" w:hAnsi="Times New Roman"/>
          <w:noProof/>
          <w:sz w:val="24"/>
          <w:szCs w:val="24"/>
        </w:rPr>
        <w:t xml:space="preserve">, presentata dalla Commissione, sosterrà il miglioramento dell'equilibrio di genere nelle professioni a predominanza tradizionalmente maschile o femminile e affronterà il problema degli stereotipi di genere. La </w:t>
      </w:r>
      <w:r>
        <w:rPr>
          <w:rFonts w:ascii="Times New Roman" w:hAnsi="Times New Roman"/>
          <w:b/>
          <w:noProof/>
          <w:sz w:val="24"/>
          <w:szCs w:val="24"/>
        </w:rPr>
        <w:t>Garanzia per i giovani rafforzata</w:t>
      </w:r>
      <w:r>
        <w:rPr>
          <w:rFonts w:ascii="Times New Roman" w:hAnsi="Times New Roman"/>
          <w:noProof/>
          <w:sz w:val="24"/>
          <w:szCs w:val="24"/>
        </w:rPr>
        <w:t xml:space="preserve"> si occuperà inoltre in modo specifico delle donne che non hanno un lavoro, né seguono un percorso scolastico o formativo, al fine di garantire pari opportunità.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Nella prossima </w:t>
      </w:r>
      <w:r>
        <w:rPr>
          <w:rFonts w:ascii="Times New Roman" w:hAnsi="Times New Roman"/>
          <w:b/>
          <w:noProof/>
          <w:sz w:val="24"/>
          <w:szCs w:val="24"/>
        </w:rPr>
        <w:t>comunicazione della Commissione sullo Spazio europeo dell'istruzione</w:t>
      </w:r>
      <w:r>
        <w:rPr>
          <w:rFonts w:ascii="Times New Roman" w:hAnsi="Times New Roman"/>
          <w:noProof/>
          <w:sz w:val="24"/>
          <w:szCs w:val="24"/>
        </w:rPr>
        <w:t xml:space="preserve">, la parità di genere sarà presentata come uno degli elementi chiave. Il </w:t>
      </w:r>
      <w:r>
        <w:rPr>
          <w:rFonts w:ascii="Times New Roman" w:hAnsi="Times New Roman"/>
          <w:b/>
          <w:noProof/>
          <w:sz w:val="24"/>
          <w:szCs w:val="24"/>
        </w:rPr>
        <w:t>quadro strategico rinnovato per la parità di genere nello sport</w:t>
      </w:r>
      <w:r>
        <w:rPr>
          <w:rFonts w:ascii="Times New Roman" w:hAnsi="Times New Roman"/>
          <w:noProof/>
          <w:sz w:val="24"/>
          <w:szCs w:val="24"/>
        </w:rPr>
        <w:t xml:space="preserve"> promuoverà la partecipazione delle donne e delle ragazze allo sport e all'attività fisica e l'equilibrio di genere nelle posizioni dirigenziali all'interno delle organizzazioni sportive.</w:t>
      </w:r>
    </w:p>
    <w:p>
      <w:pPr>
        <w:rPr>
          <w:rFonts w:ascii="Times New Roman" w:hAnsi="Times New Roman" w:cs="Times New Roman"/>
          <w:b/>
          <w:i/>
          <w:noProof/>
          <w:sz w:val="24"/>
          <w:szCs w:val="24"/>
        </w:rPr>
      </w:pPr>
      <w:r>
        <w:rPr>
          <w:rFonts w:ascii="Times New Roman" w:hAnsi="Times New Roman"/>
          <w:b/>
          <w:i/>
          <w:noProof/>
          <w:sz w:val="24"/>
          <w:szCs w:val="24"/>
        </w:rPr>
        <w:t>Affrontare il problema del divario retributivo e pensionistico di genere</w:t>
      </w:r>
    </w:p>
    <w:p>
      <w:pPr>
        <w:spacing w:line="100" w:lineRule="atLeast"/>
        <w:jc w:val="both"/>
        <w:rPr>
          <w:rFonts w:ascii="Times New Roman" w:hAnsi="Times New Roman" w:cs="Times New Roman"/>
          <w:b/>
          <w:noProof/>
          <w:sz w:val="24"/>
          <w:szCs w:val="24"/>
        </w:rPr>
      </w:pPr>
      <w:r>
        <w:rPr>
          <w:rFonts w:ascii="Times New Roman" w:hAnsi="Times New Roman"/>
          <w:b/>
          <w:noProof/>
          <w:sz w:val="24"/>
          <w:szCs w:val="24"/>
        </w:rPr>
        <w:t>Il principio della parità retributiva per uno stesso lavoro o per un lavoro di pari valore è sancito dai trattati sin dal 1957 ed è stato recepito nel diritto dell'UE.</w:t>
      </w:r>
      <w:r>
        <w:rPr>
          <w:rFonts w:ascii="Times New Roman" w:hAnsi="Times New Roman"/>
          <w:noProof/>
          <w:sz w:val="24"/>
          <w:szCs w:val="24"/>
        </w:rPr>
        <w:t xml:space="preserve"> Garantisce mezzi di ricorso in caso di discriminazione.</w:t>
      </w:r>
      <w:r>
        <w:rPr>
          <w:noProof/>
          <w:sz w:val="24"/>
          <w:szCs w:val="24"/>
        </w:rPr>
        <w:t xml:space="preserve"> </w:t>
      </w:r>
      <w:r>
        <w:rPr>
          <w:rFonts w:ascii="Times New Roman" w:hAnsi="Times New Roman"/>
          <w:noProof/>
          <w:sz w:val="24"/>
          <w:szCs w:val="24"/>
        </w:rPr>
        <w:t>Le donne, tuttavia, continuano a guadagnare in media meno degli uomini</w:t>
      </w:r>
      <w:r>
        <w:rPr>
          <w:rStyle w:val="FootnoteReference"/>
          <w:rFonts w:ascii="Times New Roman" w:hAnsi="Times New Roman" w:cs="Times New Roman"/>
          <w:noProof/>
          <w:sz w:val="24"/>
          <w:szCs w:val="24"/>
        </w:rPr>
        <w:footnoteReference w:id="56"/>
      </w:r>
      <w:r>
        <w:rPr>
          <w:rFonts w:ascii="Times New Roman" w:hAnsi="Times New Roman"/>
          <w:noProof/>
          <w:sz w:val="24"/>
          <w:szCs w:val="24"/>
        </w:rPr>
        <w:t>. Il divario di genere a livello occupazionale e retributivo che si accumula nell'arco di una vita porta a un divario pensionistico ancor più accentuato e, di conseguenza, espone le donne in età avanzata a un maggior rischio di povertà rispetto agli uomini.</w:t>
      </w:r>
      <w:r>
        <w:rPr>
          <w:rFonts w:ascii="Times New Roman" w:hAnsi="Times New Roman"/>
          <w:b/>
          <w:noProof/>
          <w:sz w:val="24"/>
          <w:szCs w:val="24"/>
        </w:rPr>
        <w:t xml:space="preserve"> </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9450" cy="1222525"/>
            <wp:effectExtent l="0" t="0" r="0" b="0"/>
            <wp:docPr id="15" name="Picture 15" descr="C:\Users\signoem\AppData\Local\Temp\1\7zO411A58E9\IT_pension-gender-g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gnoem\AppData\Local\Temp\1\7zO411A58E9\IT_pension-gender-ga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1222525"/>
                    </a:xfrm>
                    <a:prstGeom prst="rect">
                      <a:avLst/>
                    </a:prstGeom>
                    <a:noFill/>
                    <a:ln>
                      <a:noFill/>
                    </a:ln>
                  </pic:spPr>
                </pic:pic>
              </a:graphicData>
            </a:graphic>
          </wp:inline>
        </w:drawing>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Per </w:t>
      </w:r>
      <w:r>
        <w:rPr>
          <w:rFonts w:ascii="Times New Roman" w:hAnsi="Times New Roman"/>
          <w:b/>
          <w:noProof/>
          <w:sz w:val="24"/>
          <w:szCs w:val="24"/>
        </w:rPr>
        <w:t>eliminare il divario retributivo di genere</w:t>
      </w:r>
      <w:r>
        <w:rPr>
          <w:rFonts w:ascii="Times New Roman" w:hAnsi="Times New Roman"/>
          <w:noProof/>
          <w:sz w:val="24"/>
          <w:szCs w:val="24"/>
        </w:rPr>
        <w:t xml:space="preserve"> è necessario risolvere tutte le sue cause profonde, compresa la minor partecipazione delle donne al mercato del lavoro, il lavoro invisibile e non retribuito, il maggior ricorso al tempo parziale</w:t>
      </w:r>
      <w:r>
        <w:rPr>
          <w:rStyle w:val="FootnoteReference"/>
          <w:rFonts w:ascii="Times New Roman" w:hAnsi="Times New Roman" w:cs="Times New Roman"/>
          <w:noProof/>
          <w:sz w:val="24"/>
          <w:szCs w:val="24"/>
        </w:rPr>
        <w:footnoteReference w:id="57"/>
      </w:r>
      <w:r>
        <w:rPr>
          <w:rFonts w:ascii="Times New Roman" w:hAnsi="Times New Roman"/>
          <w:noProof/>
          <w:sz w:val="24"/>
          <w:szCs w:val="24"/>
        </w:rPr>
        <w:t xml:space="preserve"> e alle interruzioni di carriera, nonché la segregazione verticale e orizzontale basata su stereotipi e discriminazioni di genere.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Quando si dispone di informazioni sui livelli salariali è più facile individuare le differenze e le discriminazioni, ma poiché manca la trasparenza, molte donne non sanno o non possono dimostrare di essere sottopagate. La Commissione presenterà </w:t>
      </w:r>
      <w:r>
        <w:rPr>
          <w:rFonts w:ascii="Times New Roman" w:hAnsi="Times New Roman"/>
          <w:b/>
          <w:noProof/>
          <w:sz w:val="24"/>
          <w:szCs w:val="24"/>
        </w:rPr>
        <w:t>misure vincolanti sulla trasparenza retributiva entro la fine del 2020</w:t>
      </w:r>
      <w:r>
        <w:rPr>
          <w:rFonts w:ascii="Times New Roman" w:hAnsi="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Tale iniziativa rafforzerà il diritto dei lavoratori di ottenere informazioni più dettagliate sui livelli salariali, anche se ciò comporterà probabilmente un maggior onere amministrativo per i datori di lavoro. Per trovare un giusto equilibrio per quest'azione dell'UE, la consultazione e l'ascolto delle parti sociali e delle amministrazioni nazionali rivestono la massima importanza. La Commissione ha intrapreso una valutazione approfondita del quadro attualmente in vigore sulla parità di retribuzione per uno stesso lavoro o per un lavoro di pari valore</w:t>
      </w:r>
      <w:r>
        <w:rPr>
          <w:rStyle w:val="FootnoteReference"/>
          <w:rFonts w:ascii="Times New Roman" w:hAnsi="Times New Roman" w:cs="Times New Roman"/>
          <w:noProof/>
          <w:sz w:val="24"/>
          <w:szCs w:val="24"/>
        </w:rPr>
        <w:footnoteReference w:id="58"/>
      </w:r>
      <w:r>
        <w:rPr>
          <w:rFonts w:ascii="Times New Roman" w:hAnsi="Times New Roman"/>
          <w:noProof/>
          <w:sz w:val="24"/>
          <w:szCs w:val="24"/>
        </w:rPr>
        <w:t xml:space="preserve">. Insieme all'adozione della presente strategia, la Commissione sta avviando una </w:t>
      </w:r>
      <w:r>
        <w:rPr>
          <w:rFonts w:ascii="Times New Roman" w:hAnsi="Times New Roman"/>
          <w:b/>
          <w:noProof/>
          <w:sz w:val="24"/>
          <w:szCs w:val="24"/>
        </w:rPr>
        <w:t>consultazione ampia ed inclusiva</w:t>
      </w:r>
      <w:r>
        <w:rPr>
          <w:rStyle w:val="FootnoteReference"/>
          <w:rFonts w:ascii="Times New Roman" w:hAnsi="Times New Roman" w:cs="Times New Roman"/>
          <w:noProof/>
          <w:sz w:val="24"/>
          <w:szCs w:val="24"/>
        </w:rPr>
        <w:footnoteReference w:id="59"/>
      </w:r>
      <w:r>
        <w:rPr>
          <w:rFonts w:ascii="Times New Roman" w:hAnsi="Times New Roman"/>
          <w:noProof/>
          <w:sz w:val="24"/>
          <w:szCs w:val="24"/>
        </w:rPr>
        <w:t xml:space="preserve"> con i cittadini, gli Stati membri e le parti sociali. Più in generale,</w:t>
      </w:r>
      <w:r>
        <w:rPr>
          <w:noProof/>
          <w:sz w:val="24"/>
          <w:szCs w:val="24"/>
        </w:rPr>
        <w:t xml:space="preserve"> </w:t>
      </w:r>
      <w:r>
        <w:rPr>
          <w:rFonts w:ascii="Times New Roman" w:hAnsi="Times New Roman"/>
          <w:noProof/>
          <w:sz w:val="24"/>
          <w:szCs w:val="24"/>
        </w:rPr>
        <w:t xml:space="preserve">la Commissione rilancerà la discussione con le </w:t>
      </w:r>
      <w:r>
        <w:rPr>
          <w:rFonts w:ascii="Times New Roman" w:hAnsi="Times New Roman"/>
          <w:b/>
          <w:noProof/>
          <w:sz w:val="24"/>
          <w:szCs w:val="24"/>
        </w:rPr>
        <w:t>parti sociali</w:t>
      </w:r>
      <w:r>
        <w:rPr>
          <w:rFonts w:ascii="Times New Roman" w:hAnsi="Times New Roman"/>
          <w:noProof/>
          <w:sz w:val="24"/>
          <w:szCs w:val="24"/>
        </w:rPr>
        <w:t xml:space="preserve"> su come migliorare la parità di genere nel mondo del lavoro, anche all'interno delle loro strutture, e le incoraggerà ad adoperarsi maggiormente per affrontare il problema del divario di genere a livello occupazionale e retributivo.</w:t>
      </w:r>
    </w:p>
    <w:p>
      <w:pPr>
        <w:pStyle w:val="NormalWeb"/>
        <w:jc w:val="both"/>
        <w:rPr>
          <w:noProof/>
        </w:rPr>
      </w:pPr>
      <w:r>
        <w:rPr>
          <w:noProof/>
        </w:rPr>
        <w:t xml:space="preserve">Il minor guadagno, la maggior concentrazione nel lavoro a tempo parziale e il divario a livello di carriera professionale legati alle responsabilità di assistenza a carico delle donne contribuiscono notevolmente al </w:t>
      </w:r>
      <w:r>
        <w:rPr>
          <w:b/>
          <w:noProof/>
        </w:rPr>
        <w:t>divario pensionistico di genere</w:t>
      </w:r>
      <w:r>
        <w:rPr>
          <w:noProof/>
        </w:rPr>
        <w:t>. Nell'edizione 2021 della</w:t>
      </w:r>
      <w:r>
        <w:rPr>
          <w:b/>
          <w:noProof/>
        </w:rPr>
        <w:t xml:space="preserve"> relazione sull'adeguatezza delle pensioni</w:t>
      </w:r>
      <w:r>
        <w:rPr>
          <w:noProof/>
        </w:rPr>
        <w:t xml:space="preserve"> la Commissione, insieme al comitato per la protezione sociale del Consiglio, valuterà il modello di ripartizione dei rischi e delle risorse tra donne e uomini nei sistemi pensionistici. Al fine di tutelare i diritti pensionistici e incoraggiare un'equa ripartizione delle responsabilità di assistenza familiare tra donne e uomini, la Commissione esaminerà, insieme agli Stati membri e ai portatori di interessi, l'opportunità di concedere </w:t>
      </w:r>
      <w:r>
        <w:rPr>
          <w:b/>
          <w:noProof/>
        </w:rPr>
        <w:t>crediti pensionistici per le interruzioni di carriera per motivi di assistenza nell'ambito dei regimi pensionistici professionali</w:t>
      </w:r>
      <w:r>
        <w:rPr>
          <w:noProof/>
        </w:rPr>
        <w:t>, come raccomandato dal gruppo ad alto livello sulle pensioni</w:t>
      </w:r>
      <w:r>
        <w:rPr>
          <w:rStyle w:val="FootnoteReference"/>
          <w:noProof/>
        </w:rPr>
        <w:footnoteReference w:id="60"/>
      </w:r>
      <w:r>
        <w:rPr>
          <w:noProof/>
        </w:rPr>
        <w:t>.</w:t>
      </w:r>
    </w:p>
    <w:p>
      <w:pPr>
        <w:spacing w:line="100" w:lineRule="atLeast"/>
        <w:jc w:val="both"/>
        <w:rPr>
          <w:rFonts w:ascii="Times New Roman" w:hAnsi="Times New Roman" w:cs="Times New Roman"/>
          <w:noProof/>
          <w:sz w:val="24"/>
          <w:szCs w:val="24"/>
        </w:rPr>
      </w:pPr>
      <w:r>
        <w:rPr>
          <w:rFonts w:ascii="Times New Roman" w:hAnsi="Times New Roman"/>
          <w:b/>
          <w:i/>
          <w:noProof/>
          <w:sz w:val="24"/>
          <w:szCs w:val="24"/>
        </w:rPr>
        <w:t>Colmare il divario di genere nell'assistenza familiare</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Realizzarsi sul lavoro gestendo contemporaneamente le responsabilità di assistenza familiare è una sfida, soprattutto per le donne</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Spesso le donne adeguano la loro decisione di lavorare, e la modalità di lavoro scelta, alle loro responsabilità di assistenza e, se del caso, alla modalità di condivisione di tali compiti con un partner. Si tratta di una sfida di particolare difficoltà per i genitori soli, per la maggior parte donne</w:t>
      </w:r>
      <w:r>
        <w:rPr>
          <w:rStyle w:val="FootnoteReference"/>
          <w:rFonts w:ascii="Times New Roman" w:hAnsi="Times New Roman" w:cs="Times New Roman"/>
          <w:noProof/>
          <w:sz w:val="24"/>
          <w:szCs w:val="24"/>
        </w:rPr>
        <w:footnoteReference w:id="61"/>
      </w:r>
      <w:r>
        <w:rPr>
          <w:rFonts w:ascii="Times New Roman" w:hAnsi="Times New Roman"/>
          <w:noProof/>
          <w:sz w:val="24"/>
          <w:szCs w:val="24"/>
        </w:rPr>
        <w:t>, e per le persone che, vivendo in zone rurali remote, spesso non hanno a disposizione servizi di sostegno. Sulle donne, inoltre, ricade un onere sproporzionato di lavoro non retribuito, che costituisce una quota significativa dell'attività economica</w:t>
      </w:r>
      <w:r>
        <w:rPr>
          <w:rStyle w:val="FootnoteReference"/>
          <w:rFonts w:ascii="Times New Roman" w:hAnsi="Times New Roman" w:cs="Times New Roman"/>
          <w:noProof/>
          <w:sz w:val="24"/>
          <w:szCs w:val="24"/>
        </w:rPr>
        <w:footnoteReference w:id="62"/>
      </w:r>
      <w:r>
        <w:rPr>
          <w:rFonts w:ascii="Times New Roman" w:hAnsi="Times New Roman"/>
          <w:noProof/>
          <w:sz w:val="24"/>
          <w:szCs w:val="24"/>
        </w:rPr>
        <w:t xml:space="preserve">. </w:t>
      </w:r>
    </w:p>
    <w:p>
      <w:pPr>
        <w:spacing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Un'equa ripartizione delle responsabilità di assistenza a casa è fondamentale, analogamente alla disponibilità di servizi per l'infanzia, di assistenza sociale e domestici</w:t>
      </w:r>
      <w:r>
        <w:rPr>
          <w:rFonts w:ascii="Times New Roman" w:hAnsi="Times New Roman"/>
          <w:noProof/>
          <w:sz w:val="24"/>
          <w:szCs w:val="24"/>
        </w:rPr>
        <w:t>, in particolare per i genitori soli</w:t>
      </w:r>
      <w:r>
        <w:rPr>
          <w:rStyle w:val="FootnoteReference"/>
          <w:rFonts w:ascii="Times New Roman" w:hAnsi="Times New Roman" w:cs="Times New Roman"/>
          <w:noProof/>
          <w:sz w:val="24"/>
          <w:szCs w:val="24"/>
        </w:rPr>
        <w:footnoteReference w:id="63"/>
      </w:r>
      <w:r>
        <w:rPr>
          <w:rFonts w:ascii="Times New Roman" w:hAnsi="Times New Roman"/>
          <w:noProof/>
          <w:sz w:val="24"/>
          <w:szCs w:val="24"/>
        </w:rPr>
        <w:t>. Un accesso insufficiente a servizi di assistenza formale di qualità a prezzi ragionevoli è uno dei principali fattori alla base della disparità di genere nel mercato del lavoro</w:t>
      </w:r>
      <w:r>
        <w:rPr>
          <w:rStyle w:val="FootnoteReference"/>
          <w:rFonts w:ascii="Times New Roman" w:eastAsia="Times New Roman" w:hAnsi="Times New Roman" w:cs="Times New Roman"/>
          <w:noProof/>
          <w:sz w:val="24"/>
          <w:szCs w:val="24"/>
        </w:rPr>
        <w:footnoteReference w:id="64"/>
      </w:r>
      <w:r>
        <w:rPr>
          <w:rFonts w:ascii="Times New Roman" w:hAnsi="Times New Roman"/>
          <w:noProof/>
          <w:sz w:val="24"/>
          <w:szCs w:val="24"/>
        </w:rPr>
        <w:t>. Investire nei servizi di assistenza è quindi importante per favorire la partecipazione delle donne al lavoro retribuito e il loro sviluppo professionale e può portare alla creazione di posti di lavoro sia per le donne che per gli uomini.</w:t>
      </w:r>
    </w:p>
    <w:p>
      <w:p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rPr>
        <w:drawing>
          <wp:inline distT="0" distB="0" distL="0" distR="0">
            <wp:extent cx="5759450" cy="1068577"/>
            <wp:effectExtent l="0" t="0" r="0" b="0"/>
            <wp:docPr id="16" name="Picture 16" descr="C:\Users\signoem\AppData\Local\Temp\1\7zO41192CF6\IT_gender-car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gnoem\AppData\Local\Temp\1\7zO41192CF6\IT_gender-care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1068577"/>
                    </a:xfrm>
                    <a:prstGeom prst="rect">
                      <a:avLst/>
                    </a:prstGeom>
                    <a:noFill/>
                    <a:ln>
                      <a:noFill/>
                    </a:ln>
                  </pic:spPr>
                </pic:pic>
              </a:graphicData>
            </a:graphic>
          </wp:inline>
        </w:drawing>
      </w:r>
    </w:p>
    <w:p>
      <w:pPr>
        <w:spacing w:line="240" w:lineRule="auto"/>
        <w:jc w:val="both"/>
        <w:rPr>
          <w:rFonts w:ascii="Times New Roman" w:hAnsi="Times New Roman" w:cs="Times New Roman"/>
          <w:b/>
          <w:noProof/>
          <w:sz w:val="24"/>
          <w:szCs w:val="24"/>
        </w:rPr>
      </w:pPr>
      <w:r>
        <w:rPr>
          <w:rFonts w:ascii="Times New Roman" w:hAnsi="Times New Roman"/>
          <w:noProof/>
          <w:sz w:val="24"/>
          <w:szCs w:val="24"/>
        </w:rPr>
        <w:t xml:space="preserve">Gli </w:t>
      </w:r>
      <w:r>
        <w:rPr>
          <w:rFonts w:ascii="Times New Roman" w:hAnsi="Times New Roman"/>
          <w:b/>
          <w:noProof/>
          <w:sz w:val="24"/>
          <w:szCs w:val="24"/>
        </w:rPr>
        <w:t>obiettivi di Barcellona</w:t>
      </w:r>
      <w:r>
        <w:rPr>
          <w:rStyle w:val="FootnoteReference"/>
          <w:rFonts w:ascii="Times New Roman" w:hAnsi="Times New Roman" w:cs="Times New Roman"/>
          <w:noProof/>
          <w:sz w:val="24"/>
          <w:szCs w:val="24"/>
        </w:rPr>
        <w:footnoteReference w:id="65"/>
      </w:r>
      <w:r>
        <w:rPr>
          <w:rFonts w:ascii="Times New Roman" w:hAnsi="Times New Roman"/>
          <w:noProof/>
          <w:sz w:val="24"/>
          <w:szCs w:val="24"/>
        </w:rPr>
        <w:t xml:space="preserve"> </w:t>
      </w:r>
      <w:r>
        <w:rPr>
          <w:rFonts w:ascii="Times New Roman" w:hAnsi="Times New Roman"/>
          <w:b/>
          <w:noProof/>
          <w:sz w:val="24"/>
          <w:szCs w:val="24"/>
        </w:rPr>
        <w:t>per l'offerta di servizi di educazione e cura della prima infanzia</w:t>
      </w:r>
      <w:r>
        <w:rPr>
          <w:rFonts w:ascii="Times New Roman" w:hAnsi="Times New Roman"/>
          <w:noProof/>
          <w:sz w:val="24"/>
          <w:szCs w:val="24"/>
        </w:rPr>
        <w:t xml:space="preserve"> sono per lo più raggiunti, ma alcuni Stati membri sono in notevole ritardo.</w:t>
      </w:r>
      <w:r>
        <w:rPr>
          <w:noProof/>
          <w:sz w:val="24"/>
          <w:szCs w:val="24"/>
        </w:rPr>
        <w:t xml:space="preserve"> </w:t>
      </w:r>
      <w:r>
        <w:rPr>
          <w:rFonts w:ascii="Times New Roman" w:hAnsi="Times New Roman"/>
          <w:noProof/>
          <w:sz w:val="24"/>
          <w:szCs w:val="24"/>
        </w:rPr>
        <w:t>La Commissione proporrà pertanto di rivederli per garantire una loro ulteriore convergenza verso l'alto tra gli Stati membri per quanto riguarda l'educazione e la cura della prima infanzia.</w:t>
      </w:r>
      <w:r>
        <w:rPr>
          <w:noProof/>
          <w:sz w:val="24"/>
          <w:szCs w:val="24"/>
        </w:rPr>
        <w:t xml:space="preserve"> </w:t>
      </w:r>
      <w:r>
        <w:rPr>
          <w:rFonts w:ascii="Times New Roman" w:hAnsi="Times New Roman"/>
          <w:noProof/>
          <w:sz w:val="24"/>
          <w:szCs w:val="24"/>
        </w:rPr>
        <w:t xml:space="preserve">Inoltre, la proposta della Commissione riguardante una </w:t>
      </w:r>
      <w:r>
        <w:rPr>
          <w:rFonts w:ascii="Times New Roman" w:hAnsi="Times New Roman"/>
          <w:b/>
          <w:noProof/>
          <w:sz w:val="24"/>
          <w:szCs w:val="24"/>
        </w:rPr>
        <w:t>Garanzia per l'infanzia</w:t>
      </w:r>
      <w:r>
        <w:rPr>
          <w:rFonts w:ascii="Times New Roman" w:hAnsi="Times New Roman"/>
          <w:noProof/>
          <w:sz w:val="24"/>
          <w:szCs w:val="24"/>
        </w:rPr>
        <w:t xml:space="preserve"> nel 2021 si incentrerà sugli ostacoli più significativi che impediscono ai minori di accedere ai servizi necessari per il loro benessere e per il loro sviluppo personale, allo scopo di spezzare il ciclo della povertà e ridurre le disuguaglianze.</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La Commissione continuerà a sostenere </w:t>
      </w:r>
      <w:r>
        <w:rPr>
          <w:rFonts w:ascii="Times New Roman" w:hAnsi="Times New Roman"/>
          <w:b/>
          <w:noProof/>
          <w:sz w:val="24"/>
          <w:szCs w:val="24"/>
        </w:rPr>
        <w:t>gli Stati membri nel migliorare la disponibilità di servizi assistenziali di qualità ed economicamente accessibili</w:t>
      </w:r>
      <w:r>
        <w:rPr>
          <w:rFonts w:ascii="Times New Roman" w:hAnsi="Times New Roman"/>
          <w:noProof/>
          <w:sz w:val="24"/>
          <w:szCs w:val="24"/>
        </w:rPr>
        <w:t xml:space="preserve"> per i minori e per le altre persone a carico, mediante investimenti provenienti dal Fondo sociale europeo Plus, dal Fondo europeo di sviluppo regionale, dal programma InvestEU e dal Fondo europeo agricolo per lo sviluppo rurale.</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Alla fine del 2020 la Commissione avvierà una consultazione per un </w:t>
      </w:r>
      <w:r>
        <w:rPr>
          <w:rFonts w:ascii="Times New Roman" w:hAnsi="Times New Roman"/>
          <w:b/>
          <w:noProof/>
          <w:sz w:val="24"/>
          <w:szCs w:val="24"/>
        </w:rPr>
        <w:t>Libro verde sull'invecchiamento</w:t>
      </w:r>
      <w:r>
        <w:rPr>
          <w:rFonts w:ascii="Times New Roman" w:hAnsi="Times New Roman"/>
          <w:noProof/>
          <w:sz w:val="24"/>
          <w:szCs w:val="24"/>
        </w:rPr>
        <w:t>, in cui si occuperà essenzialmente di assistenza a lungo termine, pensioni e invecchiamento attivo.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spacing w:before="120" w:line="100" w:lineRule="atLeast"/>
              <w:jc w:val="both"/>
              <w:rPr>
                <w:rFonts w:ascii="Times New Roman" w:hAnsi="Times New Roman" w:cs="Times New Roman"/>
                <w:b/>
                <w:noProof/>
                <w:sz w:val="24"/>
                <w:szCs w:val="24"/>
              </w:rPr>
            </w:pPr>
            <w:r>
              <w:rPr>
                <w:rFonts w:ascii="Times New Roman" w:hAnsi="Times New Roman"/>
                <w:b/>
                <w:noProof/>
                <w:sz w:val="24"/>
                <w:szCs w:val="24"/>
              </w:rPr>
              <w:t>Oltre a prevedere le azioni sopra elencate, la Commissione invita gli Stati membri:</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a recepire la direttiva sull'equilibrio tra attività professionale e vita familiare e ad attuare correttamente la legislazione dell'UE sulla parità di genere e il lavoro</w:t>
            </w:r>
            <w:r>
              <w:rPr>
                <w:rStyle w:val="FootnoteReference"/>
                <w:rFonts w:ascii="Times New Roman" w:hAnsi="Times New Roman" w:cs="Times New Roman"/>
                <w:noProof/>
                <w:sz w:val="24"/>
                <w:szCs w:val="24"/>
              </w:rPr>
              <w:footnoteReference w:id="66"/>
            </w:r>
            <w:r>
              <w:rPr>
                <w:rFonts w:ascii="Times New Roman" w:hAnsi="Times New Roman"/>
                <w:noProof/>
                <w:sz w:val="24"/>
                <w:szCs w:val="24"/>
              </w:rPr>
              <w:t>;</w:t>
            </w:r>
          </w:p>
          <w:p>
            <w:pPr>
              <w:pStyle w:val="ListParagraph"/>
              <w:numPr>
                <w:ilvl w:val="0"/>
                <w:numId w:val="54"/>
              </w:numPr>
              <w:spacing w:after="120"/>
              <w:jc w:val="both"/>
              <w:rPr>
                <w:i/>
                <w:noProof/>
                <w:sz w:val="24"/>
                <w:szCs w:val="24"/>
              </w:rPr>
            </w:pPr>
            <w:r>
              <w:rPr>
                <w:rFonts w:ascii="Times New Roman" w:hAnsi="Times New Roman"/>
                <w:noProof/>
                <w:sz w:val="24"/>
                <w:szCs w:val="24"/>
              </w:rPr>
              <w:t>a dare un seguito alle conclusioni del Consiglio del giugno 2019 "</w:t>
            </w:r>
            <w:r>
              <w:rPr>
                <w:rFonts w:ascii="Times New Roman" w:hAnsi="Times New Roman"/>
                <w:bCs/>
                <w:noProof/>
                <w:sz w:val="24"/>
                <w:szCs w:val="24"/>
              </w:rPr>
              <w:t>Colmare il divario retributivo di genere: politiche e misure fondamentali"</w:t>
            </w:r>
            <w:r>
              <w:rPr>
                <w:rFonts w:ascii="Times New Roman" w:hAnsi="Times New Roman"/>
                <w:noProof/>
                <w:sz w:val="24"/>
                <w:szCs w:val="24"/>
              </w:rPr>
              <w:t>;</w:t>
            </w:r>
          </w:p>
          <w:p>
            <w:pPr>
              <w:pStyle w:val="ListParagraph"/>
              <w:numPr>
                <w:ilvl w:val="0"/>
                <w:numId w:val="54"/>
              </w:numPr>
              <w:spacing w:after="120"/>
              <w:jc w:val="both"/>
              <w:rPr>
                <w:i/>
                <w:noProof/>
                <w:sz w:val="24"/>
                <w:szCs w:val="24"/>
              </w:rPr>
            </w:pPr>
            <w:r>
              <w:rPr>
                <w:rFonts w:ascii="Times New Roman" w:hAnsi="Times New Roman"/>
                <w:noProof/>
                <w:sz w:val="24"/>
                <w:szCs w:val="24"/>
              </w:rPr>
              <w:t xml:space="preserve">a garantire investimenti adeguati nei servizi di educazione della prima infanzia e nei servizi di assistenza, anche a lungo termine, con i finanziamenti disponibili dell'UE; e </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ad attuare la dichiarazione ministeriale di impegno sulle "donne nel digitale".</w:t>
            </w:r>
          </w:p>
          <w:p>
            <w:pPr>
              <w:pStyle w:val="ListParagraph"/>
              <w:spacing w:after="120"/>
              <w:jc w:val="both"/>
              <w:rPr>
                <w:rFonts w:ascii="Times New Roman" w:hAnsi="Times New Roman" w:cs="Times New Roman"/>
                <w:noProof/>
                <w:sz w:val="24"/>
                <w:szCs w:val="24"/>
              </w:rPr>
            </w:pPr>
          </w:p>
        </w:tc>
      </w:tr>
    </w:tbl>
    <w:p>
      <w:pPr>
        <w:spacing w:line="100" w:lineRule="atLeast"/>
        <w:jc w:val="both"/>
        <w:rPr>
          <w:rFonts w:ascii="Times New Roman" w:hAnsi="Times New Roman" w:cs="Times New Roman"/>
          <w:b/>
          <w:bCs/>
          <w:noProof/>
          <w:sz w:val="24"/>
          <w:szCs w:val="24"/>
        </w:rPr>
      </w:pPr>
      <w:r>
        <w:rPr>
          <w:rFonts w:ascii="Times New Roman" w:hAnsi="Times New Roman"/>
          <w:b/>
          <w:bCs/>
          <w:noProof/>
          <w:sz w:val="24"/>
          <w:szCs w:val="24"/>
        </w:rPr>
        <w:t xml:space="preserve">3. </w:t>
      </w:r>
      <w:r>
        <w:rPr>
          <w:rFonts w:ascii="Times New Roman" w:hAnsi="Times New Roman"/>
          <w:b/>
          <w:bCs/>
          <w:noProof/>
          <w:sz w:val="24"/>
          <w:szCs w:val="24"/>
        </w:rPr>
        <w:tab/>
        <w:t>Svolgere in pari misura ruoli dirigenziali nella società</w:t>
      </w:r>
    </w:p>
    <w:p>
      <w:pPr>
        <w:spacing w:line="100" w:lineRule="atLeast"/>
        <w:jc w:val="both"/>
        <w:rPr>
          <w:rFonts w:ascii="Times New Roman" w:hAnsi="Times New Roman" w:cs="Times New Roman"/>
          <w:noProof/>
          <w:sz w:val="24"/>
          <w:szCs w:val="24"/>
        </w:rPr>
      </w:pPr>
      <w:r>
        <w:rPr>
          <w:rFonts w:ascii="Times New Roman" w:hAnsi="Times New Roman"/>
          <w:i/>
          <w:noProof/>
          <w:sz w:val="24"/>
          <w:szCs w:val="24"/>
        </w:rPr>
        <w:t xml:space="preserve">Le imprese, le comunità e gli Stati dovrebbero essere guidati sia dalle donne che dagli uomini, in tutta la loro diversità. Il fatto di essere donna o uomo non dovrebbe influire sulla carriera che si intraprende. </w:t>
      </w:r>
    </w:p>
    <w:p>
      <w:pPr>
        <w:spacing w:line="100" w:lineRule="atLeast"/>
        <w:jc w:val="both"/>
        <w:rPr>
          <w:rFonts w:ascii="Times New Roman" w:hAnsi="Times New Roman" w:cs="Times New Roman"/>
          <w:b/>
          <w:i/>
          <w:noProof/>
          <w:sz w:val="24"/>
          <w:szCs w:val="24"/>
        </w:rPr>
      </w:pPr>
      <w:r>
        <w:rPr>
          <w:rFonts w:ascii="Times New Roman" w:hAnsi="Times New Roman"/>
          <w:b/>
          <w:i/>
          <w:noProof/>
          <w:sz w:val="24"/>
          <w:szCs w:val="24"/>
        </w:rPr>
        <w:t>Conseguire la parità di genere a livello decisionale e politico</w:t>
      </w:r>
    </w:p>
    <w:p>
      <w:pPr>
        <w:spacing w:line="100" w:lineRule="atLeast"/>
        <w:jc w:val="both"/>
        <w:rPr>
          <w:rFonts w:ascii="Times New Roman" w:hAnsi="Times New Roman" w:cs="Times New Roman"/>
          <w:b/>
          <w:noProof/>
          <w:sz w:val="24"/>
          <w:szCs w:val="24"/>
        </w:rPr>
      </w:pPr>
      <w:r>
        <w:rPr>
          <w:rFonts w:ascii="Times New Roman" w:hAnsi="Times New Roman"/>
          <w:noProof/>
          <w:sz w:val="24"/>
          <w:szCs w:val="24"/>
        </w:rPr>
        <w:t>Le donne che occupano posizioni dirigenziali, che si tratti di politica o di agenzie governative, dei più alti organi giurisdizionali o dei consigli di amministrazione, sono ancora troppo poche, anche se, a livelli più bassi, la parità di genere si è in realtà affermata. Il fatto che posti di vertice siano occupati esclusivamente da uomini per lungo tempo influisce sulle successive modalità di assunzione, talvolta solo per pregiudizi inconsapevoli.</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Per una buona leadership è fondamentale la presenza sia delle donne che degli uomini. </w:t>
      </w:r>
      <w:r>
        <w:rPr>
          <w:rFonts w:ascii="Times New Roman" w:hAnsi="Times New Roman"/>
          <w:b/>
          <w:noProof/>
          <w:sz w:val="24"/>
          <w:szCs w:val="24"/>
        </w:rPr>
        <w:t>Per rispondere alle sfide complesse che i responsabili politici si trovano oggi ad affrontare è necessaria una leadership inclusiva ed eterogenea</w:t>
      </w:r>
      <w:r>
        <w:rPr>
          <w:rFonts w:ascii="Times New Roman" w:hAnsi="Times New Roman"/>
          <w:noProof/>
          <w:sz w:val="24"/>
          <w:szCs w:val="24"/>
        </w:rPr>
        <w:t>. Una maggior inclusione e una maggior eterogeneità sono essenziali per portare avanti idee nuove e strategie innovative in grado di rispondere meglio a una società europea dinamica e fiorente. Permettere a cittadini di qualunque estrazione di partecipare in modo proficuo alla società è una condizione preliminare per il buon funzionamento della democrazia e rende più efficace l'elaborazione delle politiche</w:t>
      </w:r>
      <w:r>
        <w:rPr>
          <w:rStyle w:val="FootnoteReference"/>
          <w:rFonts w:ascii="Times New Roman" w:hAnsi="Times New Roman" w:cs="Times New Roman"/>
          <w:noProof/>
          <w:sz w:val="24"/>
          <w:szCs w:val="24"/>
        </w:rPr>
        <w:footnoteReference w:id="67"/>
      </w:r>
      <w:r>
        <w:rPr>
          <w:rFonts w:ascii="Times New Roman" w:hAnsi="Times New Roman"/>
          <w:noProof/>
          <w:sz w:val="24"/>
          <w:szCs w:val="24"/>
        </w:rPr>
        <w:t>.</w:t>
      </w:r>
    </w:p>
    <w:p>
      <w:pPr>
        <w:spacing w:line="100" w:lineRule="atLeast"/>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9450" cy="857006"/>
            <wp:effectExtent l="0" t="0" r="0" b="635"/>
            <wp:docPr id="17" name="Picture 17" descr="C:\Users\signoem\AppData\Local\Temp\1\7zO411E3386\IT_gender-balance-poli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gnoem\AppData\Local\Temp\1\7zO411E3386\IT_gender-balance-politic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857006"/>
                    </a:xfrm>
                    <a:prstGeom prst="rect">
                      <a:avLst/>
                    </a:prstGeom>
                    <a:noFill/>
                    <a:ln>
                      <a:noFill/>
                    </a:ln>
                  </pic:spPr>
                </pic:pic>
              </a:graphicData>
            </a:graphic>
          </wp:inline>
        </w:drawing>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Disporre di un ampio ventaglio di talenti e competenze contribuisce a migliorare il processo decisionale e la governance societaria e stimola la crescita economica</w:t>
      </w:r>
      <w:r>
        <w:rPr>
          <w:rFonts w:ascii="Times New Roman" w:hAnsi="Times New Roman" w:cs="Times New Roman"/>
          <w:noProof/>
          <w:sz w:val="24"/>
          <w:szCs w:val="24"/>
          <w:vertAlign w:val="superscript"/>
        </w:rPr>
        <w:footnoteReference w:id="68"/>
      </w:r>
      <w:r>
        <w:rPr>
          <w:rFonts w:ascii="Times New Roman" w:hAnsi="Times New Roman"/>
          <w:noProof/>
          <w:sz w:val="24"/>
          <w:szCs w:val="24"/>
        </w:rPr>
        <w:t>.</w:t>
      </w:r>
      <w:r>
        <w:rPr>
          <w:noProof/>
          <w:sz w:val="24"/>
          <w:szCs w:val="24"/>
        </w:rPr>
        <w:t xml:space="preserve"> </w:t>
      </w:r>
      <w:r>
        <w:rPr>
          <w:rFonts w:ascii="Times New Roman" w:hAnsi="Times New Roman"/>
          <w:noProof/>
          <w:sz w:val="24"/>
          <w:szCs w:val="24"/>
        </w:rPr>
        <w:t>Nonostante alcuni progressi compiuti negli ultimi anni, le donne sono ancora sottorappresentate nelle posizioni dirigenziali delle imprese e delle industrie europee</w:t>
      </w:r>
      <w:r>
        <w:rPr>
          <w:rStyle w:val="FootnoteReference"/>
          <w:rFonts w:ascii="Times New Roman" w:hAnsi="Times New Roman" w:cs="Times New Roman"/>
          <w:noProof/>
          <w:sz w:val="24"/>
          <w:szCs w:val="24"/>
        </w:rPr>
        <w:footnoteReference w:id="69"/>
      </w:r>
      <w:r>
        <w:rPr>
          <w:noProof/>
          <w:sz w:val="24"/>
          <w:szCs w:val="24"/>
        </w:rPr>
        <w:t>.</w:t>
      </w:r>
      <w:r>
        <w:rPr>
          <w:rFonts w:ascii="Times New Roman" w:hAnsi="Times New Roman"/>
          <w:noProof/>
          <w:sz w:val="24"/>
          <w:szCs w:val="24"/>
        </w:rPr>
        <w:t xml:space="preserve">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Per contribuire a rompere il soffitto di cristallo, la Commissione insisterà per l'adozione della proposta di </w:t>
      </w:r>
      <w:r>
        <w:rPr>
          <w:rFonts w:ascii="Times New Roman" w:hAnsi="Times New Roman"/>
          <w:b/>
          <w:noProof/>
          <w:sz w:val="24"/>
          <w:szCs w:val="24"/>
        </w:rPr>
        <w:t>direttiva</w:t>
      </w:r>
      <w:r>
        <w:rPr>
          <w:rFonts w:ascii="Times New Roman" w:hAnsi="Times New Roman"/>
          <w:noProof/>
          <w:sz w:val="24"/>
          <w:szCs w:val="24"/>
        </w:rPr>
        <w:t xml:space="preserve">, presentata nel 2012, </w:t>
      </w:r>
      <w:r>
        <w:rPr>
          <w:rFonts w:ascii="Times New Roman" w:hAnsi="Times New Roman"/>
          <w:b/>
          <w:noProof/>
          <w:sz w:val="24"/>
          <w:szCs w:val="24"/>
        </w:rPr>
        <w:t>riguardante il miglioramento dell'equilibrio di genere nei consigli di amministrazione</w:t>
      </w:r>
      <w:r>
        <w:rPr>
          <w:rStyle w:val="FootnoteReference"/>
          <w:rFonts w:ascii="Times New Roman" w:hAnsi="Times New Roman" w:cs="Times New Roman"/>
          <w:noProof/>
          <w:sz w:val="24"/>
          <w:szCs w:val="24"/>
        </w:rPr>
        <w:footnoteReference w:id="70"/>
      </w:r>
      <w:r>
        <w:rPr>
          <w:rFonts w:ascii="Times New Roman" w:hAnsi="Times New Roman"/>
          <w:noProof/>
          <w:sz w:val="24"/>
          <w:szCs w:val="24"/>
        </w:rPr>
        <w:t>, che ha fissato l'obiettivo minimo del 40 % di presenza del sesso sottorappresentato fra i membri senza incarichi esecutivi nei consigli di amministrazione</w:t>
      </w:r>
      <w:r>
        <w:rPr>
          <w:rStyle w:val="FootnoteReference"/>
          <w:rFonts w:ascii="Times New Roman" w:hAnsi="Times New Roman" w:cs="Times New Roman"/>
          <w:noProof/>
          <w:sz w:val="24"/>
          <w:szCs w:val="24"/>
        </w:rPr>
        <w:footnoteReference w:id="71"/>
      </w:r>
      <w:r>
        <w:rPr>
          <w:rFonts w:ascii="Times New Roman" w:hAnsi="Times New Roman"/>
          <w:noProof/>
          <w:sz w:val="24"/>
          <w:szCs w:val="24"/>
        </w:rPr>
        <w:t>.</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Parallelamente, la Commissione faciliterà lo scambio di buone pratiche riguardanti l'equilibrio di genere nei consigli di amministrazione e nelle posizioni dirigenziali, raccogliendo esempi di progetti nazionali o regionali gestiti da governi, società civile o settore privato. La </w:t>
      </w:r>
      <w:r>
        <w:rPr>
          <w:rFonts w:ascii="Times New Roman" w:hAnsi="Times New Roman"/>
          <w:b/>
          <w:noProof/>
          <w:sz w:val="24"/>
          <w:szCs w:val="24"/>
        </w:rPr>
        <w:t>piattaforma europea delle carte della diversità</w:t>
      </w:r>
      <w:r>
        <w:rPr>
          <w:rFonts w:ascii="Times New Roman" w:hAnsi="Times New Roman" w:cs="Times New Roman"/>
          <w:noProof/>
          <w:sz w:val="24"/>
          <w:szCs w:val="24"/>
          <w:vertAlign w:val="superscript"/>
        </w:rPr>
        <w:footnoteReference w:id="72"/>
      </w:r>
      <w:r>
        <w:rPr>
          <w:rFonts w:ascii="Times New Roman" w:hAnsi="Times New Roman"/>
          <w:noProof/>
          <w:sz w:val="24"/>
          <w:szCs w:val="24"/>
        </w:rPr>
        <w:t xml:space="preserve"> servirà da piattaforma di scambio. La Commissione continuerà a collaborare con progetti a livello dell'UE, ad esempio l'Indice europeo della diversità di genere</w:t>
      </w:r>
      <w:r>
        <w:rPr>
          <w:rStyle w:val="FootnoteReference"/>
          <w:rFonts w:ascii="Times New Roman" w:hAnsi="Times New Roman" w:cs="Times New Roman"/>
          <w:noProof/>
          <w:sz w:val="24"/>
          <w:szCs w:val="24"/>
        </w:rPr>
        <w:footnoteReference w:id="73"/>
      </w:r>
      <w:r>
        <w:rPr>
          <w:rFonts w:ascii="Times New Roman" w:hAnsi="Times New Roman"/>
          <w:noProof/>
          <w:sz w:val="24"/>
          <w:szCs w:val="24"/>
        </w:rPr>
        <w:t xml:space="preserve">. </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Le pari opportunità nella partecipazione sono essenziali per la democrazia rappresentativa a tutti i livelli: europeo, nazionale, regionale e locale</w:t>
      </w:r>
      <w:r>
        <w:rPr>
          <w:rFonts w:ascii="Times New Roman" w:hAnsi="Times New Roman"/>
          <w:noProof/>
          <w:sz w:val="24"/>
          <w:szCs w:val="24"/>
        </w:rPr>
        <w:t xml:space="preserve">. La Commissione promuoverà la partecipazione delle donne come elettrici e candidate alle </w:t>
      </w:r>
      <w:r>
        <w:rPr>
          <w:rFonts w:ascii="Times New Roman" w:hAnsi="Times New Roman"/>
          <w:b/>
          <w:noProof/>
          <w:sz w:val="24"/>
          <w:szCs w:val="24"/>
        </w:rPr>
        <w:t>elezioni del Parlamento europeo del 2024</w:t>
      </w:r>
      <w:r>
        <w:rPr>
          <w:rFonts w:ascii="Times New Roman" w:hAnsi="Times New Roman"/>
          <w:noProof/>
          <w:sz w:val="24"/>
          <w:szCs w:val="24"/>
        </w:rPr>
        <w:t>, in collaborazione con il Parlamento europeo, i parlamenti nazionali e la società civile, anche attraverso il finanziamento e la promozione delle migliori pratiche. I partiti politici europei che chiedono finanziamenti dell'UE sono esortati a essere trasparenti in merito all'equilibrio di genere nelle loro compagini</w:t>
      </w:r>
      <w:r>
        <w:rPr>
          <w:rStyle w:val="FootnoteReference"/>
          <w:rFonts w:ascii="Times New Roman" w:hAnsi="Times New Roman" w:cs="Times New Roman"/>
          <w:noProof/>
          <w:sz w:val="24"/>
          <w:szCs w:val="24"/>
        </w:rPr>
        <w:footnoteReference w:id="74"/>
      </w:r>
      <w:r>
        <w:rPr>
          <w:rFonts w:ascii="Times New Roman" w:hAnsi="Times New Roman"/>
          <w:noProof/>
          <w:sz w:val="24"/>
          <w:szCs w:val="24"/>
        </w:rPr>
        <w:t xml:space="preserve">. </w:t>
      </w:r>
    </w:p>
    <w:p>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lang w:val="en-GB" w:eastAsia="en-GB"/>
        </w:rPr>
        <w:drawing>
          <wp:inline distT="0" distB="0" distL="0" distR="0">
            <wp:extent cx="5759450" cy="950853"/>
            <wp:effectExtent l="0" t="0" r="0" b="1905"/>
            <wp:docPr id="18" name="Picture 18" descr="C:\Users\signoem\AppData\Local\Temp\1\7zO41168B68\IT_commission-m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gnoem\AppData\Local\Temp\1\7zO41168B68\IT_commission-mep.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950853"/>
                    </a:xfrm>
                    <a:prstGeom prst="rect">
                      <a:avLst/>
                    </a:prstGeom>
                    <a:noFill/>
                    <a:ln>
                      <a:noFill/>
                    </a:ln>
                  </pic:spPr>
                </pic:pic>
              </a:graphicData>
            </a:graphic>
          </wp:inline>
        </w:drawing>
      </w:r>
    </w:p>
    <w:p>
      <w:pPr>
        <w:spacing w:after="0" w:line="240" w:lineRule="auto"/>
        <w:jc w:val="both"/>
        <w:rPr>
          <w:rFonts w:ascii="Times New Roman" w:hAnsi="Times New Roman" w:cs="Times New Roman"/>
          <w:b/>
          <w:noProof/>
          <w:sz w:val="24"/>
          <w:szCs w:val="24"/>
        </w:rPr>
      </w:pPr>
    </w:p>
    <w:p>
      <w:pPr>
        <w:spacing w:after="0" w:line="240" w:lineRule="auto"/>
        <w:jc w:val="both"/>
        <w:rPr>
          <w:rFonts w:ascii="Times New Roman" w:hAnsi="Times New Roman" w:cs="Times New Roman"/>
          <w:noProof/>
          <w:sz w:val="24"/>
          <w:szCs w:val="24"/>
        </w:rPr>
      </w:pPr>
      <w:r>
        <w:rPr>
          <w:rFonts w:ascii="Times New Roman" w:hAnsi="Times New Roman"/>
          <w:b/>
          <w:noProof/>
          <w:sz w:val="24"/>
          <w:szCs w:val="24"/>
        </w:rPr>
        <w:t>Le istituzioni e gli organi dell'UE non dovrebbero essere esonerati</w:t>
      </w:r>
      <w:r>
        <w:rPr>
          <w:rFonts w:ascii="Times New Roman" w:hAnsi="Times New Roman"/>
          <w:noProof/>
          <w:sz w:val="24"/>
          <w:szCs w:val="24"/>
        </w:rPr>
        <w:t xml:space="preserve"> dall'assicurare l'equilibrio di genere nelle posizioni dirigenziali. La Commissione darà l'esempio.</w:t>
      </w:r>
      <w:r>
        <w:rPr>
          <w:rFonts w:ascii="Times New Roman" w:hAnsi="Times New Roman"/>
          <w:b/>
          <w:noProof/>
          <w:sz w:val="24"/>
          <w:szCs w:val="24"/>
        </w:rPr>
        <w:t xml:space="preserve"> </w:t>
      </w:r>
      <w:r>
        <w:rPr>
          <w:rFonts w:ascii="Times New Roman" w:hAnsi="Times New Roman"/>
          <w:noProof/>
          <w:sz w:val="24"/>
          <w:szCs w:val="24"/>
        </w:rPr>
        <w:t xml:space="preserve">Grazie all'esortazione della presidente von der Leyen a conseguire la </w:t>
      </w:r>
      <w:r>
        <w:rPr>
          <w:rFonts w:ascii="Times New Roman" w:hAnsi="Times New Roman"/>
          <w:b/>
          <w:noProof/>
          <w:sz w:val="24"/>
          <w:szCs w:val="24"/>
        </w:rPr>
        <w:t>parità di genere all'interno del collegio dei commissari</w:t>
      </w:r>
      <w:r>
        <w:rPr>
          <w:rFonts w:ascii="Times New Roman" w:hAnsi="Times New Roman"/>
          <w:noProof/>
          <w:sz w:val="24"/>
          <w:szCs w:val="24"/>
        </w:rPr>
        <w:t xml:space="preserve">, quest'ultimo comprende oggi </w:t>
      </w:r>
      <w:r>
        <w:rPr>
          <w:rFonts w:ascii="Times New Roman" w:hAnsi="Times New Roman"/>
          <w:bCs/>
          <w:noProof/>
          <w:sz w:val="24"/>
          <w:szCs w:val="24"/>
        </w:rPr>
        <w:t>il numero più elevato</w:t>
      </w:r>
      <w:r>
        <w:rPr>
          <w:rFonts w:ascii="Times New Roman" w:hAnsi="Times New Roman"/>
          <w:noProof/>
          <w:sz w:val="24"/>
          <w:szCs w:val="24"/>
        </w:rPr>
        <w:t xml:space="preserve"> di commissarie nella storia dell'UE. La Commissione intende raggiungere un </w:t>
      </w:r>
      <w:r>
        <w:rPr>
          <w:rFonts w:ascii="Times New Roman" w:hAnsi="Times New Roman"/>
          <w:b/>
          <w:bCs/>
          <w:noProof/>
          <w:sz w:val="24"/>
          <w:szCs w:val="24"/>
        </w:rPr>
        <w:t>equilibrio di genere del 50 %</w:t>
      </w:r>
      <w:r>
        <w:rPr>
          <w:rFonts w:ascii="Times New Roman" w:hAnsi="Times New Roman"/>
          <w:noProof/>
          <w:sz w:val="24"/>
          <w:szCs w:val="24"/>
        </w:rPr>
        <w:t xml:space="preserve"> a tutti i livelli dirigenziali del suo personale entro la fine del 2024</w:t>
      </w:r>
      <w:r>
        <w:rPr>
          <w:rStyle w:val="FootnoteReference"/>
          <w:rFonts w:ascii="Times New Roman" w:hAnsi="Times New Roman" w:cs="Times New Roman"/>
          <w:noProof/>
          <w:sz w:val="24"/>
          <w:szCs w:val="24"/>
        </w:rPr>
        <w:footnoteReference w:id="75"/>
      </w:r>
      <w:r>
        <w:rPr>
          <w:rFonts w:ascii="Times New Roman" w:hAnsi="Times New Roman"/>
          <w:noProof/>
          <w:sz w:val="24"/>
          <w:szCs w:val="24"/>
        </w:rPr>
        <w:t>. Le misure di sostegno comprenderanno obiettivi quantitativi per la nomina di donne e programmi di sviluppo della leadership</w:t>
      </w:r>
      <w:r>
        <w:rPr>
          <w:rStyle w:val="FootnoteReference"/>
          <w:rFonts w:ascii="Times New Roman" w:hAnsi="Times New Roman" w:cs="Times New Roman"/>
          <w:noProof/>
          <w:sz w:val="24"/>
          <w:szCs w:val="24"/>
        </w:rPr>
        <w:footnoteReference w:id="76"/>
      </w:r>
      <w:r>
        <w:rPr>
          <w:rFonts w:ascii="Times New Roman" w:hAnsi="Times New Roman"/>
          <w:noProof/>
          <w:sz w:val="24"/>
          <w:szCs w:val="24"/>
        </w:rPr>
        <w:t xml:space="preserve">. La Commissione, inoltre, si adopererà maggiormente per garantire la presenza di una percentuale maggiore di </w:t>
      </w:r>
      <w:r>
        <w:rPr>
          <w:rFonts w:ascii="Times New Roman" w:hAnsi="Times New Roman"/>
          <w:b/>
          <w:noProof/>
          <w:sz w:val="24"/>
          <w:szCs w:val="24"/>
        </w:rPr>
        <w:t>donne nei ruoli dirigenziali all'interno delle agenzie dell'UE</w:t>
      </w:r>
      <w:r>
        <w:rPr>
          <w:rStyle w:val="FootnoteReference"/>
          <w:rFonts w:ascii="Times New Roman" w:hAnsi="Times New Roman" w:cs="Times New Roman"/>
          <w:noProof/>
          <w:sz w:val="24"/>
          <w:szCs w:val="24"/>
        </w:rPr>
        <w:footnoteReference w:id="77"/>
      </w:r>
      <w:r>
        <w:rPr>
          <w:rFonts w:ascii="Times New Roman" w:hAnsi="Times New Roman"/>
          <w:noProof/>
          <w:sz w:val="24"/>
          <w:szCs w:val="24"/>
        </w:rPr>
        <w:t xml:space="preserve"> e assicurerà una rappresentanza equilibrata dal punto di vista del genere tra gli oratori e gli esperti nelle conferenze che organizzerà. </w:t>
      </w:r>
    </w:p>
    <w:p>
      <w:pPr>
        <w:spacing w:after="0" w:line="240" w:lineRule="auto"/>
        <w:jc w:val="both"/>
        <w:rPr>
          <w:rFonts w:ascii="Times New Roman" w:hAnsi="Times New Roman" w:cs="Times New Roman"/>
          <w:noProof/>
          <w:sz w:val="24"/>
          <w:szCs w:val="24"/>
        </w:rPr>
      </w:pP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La Commissione sosterrà gli Stati membri nel definire e attuare </w:t>
      </w:r>
      <w:r>
        <w:rPr>
          <w:rFonts w:ascii="Times New Roman" w:hAnsi="Times New Roman"/>
          <w:b/>
          <w:noProof/>
          <w:sz w:val="24"/>
          <w:szCs w:val="24"/>
        </w:rPr>
        <w:t>strategie più efficaci miranti ad aumentare il numero delle donne presenti nelle posizioni dirigenziali</w:t>
      </w:r>
      <w:r>
        <w:rPr>
          <w:rFonts w:ascii="Times New Roman" w:hAnsi="Times New Roman"/>
          <w:noProof/>
          <w:sz w:val="24"/>
          <w:szCs w:val="24"/>
        </w:rPr>
        <w:t>, anche attraverso il programma di apprendimento reciproco in materia di parità di genere</w:t>
      </w:r>
      <w:r>
        <w:rPr>
          <w:rStyle w:val="FootnoteReference"/>
          <w:rFonts w:ascii="Times New Roman" w:hAnsi="Times New Roman" w:cs="Times New Roman"/>
          <w:noProof/>
          <w:sz w:val="24"/>
          <w:szCs w:val="24"/>
        </w:rPr>
        <w:footnoteReference w:id="78"/>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Essa inoltre </w:t>
      </w:r>
      <w:r>
        <w:rPr>
          <w:rFonts w:ascii="Times New Roman" w:hAnsi="Times New Roman"/>
          <w:b/>
          <w:noProof/>
          <w:sz w:val="24"/>
          <w:szCs w:val="24"/>
        </w:rPr>
        <w:t>divulgherà dati e analisi riguardanti le tendenze sulla rappresentanza di donne e uomini nelle posizioni dirigenziali</w:t>
      </w:r>
      <w:r>
        <w:rPr>
          <w:rFonts w:ascii="Times New Roman" w:hAnsi="Times New Roman"/>
          <w:noProof/>
          <w:sz w:val="24"/>
          <w:szCs w:val="24"/>
        </w:rPr>
        <w:t>, in collaborazione con l'Istituto europeo per l'uguaglianza di genere (EIGE).</w:t>
      </w:r>
    </w:p>
    <w:p>
      <w:pPr>
        <w:rPr>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tc>
          <w:tcPr>
            <w:tcW w:w="9212" w:type="dxa"/>
          </w:tcPr>
          <w:p>
            <w:pPr>
              <w:pStyle w:val="ListParagraph"/>
              <w:spacing w:after="120"/>
              <w:ind w:left="0"/>
              <w:jc w:val="both"/>
              <w:rPr>
                <w:rFonts w:ascii="Times New Roman" w:hAnsi="Times New Roman" w:cs="Times New Roman"/>
                <w:b/>
                <w:noProof/>
                <w:sz w:val="24"/>
                <w:szCs w:val="24"/>
              </w:rPr>
            </w:pPr>
            <w:r>
              <w:rPr>
                <w:rFonts w:ascii="Times New Roman" w:hAnsi="Times New Roman"/>
                <w:b/>
                <w:noProof/>
                <w:sz w:val="24"/>
                <w:szCs w:val="24"/>
              </w:rPr>
              <w:t xml:space="preserve">Oltre a prevedere le azioni sopra elencate, la Commissione invita: </w:t>
            </w:r>
          </w:p>
          <w:p>
            <w:pPr>
              <w:pStyle w:val="ListParagraph"/>
              <w:spacing w:after="120"/>
              <w:ind w:left="0"/>
              <w:jc w:val="both"/>
              <w:rPr>
                <w:rFonts w:ascii="Times New Roman" w:hAnsi="Times New Roman" w:cs="Times New Roman"/>
                <w:b/>
                <w:noProof/>
                <w:sz w:val="24"/>
                <w:szCs w:val="24"/>
              </w:rPr>
            </w:pPr>
          </w:p>
          <w:p>
            <w:pPr>
              <w:pStyle w:val="ListParagraph"/>
              <w:numPr>
                <w:ilvl w:val="0"/>
                <w:numId w:val="91"/>
              </w:numPr>
              <w:spacing w:before="120" w:line="100" w:lineRule="atLeast"/>
              <w:jc w:val="both"/>
              <w:rPr>
                <w:rFonts w:ascii="Times New Roman" w:hAnsi="Times New Roman" w:cs="Times New Roman"/>
                <w:b/>
                <w:noProof/>
                <w:sz w:val="24"/>
                <w:szCs w:val="24"/>
              </w:rPr>
            </w:pPr>
            <w:r>
              <w:rPr>
                <w:rFonts w:ascii="Times New Roman" w:hAnsi="Times New Roman"/>
                <w:b/>
                <w:noProof/>
                <w:sz w:val="24"/>
                <w:szCs w:val="24"/>
              </w:rPr>
              <w:t xml:space="preserve">il Parlamento europeo e il Consiglio: </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ad adottare la proposta di direttiva riguardante il miglioramento dell'equilibrio di genere nei consigli di amministrazione; e</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ad adottare misure volte a migliorare l'equilibrio di genere a tutti i livelli della loro dirigenza e nelle posizioni di vertice;</w:t>
            </w:r>
          </w:p>
          <w:p>
            <w:pPr>
              <w:pStyle w:val="ListParagraph"/>
              <w:spacing w:after="120"/>
              <w:jc w:val="both"/>
              <w:rPr>
                <w:rFonts w:ascii="Times New Roman" w:hAnsi="Times New Roman" w:cs="Times New Roman"/>
                <w:noProof/>
                <w:sz w:val="24"/>
                <w:szCs w:val="24"/>
              </w:rPr>
            </w:pPr>
          </w:p>
          <w:p>
            <w:pPr>
              <w:pStyle w:val="ListParagraph"/>
              <w:numPr>
                <w:ilvl w:val="0"/>
                <w:numId w:val="91"/>
              </w:numPr>
              <w:spacing w:before="120" w:line="100" w:lineRule="atLeast"/>
              <w:jc w:val="both"/>
              <w:rPr>
                <w:rFonts w:ascii="Times New Roman" w:hAnsi="Times New Roman" w:cs="Times New Roman"/>
                <w:noProof/>
                <w:sz w:val="24"/>
                <w:szCs w:val="24"/>
              </w:rPr>
            </w:pPr>
            <w:r>
              <w:rPr>
                <w:rFonts w:ascii="Times New Roman" w:hAnsi="Times New Roman"/>
                <w:b/>
                <w:noProof/>
                <w:sz w:val="24"/>
                <w:szCs w:val="24"/>
              </w:rPr>
              <w:t>gli Stati membri:</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 xml:space="preserve">a recepire ed attuare la direttiva riguardante il miglioramento dell'equilibrio di genere nei consigli di amministrazione, una volta adottata; e </w:t>
            </w:r>
          </w:p>
          <w:p>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a definire ed attuare strategie volte ad aumentare la presenza delle donne nelle posizioni dirigenziali in politica e nei processi di elaborazione delle politiche.</w:t>
            </w:r>
          </w:p>
          <w:p>
            <w:pPr>
              <w:pStyle w:val="ListParagraph"/>
              <w:spacing w:after="120"/>
              <w:jc w:val="both"/>
              <w:rPr>
                <w:noProof/>
                <w:sz w:val="24"/>
                <w:szCs w:val="24"/>
              </w:rPr>
            </w:pPr>
          </w:p>
        </w:tc>
      </w:tr>
    </w:tbl>
    <w:p>
      <w:pPr>
        <w:spacing w:line="100" w:lineRule="atLeast"/>
        <w:ind w:left="709" w:hanging="709"/>
        <w:jc w:val="both"/>
        <w:rPr>
          <w:rFonts w:ascii="Times New Roman" w:hAnsi="Times New Roman" w:cs="Times New Roman"/>
          <w:b/>
          <w:noProof/>
          <w:sz w:val="24"/>
          <w:szCs w:val="24"/>
        </w:rPr>
      </w:pPr>
      <w:r>
        <w:rPr>
          <w:rFonts w:ascii="Times New Roman" w:hAnsi="Times New Roman"/>
          <w:b/>
          <w:noProof/>
          <w:sz w:val="24"/>
          <w:szCs w:val="24"/>
        </w:rPr>
        <w:t xml:space="preserve">4. </w:t>
      </w:r>
      <w:r>
        <w:rPr>
          <w:rFonts w:ascii="Times New Roman" w:hAnsi="Times New Roman"/>
          <w:b/>
          <w:noProof/>
          <w:sz w:val="24"/>
          <w:szCs w:val="24"/>
        </w:rPr>
        <w:tab/>
        <w:t>Integrare la dimensione di genere e promuovere una prospettiva intersezionale nelle politiche dell'UE</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Le sfide principali che l'UE si trova oggi ad affrontare – tra cui le transizioni verde e digitale e il cambiamento demografico – hanno tutte una dimensione di genere</w:t>
      </w:r>
      <w:r>
        <w:rPr>
          <w:rFonts w:ascii="Times New Roman" w:hAnsi="Times New Roman"/>
          <w:noProof/>
          <w:sz w:val="24"/>
          <w:szCs w:val="24"/>
        </w:rPr>
        <w:t>. L'inclusione di una prospettiva di genere in tutte le politiche e i processi dell'UE è essenziale per raggiungere l'obiettivo della parità di genere.</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Integrare la dimensione di genere garantisce che le politiche e i programmi massimizzino il potenziale di tutti – donne e uomini, ragazze e ragazzi, in tutta la loro diversità. L'obiettivo è ridistribuire il potere, la capacità d'influenza e le risorse in modo equo e basato sulla parità uomo-donna, lottando contro le disuguaglianze, promuovendo l'equità e creando opportunità.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La Commissione </w:t>
      </w:r>
      <w:r>
        <w:rPr>
          <w:rFonts w:ascii="Times New Roman" w:hAnsi="Times New Roman"/>
          <w:b/>
          <w:noProof/>
          <w:sz w:val="24"/>
          <w:szCs w:val="24"/>
        </w:rPr>
        <w:t>integrerà la prospettiva di genere in tutte le sue principali iniziative nel corso dell'attuale mandato</w:t>
      </w:r>
      <w:r>
        <w:rPr>
          <w:rFonts w:ascii="Times New Roman" w:hAnsi="Times New Roman"/>
          <w:noProof/>
          <w:sz w:val="24"/>
          <w:szCs w:val="24"/>
        </w:rPr>
        <w:t xml:space="preserve">, agevolata dalla nomina della prima commissaria per l'Uguaglianza, con portafoglio autonomo, e creando una </w:t>
      </w:r>
      <w:r>
        <w:rPr>
          <w:rFonts w:ascii="Times New Roman" w:hAnsi="Times New Roman"/>
          <w:b/>
          <w:noProof/>
          <w:sz w:val="24"/>
          <w:szCs w:val="24"/>
        </w:rPr>
        <w:t>task force per la parità</w:t>
      </w:r>
      <w:r>
        <w:rPr>
          <w:rStyle w:val="FootnoteReference"/>
          <w:rFonts w:ascii="Times New Roman" w:hAnsi="Times New Roman" w:cs="Times New Roman"/>
          <w:noProof/>
          <w:sz w:val="24"/>
          <w:szCs w:val="24"/>
        </w:rPr>
        <w:footnoteReference w:id="79"/>
      </w:r>
      <w:r>
        <w:rPr>
          <w:rFonts w:ascii="Times New Roman" w:hAnsi="Times New Roman"/>
          <w:noProof/>
          <w:sz w:val="24"/>
          <w:szCs w:val="24"/>
        </w:rPr>
        <w:t xml:space="preserve"> composta da rappresentanti di tutti i suoi servizi e del Servizio europeo per l'azione esterna, che garantirà l'attuazione, a livello sia operativo che tecnico, dell'integrazione della dimensione paritaria, compresa la parità di genere.</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Ad esempio, le prossime azioni previste nel quadro del </w:t>
      </w:r>
      <w:r>
        <w:rPr>
          <w:rFonts w:ascii="Times New Roman" w:hAnsi="Times New Roman"/>
          <w:b/>
          <w:noProof/>
          <w:sz w:val="24"/>
          <w:szCs w:val="24"/>
        </w:rPr>
        <w:t>Green Deal europeo</w:t>
      </w:r>
      <w:r>
        <w:rPr>
          <w:rFonts w:ascii="Times New Roman" w:hAnsi="Times New Roman"/>
          <w:noProof/>
          <w:sz w:val="24"/>
          <w:szCs w:val="24"/>
        </w:rPr>
        <w:t>, quali</w:t>
      </w:r>
      <w:r>
        <w:rPr>
          <w:rFonts w:ascii="Times New Roman" w:hAnsi="Times New Roman"/>
          <w:b/>
          <w:noProof/>
          <w:sz w:val="24"/>
          <w:szCs w:val="24"/>
        </w:rPr>
        <w:t xml:space="preserve"> </w:t>
      </w:r>
      <w:r>
        <w:rPr>
          <w:rFonts w:ascii="Times New Roman" w:hAnsi="Times New Roman"/>
          <w:noProof/>
          <w:sz w:val="24"/>
          <w:szCs w:val="24"/>
        </w:rPr>
        <w:t>l'iniziativa per un'</w:t>
      </w:r>
      <w:r>
        <w:rPr>
          <w:rFonts w:ascii="Times New Roman" w:hAnsi="Times New Roman"/>
          <w:b/>
          <w:noProof/>
          <w:sz w:val="24"/>
          <w:szCs w:val="24"/>
        </w:rPr>
        <w:t xml:space="preserve">"ondata di ristrutturazioni nel settore edilizio" </w:t>
      </w:r>
      <w:r>
        <w:rPr>
          <w:rFonts w:ascii="Times New Roman" w:hAnsi="Times New Roman"/>
          <w:noProof/>
          <w:sz w:val="24"/>
          <w:szCs w:val="24"/>
        </w:rPr>
        <w:t>o</w:t>
      </w:r>
      <w:r>
        <w:rPr>
          <w:rFonts w:ascii="Times New Roman" w:hAnsi="Times New Roman"/>
          <w:b/>
          <w:noProof/>
          <w:sz w:val="24"/>
          <w:szCs w:val="24"/>
        </w:rPr>
        <w:t xml:space="preserve"> </w:t>
      </w:r>
      <w:r>
        <w:rPr>
          <w:rFonts w:ascii="Times New Roman" w:hAnsi="Times New Roman"/>
          <w:noProof/>
          <w:sz w:val="24"/>
          <w:szCs w:val="24"/>
        </w:rPr>
        <w:t xml:space="preserve">la </w:t>
      </w:r>
      <w:r>
        <w:rPr>
          <w:rFonts w:ascii="Times New Roman" w:hAnsi="Times New Roman"/>
          <w:b/>
          <w:noProof/>
          <w:sz w:val="24"/>
          <w:szCs w:val="24"/>
        </w:rPr>
        <w:t>strategia dell'UE in materia di adattamento ai cambiamenti climatici</w:t>
      </w:r>
      <w:r>
        <w:rPr>
          <w:rFonts w:ascii="Times New Roman" w:hAnsi="Times New Roman"/>
          <w:noProof/>
          <w:sz w:val="24"/>
          <w:szCs w:val="24"/>
        </w:rPr>
        <w:t>, possono incidere in misura diversa sulle donne e sugli uomini</w:t>
      </w:r>
      <w:r>
        <w:rPr>
          <w:rStyle w:val="FootnoteReference"/>
          <w:rFonts w:ascii="Times New Roman" w:hAnsi="Times New Roman" w:cs="Times New Roman"/>
          <w:noProof/>
          <w:sz w:val="24"/>
          <w:szCs w:val="24"/>
        </w:rPr>
        <w:footnoteReference w:id="80"/>
      </w:r>
      <w:r>
        <w:rPr>
          <w:rFonts w:ascii="Times New Roman" w:hAnsi="Times New Roman"/>
          <w:noProof/>
          <w:sz w:val="24"/>
          <w:szCs w:val="24"/>
        </w:rPr>
        <w:t xml:space="preserve">. Per quanto riguarda i </w:t>
      </w:r>
      <w:r>
        <w:rPr>
          <w:rFonts w:ascii="Times New Roman" w:hAnsi="Times New Roman"/>
          <w:b/>
          <w:noProof/>
          <w:sz w:val="24"/>
          <w:szCs w:val="24"/>
        </w:rPr>
        <w:t>cambiamenti climatici</w:t>
      </w:r>
      <w:r>
        <w:rPr>
          <w:rFonts w:ascii="Times New Roman" w:hAnsi="Times New Roman"/>
          <w:noProof/>
          <w:sz w:val="24"/>
          <w:szCs w:val="24"/>
        </w:rPr>
        <w:t>, il ruolo delle giovani donne, in particolare, è stato importantissimo nel guidare la spinta al cambiamento. Donne e uomini non sono influenzati nello stesso modo dalle politiche verdi che mirano a contrastare i cambiamenti climatici (le donne hanno meno possibilità come rifugiati climatici) o a promuovere la transizione all'energia pulita (le donne sono maggiormente vittime della povertà energetica) o i trasporti a emissioni zero (sono le donne a utilizzare di più i trasporti pubblici). Affrontare la dimensione di genere può pertanto essere determinante per sfruttare appieno il potenziale di queste politiche.</w:t>
      </w:r>
    </w:p>
    <w:p>
      <w:pPr>
        <w:spacing w:after="0"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Un altro esempio è quello della </w:t>
      </w:r>
      <w:r>
        <w:rPr>
          <w:rFonts w:ascii="Times New Roman" w:hAnsi="Times New Roman"/>
          <w:b/>
          <w:noProof/>
          <w:sz w:val="24"/>
          <w:szCs w:val="24"/>
        </w:rPr>
        <w:t>digitalizzazione</w:t>
      </w:r>
      <w:r>
        <w:rPr>
          <w:rFonts w:ascii="Times New Roman" w:hAnsi="Times New Roman"/>
          <w:noProof/>
          <w:sz w:val="24"/>
          <w:szCs w:val="24"/>
        </w:rPr>
        <w:t>, che cambierà radicalmente la nostra vita e quella dei nostri figli. In questa transizione è fondamentale che le donne contribuiscano a costruire il futuro e che, rispetto ad oggi, molte più ragazze acquisiscano competenze informatiche per poter svolgere un ruolo nel plasmare il mondo digitale di domani.</w:t>
      </w:r>
    </w:p>
    <w:p>
      <w:pPr>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Per quanto riguarda la salute</w:t>
      </w:r>
      <w:r>
        <w:rPr>
          <w:rFonts w:ascii="Times New Roman" w:hAnsi="Times New Roman"/>
          <w:bCs/>
          <w:noProof/>
          <w:sz w:val="24"/>
          <w:szCs w:val="24"/>
        </w:rPr>
        <w:t xml:space="preserve">, le donne e gli uomini sono esposti a rischi specifici di genere. Una dimensione di genere sarà inclusa nel piano dell'UE per la lotta contro il cancro che sarà avviato nel 2020 e che </w:t>
      </w:r>
      <w:r>
        <w:rPr>
          <w:rFonts w:ascii="Times New Roman" w:hAnsi="Times New Roman"/>
          <w:noProof/>
          <w:sz w:val="24"/>
          <w:szCs w:val="24"/>
        </w:rPr>
        <w:t xml:space="preserve">faciliterà scambi di buone pratiche, su base </w:t>
      </w:r>
      <w:r>
        <w:rPr>
          <w:rFonts w:ascii="Times New Roman" w:hAnsi="Times New Roman"/>
          <w:bCs/>
          <w:noProof/>
          <w:sz w:val="24"/>
          <w:szCs w:val="24"/>
        </w:rPr>
        <w:t>regolare</w:t>
      </w:r>
      <w:r>
        <w:rPr>
          <w:rFonts w:ascii="Times New Roman" w:hAnsi="Times New Roman"/>
          <w:noProof/>
          <w:sz w:val="24"/>
          <w:szCs w:val="24"/>
        </w:rPr>
        <w:t xml:space="preserve">, tra gli Stati membri e i portatori di interessi sugli aspetti di genere della salute, compresa quella sessuale e riproduttiva e i relativi diritti. </w:t>
      </w:r>
    </w:p>
    <w:p>
      <w:pPr>
        <w:spacing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Il </w:t>
      </w:r>
      <w:r>
        <w:rPr>
          <w:rFonts w:ascii="Times New Roman" w:hAnsi="Times New Roman"/>
          <w:b/>
          <w:noProof/>
          <w:sz w:val="24"/>
          <w:szCs w:val="24"/>
        </w:rPr>
        <w:t>programma dell'UE per la lotta alla droga</w:t>
      </w:r>
      <w:r>
        <w:rPr>
          <w:rFonts w:ascii="Times New Roman" w:hAnsi="Times New Roman"/>
          <w:noProof/>
          <w:sz w:val="24"/>
          <w:szCs w:val="24"/>
        </w:rPr>
        <w:t xml:space="preserve"> 2021-2025, che sarà adottato nel 2020, tratterà le problematiche di genere specifiche cui devono far fronte le donne e le ragazze in caso di abuso di sostanze stupefacenti. </w:t>
      </w:r>
    </w:p>
    <w:p>
      <w:pPr>
        <w:spacing w:line="240" w:lineRule="auto"/>
        <w:jc w:val="both"/>
        <w:rPr>
          <w:rFonts w:ascii="Times New Roman" w:hAnsi="Times New Roman" w:cs="Times New Roman"/>
          <w:noProof/>
          <w:sz w:val="24"/>
          <w:szCs w:val="24"/>
        </w:rPr>
      </w:pPr>
      <w:r>
        <w:rPr>
          <w:rFonts w:ascii="Times New Roman" w:hAnsi="Times New Roman"/>
          <w:b/>
          <w:noProof/>
          <w:sz w:val="24"/>
          <w:szCs w:val="24"/>
        </w:rPr>
        <w:t>In tutte le politiche dell'UE si affronterà l'aspetto dell'intersezionalità tra il genere e le altre cause di discriminazione</w:t>
      </w:r>
      <w:r>
        <w:rPr>
          <w:rFonts w:ascii="Times New Roman" w:hAnsi="Times New Roman"/>
          <w:noProof/>
          <w:sz w:val="24"/>
          <w:szCs w:val="24"/>
        </w:rPr>
        <w:t xml:space="preserve">. Le donne sono un gruppo eterogeneo e possono essere oggetto di una discriminazione intersezionale basata su più caratteristiche personali. Ad esempio, una donna migrante con disabilità può essere vittima di una discriminazione fondata su tre o più motivi. La legislazione e le politiche dell'UE e la loro attuazione dovrebbero pertanto rispondere alle esigenze e alle situazioni specifiche delle donne e delle ragazze appartenenti a gruppi diversi. Il prossimo piano d'azione per l'integrazione e l'inclusione e i quadri strategici dell'UE riguardanti la disabilità, le persone LGBTI+, l'inclusione dei rom e i diritti dei minori saranno collegati a questa strategia, oltre che tra loro. La prospettiva intersezionale, inoltre, sarà sempre presa in considerazione </w:t>
      </w:r>
      <w:r>
        <w:rPr>
          <w:rFonts w:ascii="Times New Roman" w:hAnsi="Times New Roman"/>
          <w:bCs/>
          <w:noProof/>
          <w:sz w:val="24"/>
          <w:szCs w:val="24"/>
        </w:rPr>
        <w:t>nelle politiche in materia di parità di genere.</w:t>
      </w:r>
    </w:p>
    <w:p>
      <w:pPr>
        <w:spacing w:line="100" w:lineRule="atLeast"/>
        <w:jc w:val="both"/>
        <w:rPr>
          <w:rFonts w:ascii="Times New Roman" w:hAnsi="Times New Roman" w:cs="Times New Roman"/>
          <w:b/>
          <w:noProof/>
          <w:sz w:val="24"/>
          <w:szCs w:val="24"/>
        </w:rPr>
      </w:pPr>
      <w:r>
        <w:rPr>
          <w:rFonts w:ascii="Times New Roman" w:hAnsi="Times New Roman"/>
          <w:b/>
          <w:noProof/>
          <w:sz w:val="24"/>
          <w:szCs w:val="24"/>
        </w:rPr>
        <w:t xml:space="preserve">5. </w:t>
      </w:r>
      <w:r>
        <w:rPr>
          <w:rFonts w:ascii="Times New Roman" w:hAnsi="Times New Roman"/>
          <w:b/>
          <w:noProof/>
          <w:sz w:val="24"/>
          <w:szCs w:val="24"/>
        </w:rPr>
        <w:tab/>
        <w:t>Finanziare azioni che consentano di compiere passi avanti in materia di parità di genere nell'UE</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Le proposte della Commissione relative al quadro finanziario pluriennale (QFP) garantiscono l'integrazione della dimensione di genere nell'intero quadro, più specificamente nei vari strumenti di finanziamento e di garanzia di bilancio dell'UE, in particolare il </w:t>
      </w:r>
      <w:r>
        <w:rPr>
          <w:rFonts w:ascii="Times New Roman" w:hAnsi="Times New Roman"/>
          <w:b/>
          <w:noProof/>
          <w:sz w:val="24"/>
          <w:szCs w:val="24"/>
        </w:rPr>
        <w:t>Fondo sociale europeo Plus</w:t>
      </w:r>
      <w:r>
        <w:rPr>
          <w:rFonts w:ascii="Times New Roman" w:hAnsi="Times New Roman"/>
          <w:noProof/>
          <w:sz w:val="24"/>
          <w:szCs w:val="24"/>
        </w:rPr>
        <w:t xml:space="preserve">, il </w:t>
      </w:r>
      <w:r>
        <w:rPr>
          <w:rFonts w:ascii="Times New Roman" w:hAnsi="Times New Roman"/>
          <w:b/>
          <w:noProof/>
          <w:sz w:val="24"/>
          <w:szCs w:val="24"/>
        </w:rPr>
        <w:t>Fondo europeo di sviluppo regionale</w:t>
      </w:r>
      <w:r>
        <w:rPr>
          <w:rFonts w:ascii="Times New Roman" w:hAnsi="Times New Roman"/>
          <w:noProof/>
          <w:sz w:val="24"/>
          <w:szCs w:val="24"/>
        </w:rPr>
        <w:t xml:space="preserve">, </w:t>
      </w:r>
      <w:r>
        <w:rPr>
          <w:rFonts w:ascii="Times New Roman" w:hAnsi="Times New Roman"/>
          <w:b/>
          <w:noProof/>
          <w:sz w:val="24"/>
          <w:szCs w:val="24"/>
        </w:rPr>
        <w:t>Europa creativa</w:t>
      </w:r>
      <w:r>
        <w:rPr>
          <w:rFonts w:ascii="Times New Roman" w:hAnsi="Times New Roman"/>
          <w:noProof/>
          <w:sz w:val="24"/>
          <w:szCs w:val="24"/>
        </w:rPr>
        <w:t xml:space="preserve">, il </w:t>
      </w:r>
      <w:r>
        <w:rPr>
          <w:rFonts w:ascii="Times New Roman" w:hAnsi="Times New Roman"/>
          <w:b/>
          <w:noProof/>
          <w:sz w:val="24"/>
          <w:szCs w:val="24"/>
        </w:rPr>
        <w:t>Fondo europeo per gli affari marittimi e la pesca</w:t>
      </w:r>
      <w:r>
        <w:rPr>
          <w:rFonts w:ascii="Times New Roman" w:hAnsi="Times New Roman"/>
          <w:noProof/>
          <w:sz w:val="24"/>
          <w:szCs w:val="24"/>
        </w:rPr>
        <w:t xml:space="preserve">, il </w:t>
      </w:r>
      <w:r>
        <w:rPr>
          <w:rFonts w:ascii="Times New Roman" w:hAnsi="Times New Roman"/>
          <w:b/>
          <w:noProof/>
          <w:sz w:val="24"/>
          <w:szCs w:val="24"/>
        </w:rPr>
        <w:t>Fondo di coesione</w:t>
      </w:r>
      <w:r>
        <w:rPr>
          <w:rFonts w:ascii="Times New Roman" w:hAnsi="Times New Roman"/>
          <w:noProof/>
          <w:sz w:val="24"/>
          <w:szCs w:val="24"/>
        </w:rPr>
        <w:t xml:space="preserve"> e il </w:t>
      </w:r>
      <w:r>
        <w:rPr>
          <w:rFonts w:ascii="Times New Roman" w:hAnsi="Times New Roman"/>
          <w:b/>
          <w:noProof/>
          <w:sz w:val="24"/>
          <w:szCs w:val="24"/>
        </w:rPr>
        <w:t>programma</w:t>
      </w:r>
      <w:r>
        <w:rPr>
          <w:rFonts w:ascii="Times New Roman" w:hAnsi="Times New Roman"/>
          <w:noProof/>
          <w:sz w:val="24"/>
          <w:szCs w:val="24"/>
        </w:rPr>
        <w:t xml:space="preserve"> </w:t>
      </w:r>
      <w:r>
        <w:rPr>
          <w:rFonts w:ascii="Times New Roman" w:hAnsi="Times New Roman"/>
          <w:b/>
          <w:noProof/>
          <w:sz w:val="24"/>
          <w:szCs w:val="24"/>
        </w:rPr>
        <w:t>InvestEU</w:t>
      </w:r>
      <w:r>
        <w:rPr>
          <w:rFonts w:ascii="Times New Roman" w:hAnsi="Times New Roman"/>
          <w:noProof/>
          <w:sz w:val="24"/>
          <w:szCs w:val="24"/>
        </w:rPr>
        <w:t>. I finanziamenti saranno destinati ad azioni volte a promuovere la partecipazione delle donne al mercato del lavoro e l'equilibrio tra vita professionale e vita privata, a investire in strutture di assistenza, a sostenere l'imprenditoria femminile, a combattere la segregazione di genere in alcune professioni e ad affrontare il problema della rappresentanza squilibrata di ragazze e ragazzi in alcuni settori dell'istruzione e della formazione.</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La proposta di regolamento recante disposizioni comuni</w:t>
      </w:r>
      <w:r>
        <w:rPr>
          <w:rStyle w:val="FootnoteReference"/>
          <w:rFonts w:ascii="Times New Roman" w:hAnsi="Times New Roman" w:cs="Times New Roman"/>
          <w:noProof/>
          <w:sz w:val="24"/>
          <w:szCs w:val="24"/>
        </w:rPr>
        <w:footnoteReference w:id="81"/>
      </w:r>
      <w:r>
        <w:rPr>
          <w:rFonts w:ascii="Times New Roman" w:hAnsi="Times New Roman"/>
          <w:noProof/>
          <w:sz w:val="24"/>
          <w:szCs w:val="24"/>
        </w:rPr>
        <w:t xml:space="preserve"> prevede </w:t>
      </w:r>
      <w:r>
        <w:rPr>
          <w:rFonts w:ascii="Times New Roman" w:hAnsi="Times New Roman"/>
          <w:b/>
          <w:noProof/>
          <w:sz w:val="24"/>
          <w:szCs w:val="24"/>
        </w:rPr>
        <w:t>"condizioni abilitanti" specifiche</w:t>
      </w:r>
      <w:r>
        <w:rPr>
          <w:rFonts w:ascii="Times New Roman" w:hAnsi="Times New Roman"/>
          <w:noProof/>
          <w:sz w:val="24"/>
          <w:szCs w:val="24"/>
        </w:rPr>
        <w:t xml:space="preserve">, che impongono a uno Stato membro di disporre di un </w:t>
      </w:r>
      <w:r>
        <w:rPr>
          <w:rFonts w:ascii="Times New Roman" w:hAnsi="Times New Roman"/>
          <w:b/>
          <w:noProof/>
          <w:sz w:val="24"/>
          <w:szCs w:val="24"/>
        </w:rPr>
        <w:t>quadro strategico nazionale per la parità di genere</w:t>
      </w:r>
      <w:r>
        <w:rPr>
          <w:rFonts w:ascii="Times New Roman" w:hAnsi="Times New Roman"/>
          <w:noProof/>
          <w:sz w:val="24"/>
          <w:szCs w:val="24"/>
        </w:rPr>
        <w:t xml:space="preserve"> quale presupposto essenziale per l'utilizzo dei Fondi nel quadro degli investimenti miranti a migliorare l'equilibrio di genere nel mercato del lavoro, l'equilibrio tra attività professionale e vita familiare o le infrastrutture per l'infanzia. Un'altra </w:t>
      </w:r>
      <w:r>
        <w:rPr>
          <w:rFonts w:ascii="Times New Roman" w:hAnsi="Times New Roman"/>
          <w:b/>
          <w:noProof/>
          <w:sz w:val="24"/>
          <w:szCs w:val="24"/>
        </w:rPr>
        <w:t>condizione abilitante orizzontale</w:t>
      </w:r>
      <w:r>
        <w:rPr>
          <w:rFonts w:ascii="Times New Roman" w:hAnsi="Times New Roman"/>
          <w:noProof/>
          <w:sz w:val="24"/>
          <w:szCs w:val="24"/>
        </w:rPr>
        <w:t xml:space="preserve"> sull'effettiva attuazione della </w:t>
      </w:r>
      <w:r>
        <w:rPr>
          <w:rFonts w:ascii="Times New Roman" w:hAnsi="Times New Roman"/>
          <w:b/>
          <w:noProof/>
          <w:sz w:val="24"/>
          <w:szCs w:val="24"/>
        </w:rPr>
        <w:t>Carta dei diritti fondamentali</w:t>
      </w:r>
      <w:r>
        <w:rPr>
          <w:rFonts w:ascii="Times New Roman" w:hAnsi="Times New Roman"/>
          <w:noProof/>
          <w:sz w:val="24"/>
          <w:szCs w:val="24"/>
        </w:rPr>
        <w:t xml:space="preserve"> include la parità di genere tra i suoi principi fondamentali e si applica a tutti gli investimenti a norma del suddetto regolamento.</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Finanziamenti specifici per progetti a favore delle organizzazioni della società civile e delle istituzioni pubbliche che attuano azioni ad hoc, tra cui la prevenzione e la lotta contro la violenza di genere, saranno disponibili nel quadro del </w:t>
      </w:r>
      <w:r>
        <w:rPr>
          <w:rFonts w:ascii="Times New Roman" w:hAnsi="Times New Roman"/>
          <w:b/>
          <w:noProof/>
          <w:sz w:val="24"/>
          <w:szCs w:val="24"/>
        </w:rPr>
        <w:t>programma Cittadini, uguaglianza, diritti e valori</w:t>
      </w:r>
      <w:r>
        <w:rPr>
          <w:rFonts w:ascii="Times New Roman" w:hAnsi="Times New Roman"/>
          <w:noProof/>
          <w:sz w:val="24"/>
          <w:szCs w:val="24"/>
        </w:rPr>
        <w:t xml:space="preserve">. Nel settore dell'asilo e della migrazione occorre prestare particolare attenzione alle donne e alle ragazze. Attraverso il </w:t>
      </w:r>
      <w:r>
        <w:rPr>
          <w:rFonts w:ascii="Times New Roman" w:hAnsi="Times New Roman"/>
          <w:b/>
          <w:noProof/>
          <w:sz w:val="24"/>
          <w:szCs w:val="24"/>
        </w:rPr>
        <w:t>Fondo Asilo e migrazione</w:t>
      </w:r>
      <w:r>
        <w:rPr>
          <w:rFonts w:ascii="Times New Roman" w:hAnsi="Times New Roman"/>
          <w:noProof/>
          <w:sz w:val="24"/>
          <w:szCs w:val="24"/>
        </w:rPr>
        <w:t>, la Commissione incoraggerà gli Stati membri a predisporre azioni mirate che sostengano le esigenze specifiche delle donne durante la procedura di asilo, nonché azioni volte a favorire l'inserimento delle donne nella nuova società. Inoltre, il Fondo consentirà di rafforzare la protezione dei gruppi vulnerabili, comprese le donne vittime della violenza di genere in un contesto migratorio o di asilo.</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Nel settore della ricerca e dell'innovazione, la Commissione introdurrà nuove misure per rafforzare la parità di genere nell'ambito di </w:t>
      </w:r>
      <w:r>
        <w:rPr>
          <w:rFonts w:ascii="Times New Roman" w:hAnsi="Times New Roman"/>
          <w:b/>
          <w:noProof/>
          <w:sz w:val="24"/>
          <w:szCs w:val="24"/>
        </w:rPr>
        <w:t>Orizzonte Europa</w:t>
      </w:r>
      <w:r>
        <w:rPr>
          <w:rFonts w:ascii="Times New Roman" w:hAnsi="Times New Roman"/>
          <w:noProof/>
          <w:sz w:val="24"/>
          <w:szCs w:val="24"/>
        </w:rPr>
        <w:t xml:space="preserve">, ad esempio la possibilità di chiedere </w:t>
      </w:r>
      <w:r>
        <w:rPr>
          <w:rFonts w:ascii="Times New Roman" w:hAnsi="Times New Roman"/>
          <w:b/>
          <w:noProof/>
          <w:sz w:val="24"/>
          <w:szCs w:val="24"/>
        </w:rPr>
        <w:t>un piano per la parità di genere a chi vuol accedere al programma</w:t>
      </w:r>
      <w:r>
        <w:rPr>
          <w:rFonts w:ascii="Times New Roman" w:hAnsi="Times New Roman"/>
          <w:noProof/>
          <w:sz w:val="24"/>
          <w:szCs w:val="24"/>
        </w:rPr>
        <w:t xml:space="preserve">, e un'iniziativa volta ad aumentare il numero di start-up tecnologiche guidate da donne. Saranno messi a disposizione anche finanziamenti per la ricerca di genere e intersezionale.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Vi saranno inoltre opportunità di finanziamento per aumentare le conoscenze imprenditoriali e la partecipazione delle donne al processo decisionale e investire nello sviluppo di servizi di base nelle zone rurali nell'ambito della </w:t>
      </w:r>
      <w:r>
        <w:rPr>
          <w:rFonts w:ascii="Times New Roman" w:hAnsi="Times New Roman"/>
          <w:b/>
          <w:noProof/>
          <w:sz w:val="24"/>
          <w:szCs w:val="24"/>
        </w:rPr>
        <w:t>politica agricola comune</w:t>
      </w:r>
      <w:r>
        <w:rPr>
          <w:rFonts w:ascii="Times New Roman" w:hAnsi="Times New Roman"/>
          <w:noProof/>
          <w:sz w:val="24"/>
          <w:szCs w:val="24"/>
        </w:rPr>
        <w:t>. Per promuovere l'emancipazione femminile è previsto un nuovo invito rivolto specificamente alle donne nell'"economia blu"</w:t>
      </w:r>
      <w:r>
        <w:rPr>
          <w:rStyle w:val="FootnoteReference"/>
          <w:rFonts w:ascii="Times New Roman" w:hAnsi="Times New Roman" w:cs="Times New Roman"/>
          <w:noProof/>
          <w:sz w:val="24"/>
          <w:szCs w:val="24"/>
        </w:rPr>
        <w:footnoteReference w:id="82"/>
      </w:r>
      <w:r>
        <w:rPr>
          <w:rFonts w:ascii="Times New Roman" w:hAnsi="Times New Roman"/>
          <w:noProof/>
          <w:sz w:val="24"/>
          <w:szCs w:val="24"/>
        </w:rPr>
        <w:t xml:space="preserve"> nell'ambito del prossimo </w:t>
      </w:r>
      <w:r>
        <w:rPr>
          <w:rFonts w:ascii="Times New Roman" w:hAnsi="Times New Roman"/>
          <w:b/>
          <w:noProof/>
          <w:sz w:val="24"/>
          <w:szCs w:val="24"/>
        </w:rPr>
        <w:t>Fondo europeo per gli affari marittimi e la pesca</w:t>
      </w:r>
      <w:r>
        <w:rPr>
          <w:rFonts w:ascii="Times New Roman" w:hAnsi="Times New Roman"/>
          <w:noProof/>
          <w:sz w:val="24"/>
          <w:szCs w:val="24"/>
        </w:rPr>
        <w:t xml:space="preserve"> per il periodo 2021-2027.</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Una strategia per l'inclusione e la diversità per il futuro </w:t>
      </w:r>
      <w:r>
        <w:rPr>
          <w:rFonts w:ascii="Times New Roman" w:hAnsi="Times New Roman"/>
          <w:b/>
          <w:noProof/>
          <w:sz w:val="24"/>
          <w:szCs w:val="24"/>
        </w:rPr>
        <w:t>programma Erasmus+</w:t>
      </w:r>
      <w:r>
        <w:rPr>
          <w:rFonts w:ascii="Times New Roman" w:hAnsi="Times New Roman"/>
          <w:noProof/>
          <w:sz w:val="24"/>
          <w:szCs w:val="24"/>
        </w:rPr>
        <w:t xml:space="preserve"> fornirà orientamenti su come il programma possa contribuire ad affrontare le disparità di genere in tutti i settori dell'istruzione e della formazione, della gioventù e dello sport.</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Gli orientamenti della Commissione in materia di </w:t>
      </w:r>
      <w:r>
        <w:rPr>
          <w:rFonts w:ascii="Times New Roman" w:hAnsi="Times New Roman"/>
          <w:b/>
          <w:noProof/>
          <w:sz w:val="24"/>
          <w:szCs w:val="24"/>
        </w:rPr>
        <w:t>appalti pubblici socialmente responsabili</w:t>
      </w:r>
      <w:r>
        <w:rPr>
          <w:rFonts w:ascii="Times New Roman" w:hAnsi="Times New Roman"/>
          <w:noProof/>
          <w:sz w:val="24"/>
          <w:szCs w:val="24"/>
        </w:rPr>
        <w:t xml:space="preserve"> lotteranno contro la discriminazione e promuoveranno la parità di genere nelle gare d'appalto pubbliche.</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In linea con gli inviti reiterati da parte di diversi Stati membri e del Parlamento europeo</w:t>
      </w:r>
      <w:r>
        <w:rPr>
          <w:rStyle w:val="FootnoteReference"/>
          <w:rFonts w:ascii="Times New Roman" w:hAnsi="Times New Roman" w:cs="Times New Roman"/>
          <w:noProof/>
          <w:sz w:val="24"/>
          <w:szCs w:val="24"/>
        </w:rPr>
        <w:footnoteReference w:id="83"/>
      </w:r>
      <w:r>
        <w:rPr>
          <w:rFonts w:ascii="Times New Roman" w:hAnsi="Times New Roman"/>
          <w:noProof/>
          <w:sz w:val="24"/>
          <w:szCs w:val="24"/>
        </w:rPr>
        <w:t xml:space="preserve">, </w:t>
      </w:r>
      <w:r>
        <w:rPr>
          <w:rFonts w:ascii="Times New Roman" w:hAnsi="Times New Roman"/>
          <w:b/>
          <w:noProof/>
          <w:sz w:val="24"/>
          <w:szCs w:val="24"/>
        </w:rPr>
        <w:t>la Commissione esaminerà l'impatto di genere delle sue attività e le modalità di quantificazione della spesa relativa alla parità di genere a livello dei programmi</w:t>
      </w:r>
      <w:r>
        <w:rPr>
          <w:rFonts w:ascii="Times New Roman" w:hAnsi="Times New Roman"/>
          <w:noProof/>
          <w:sz w:val="24"/>
          <w:szCs w:val="24"/>
        </w:rPr>
        <w:t xml:space="preserve"> nel QFP 2021-2027. All'esame contribuiranno anche i risultati dell'audit recentemente condotto dalla Corte dei conti europea sull'</w:t>
      </w:r>
      <w:r>
        <w:rPr>
          <w:rFonts w:ascii="Times New Roman" w:hAnsi="Times New Roman"/>
          <w:b/>
          <w:noProof/>
          <w:sz w:val="24"/>
          <w:szCs w:val="24"/>
        </w:rPr>
        <w:t>integrazione della dimensione di genere nel bilancio dell'UE</w:t>
      </w:r>
      <w:r>
        <w:rPr>
          <w:rFonts w:ascii="Times New Roman" w:hAnsi="Times New Roman"/>
          <w:noProof/>
          <w:sz w:val="24"/>
          <w:szCs w:val="24"/>
        </w:rPr>
        <w:t xml:space="preserve"> per promuovere l'uguaglianza. Ne risulterà un miglioramento dell'integrazione della dimensione di genere nel processo di bilancio della Commissione, che andrà ad aumentare ulteriormente il contributo dell'elaborazione delle politiche e dell'assegnazione delle risorse agli obiettivi della parità di genere.</w:t>
      </w:r>
    </w:p>
    <w:p>
      <w:pPr>
        <w:spacing w:line="100" w:lineRule="atLeast"/>
        <w:ind w:left="709" w:hanging="709"/>
        <w:jc w:val="both"/>
        <w:rPr>
          <w:rFonts w:ascii="Times New Roman" w:hAnsi="Times New Roman" w:cs="Times New Roman"/>
          <w:b/>
          <w:noProof/>
          <w:sz w:val="24"/>
          <w:szCs w:val="24"/>
        </w:rPr>
      </w:pPr>
      <w:r>
        <w:rPr>
          <w:rFonts w:ascii="Times New Roman" w:hAnsi="Times New Roman"/>
          <w:b/>
          <w:noProof/>
          <w:sz w:val="24"/>
          <w:szCs w:val="24"/>
        </w:rPr>
        <w:t>6.</w:t>
      </w:r>
      <w:r>
        <w:rPr>
          <w:rFonts w:ascii="Times New Roman" w:hAnsi="Times New Roman"/>
          <w:b/>
          <w:noProof/>
          <w:sz w:val="24"/>
          <w:szCs w:val="24"/>
        </w:rPr>
        <w:tab/>
        <w:t>Affrontare il problema della parità di genere e dell'emancipazione femminile a livello mondiale</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La disparità di genere è un problema mondiale.</w:t>
      </w:r>
      <w:r>
        <w:rPr>
          <w:rFonts w:ascii="Times New Roman" w:hAnsi="Times New Roman"/>
          <w:noProof/>
          <w:sz w:val="24"/>
          <w:szCs w:val="24"/>
        </w:rPr>
        <w:t xml:space="preserve"> </w:t>
      </w:r>
      <w:r>
        <w:rPr>
          <w:rFonts w:ascii="Times New Roman" w:hAnsi="Times New Roman"/>
          <w:b/>
          <w:noProof/>
          <w:sz w:val="24"/>
          <w:szCs w:val="24"/>
        </w:rPr>
        <w:t xml:space="preserve">La parità di genere e l'emancipazione femminile sono un obiettivo fondamentale dell'azione esterna dell'UE. </w:t>
      </w:r>
      <w:r>
        <w:rPr>
          <w:rFonts w:ascii="Times New Roman" w:hAnsi="Times New Roman"/>
          <w:noProof/>
          <w:sz w:val="24"/>
          <w:szCs w:val="24"/>
        </w:rPr>
        <w:t>È importante che le azioni interne ed esterne dell'UE in questo settore siano coerenti e si rafforzino reciprocamente.</w:t>
      </w:r>
      <w:r>
        <w:rPr>
          <w:rFonts w:ascii="Times New Roman" w:hAnsi="Times New Roman"/>
          <w:b/>
          <w:noProof/>
          <w:sz w:val="24"/>
          <w:szCs w:val="24"/>
        </w:rPr>
        <w:t xml:space="preserve"> </w:t>
      </w:r>
      <w:r>
        <w:rPr>
          <w:rFonts w:ascii="Times New Roman" w:hAnsi="Times New Roman"/>
          <w:noProof/>
          <w:sz w:val="24"/>
          <w:szCs w:val="24"/>
        </w:rPr>
        <w:t xml:space="preserve">L'UE promuove la parità di genere e l'emancipazione femminile nei suoi partenariati internazionali, nei dialoghi politici e sui diritti umani con i paesi terzi, nella sua politica commerciale e nelle sue politiche di vicinato e di allargamento, anche nel contesto dei negoziati di adesione e del processo di stabilizzazione e di associazione. </w:t>
      </w:r>
      <w:r>
        <w:rPr>
          <w:rFonts w:ascii="Times New Roman" w:hAnsi="Times New Roman"/>
          <w:bCs/>
          <w:noProof/>
          <w:sz w:val="24"/>
          <w:szCs w:val="24"/>
        </w:rPr>
        <w:t>Le azioni riguardanti il genere sono inoltre incluse nelle attività che l'UE intraprende in situazioni di fragilità, conflitto ed emergenza.</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Il </w:t>
      </w:r>
      <w:r>
        <w:rPr>
          <w:rFonts w:ascii="Times New Roman" w:hAnsi="Times New Roman"/>
          <w:b/>
          <w:noProof/>
          <w:sz w:val="24"/>
          <w:szCs w:val="24"/>
        </w:rPr>
        <w:t>piano d'azione sulla parità di genere e l'emancipazione femminile nelle relazioni esterne</w:t>
      </w:r>
      <w:r>
        <w:rPr>
          <w:rFonts w:ascii="Times New Roman" w:hAnsi="Times New Roman"/>
          <w:noProof/>
          <w:sz w:val="24"/>
          <w:szCs w:val="24"/>
        </w:rPr>
        <w:t xml:space="preserve"> per il periodo 2016-2020 (GAP II)</w:t>
      </w:r>
      <w:r>
        <w:rPr>
          <w:rStyle w:val="FootnoteReference"/>
          <w:rFonts w:ascii="Times New Roman" w:hAnsi="Times New Roman" w:cs="Times New Roman"/>
          <w:noProof/>
          <w:sz w:val="24"/>
          <w:szCs w:val="24"/>
        </w:rPr>
        <w:footnoteReference w:id="84"/>
      </w:r>
      <w:r>
        <w:rPr>
          <w:rFonts w:ascii="Times New Roman" w:hAnsi="Times New Roman"/>
          <w:noProof/>
          <w:sz w:val="24"/>
          <w:szCs w:val="24"/>
        </w:rPr>
        <w:t xml:space="preserve"> mira soprattutto a porre fine alla violenza contro le donne e le ragazze, a promuovere l'emancipazione economica e sociale delle donne e a garantire il rispetto dei loro diritti umani, politici e civili. Basandosi sui risultati e sugli insegnamenti tratti dall'edizione precedente, </w:t>
      </w:r>
      <w:r>
        <w:rPr>
          <w:rFonts w:ascii="Times New Roman" w:hAnsi="Times New Roman"/>
          <w:b/>
          <w:noProof/>
          <w:sz w:val="24"/>
          <w:szCs w:val="24"/>
        </w:rPr>
        <w:t>il GAP III sarà avviato nel 2020</w:t>
      </w:r>
      <w:r>
        <w:rPr>
          <w:rFonts w:ascii="Times New Roman" w:hAnsi="Times New Roman"/>
          <w:noProof/>
          <w:sz w:val="24"/>
          <w:szCs w:val="24"/>
        </w:rPr>
        <w:t xml:space="preserve"> in un'ottica globale e sarà coerente con le priorità della presente strategia integrandone tutti gli elementi pertinenti nell'azione esterna dell'UE.</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L'UE continuerà a sostenere i diritti umani delle donne e chi li difende, la salute sessuale e riproduttiva delle donne e i relativi diritti e le azioni volte a contrastare la violenza sessuale e di genere ovunque nel mondo, anche in situazioni di fragilità, conflitto ed emergenza. L'UE ha avviato l'</w:t>
      </w:r>
      <w:r>
        <w:rPr>
          <w:rFonts w:ascii="Times New Roman" w:hAnsi="Times New Roman"/>
          <w:b/>
          <w:noProof/>
          <w:sz w:val="24"/>
          <w:szCs w:val="24"/>
        </w:rPr>
        <w:t>iniziativa Spotlight</w:t>
      </w:r>
      <w:r>
        <w:rPr>
          <w:rFonts w:ascii="Times New Roman" w:hAnsi="Times New Roman"/>
          <w:noProof/>
          <w:sz w:val="24"/>
          <w:szCs w:val="24"/>
        </w:rPr>
        <w:t xml:space="preserve">, un programma congiunto UE-ONU di respiro mondiale, con una dotazione complessiva dell'UE pari a 500 milioni di EUR destinata all'eliminazione di tutte le forme di violenza contro le donne e le ragazze. Nel 2020 intende lanciare </w:t>
      </w:r>
      <w:r>
        <w:rPr>
          <w:rFonts w:ascii="Times New Roman" w:hAnsi="Times New Roman"/>
          <w:b/>
          <w:noProof/>
          <w:sz w:val="24"/>
          <w:szCs w:val="24"/>
        </w:rPr>
        <w:t>la campagna #WithHer</w:t>
      </w:r>
      <w:r>
        <w:rPr>
          <w:rFonts w:ascii="Times New Roman" w:hAnsi="Times New Roman"/>
          <w:noProof/>
          <w:sz w:val="24"/>
          <w:szCs w:val="24"/>
        </w:rPr>
        <w:t xml:space="preserve"> mirante a combattere norme sociali e stereotipi di genere dannosi, che perpetuano la violenza contro le donne in tutto il mondo. Sempre nel 2020, adotterà il suo </w:t>
      </w:r>
      <w:r>
        <w:rPr>
          <w:rFonts w:ascii="Times New Roman" w:hAnsi="Times New Roman"/>
          <w:b/>
          <w:noProof/>
          <w:sz w:val="24"/>
          <w:szCs w:val="24"/>
        </w:rPr>
        <w:t>piano d'azione per i diritti umani e la democrazia per il periodo 2020-2024</w:t>
      </w:r>
      <w:r>
        <w:rPr>
          <w:rFonts w:ascii="Times New Roman" w:hAnsi="Times New Roman"/>
          <w:noProof/>
          <w:sz w:val="24"/>
          <w:szCs w:val="24"/>
        </w:rPr>
        <w:t xml:space="preserve">. Continuerà inoltre ad attuare </w:t>
      </w:r>
      <w:r>
        <w:rPr>
          <w:rFonts w:ascii="Times New Roman" w:hAnsi="Times New Roman"/>
          <w:b/>
          <w:noProof/>
          <w:sz w:val="24"/>
          <w:szCs w:val="24"/>
        </w:rPr>
        <w:t>il suo approccio strategico e il suo piano d'azione per le donne, la pace e la sicurezza</w:t>
      </w:r>
      <w:r>
        <w:rPr>
          <w:rFonts w:ascii="Times New Roman" w:hAnsi="Times New Roman"/>
          <w:noProof/>
          <w:sz w:val="24"/>
          <w:szCs w:val="24"/>
        </w:rPr>
        <w:t xml:space="preserve"> per il periodo 2019-2024</w:t>
      </w:r>
      <w:r>
        <w:rPr>
          <w:rStyle w:val="FootnoteReference"/>
          <w:rFonts w:ascii="Times New Roman" w:hAnsi="Times New Roman" w:cs="Times New Roman"/>
          <w:noProof/>
          <w:sz w:val="24"/>
          <w:szCs w:val="24"/>
        </w:rPr>
        <w:footnoteReference w:id="85"/>
      </w:r>
      <w:r>
        <w:rPr>
          <w:rFonts w:ascii="Times New Roman" w:hAnsi="Times New Roman"/>
          <w:noProof/>
          <w:sz w:val="24"/>
          <w:szCs w:val="24"/>
        </w:rPr>
        <w:t xml:space="preserve">. </w:t>
      </w:r>
    </w:p>
    <w:p>
      <w:pPr>
        <w:tabs>
          <w:tab w:val="left" w:pos="7655"/>
        </w:tabs>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La Commissione continuerà a promuovere attivamente la parità di genere nell'ambito della sua </w:t>
      </w:r>
      <w:r>
        <w:rPr>
          <w:rFonts w:ascii="Times New Roman" w:hAnsi="Times New Roman"/>
          <w:b/>
          <w:noProof/>
          <w:sz w:val="24"/>
          <w:szCs w:val="24"/>
        </w:rPr>
        <w:t>politica commerciale</w:t>
      </w:r>
      <w:r>
        <w:rPr>
          <w:rFonts w:ascii="Times New Roman" w:hAnsi="Times New Roman"/>
          <w:noProof/>
          <w:sz w:val="24"/>
          <w:szCs w:val="24"/>
        </w:rPr>
        <w:t xml:space="preserve">, anche attraverso il suo impegno attivo in questo senso all'interno dell'Organizzazione mondiale del commercio. Continuerà a raccogliere dati disaggregati per genere, a garantire che gli aspetti di genere riguardanti gli scambi siano presi adeguatamente in considerazione negli accordi commerciali e a tener conto dell'impatto di genere nelle iniziative commerciali.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Nei paesi partner, l'UE si avvarrà del </w:t>
      </w:r>
      <w:r>
        <w:rPr>
          <w:rFonts w:ascii="Times New Roman" w:hAnsi="Times New Roman"/>
          <w:b/>
          <w:noProof/>
          <w:sz w:val="24"/>
          <w:szCs w:val="24"/>
        </w:rPr>
        <w:t>piano per gli investimenti esterni</w:t>
      </w:r>
      <w:r>
        <w:rPr>
          <w:rFonts w:ascii="Times New Roman" w:hAnsi="Times New Roman"/>
          <w:noProof/>
          <w:sz w:val="24"/>
          <w:szCs w:val="24"/>
        </w:rPr>
        <w:t xml:space="preserve"> per promuovere l'imprenditoria femminile e la partecipazione delle donne al mercato del lavoro. Lo Strumento di inclusione finanziaria delle donne, ad esempio, mira da solo a mobilitare 100 milioni di EUR per l'accesso delle donne ai finanziamenti. Nel 2020 anche la </w:t>
      </w:r>
      <w:r>
        <w:rPr>
          <w:rFonts w:ascii="Times New Roman" w:hAnsi="Times New Roman"/>
          <w:b/>
          <w:noProof/>
          <w:sz w:val="24"/>
          <w:szCs w:val="24"/>
        </w:rPr>
        <w:t>strategia dell'UE per i rapporti con l'Africa</w:t>
      </w:r>
      <w:r>
        <w:rPr>
          <w:rFonts w:ascii="Times New Roman" w:hAnsi="Times New Roman"/>
          <w:noProof/>
          <w:sz w:val="24"/>
          <w:szCs w:val="24"/>
        </w:rPr>
        <w:t xml:space="preserve"> si incentrerà sulla parità di genere e sull'emancipazione femminile.</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Nelle politiche esterne dell'UE, la dimensione di genere è integrata nel processo di bilancio</w:t>
      </w:r>
      <w:r>
        <w:rPr>
          <w:rFonts w:ascii="Times New Roman" w:hAnsi="Times New Roman"/>
          <w:noProof/>
          <w:sz w:val="24"/>
          <w:szCs w:val="24"/>
        </w:rPr>
        <w:t xml:space="preserve"> tramite l'impegno a garantire che l'85 % di tutti i nuovi programmi contribuisca alla parità di genere e all'emancipazione femminile</w:t>
      </w:r>
      <w:r>
        <w:rPr>
          <w:rStyle w:val="FootnoteReference"/>
          <w:rFonts w:ascii="Times New Roman" w:hAnsi="Times New Roman" w:cs="Times New Roman"/>
          <w:noProof/>
          <w:sz w:val="24"/>
          <w:szCs w:val="24"/>
        </w:rPr>
        <w:footnoteReference w:id="86"/>
      </w:r>
      <w:r>
        <w:rPr>
          <w:rFonts w:ascii="Times New Roman" w:hAnsi="Times New Roman"/>
          <w:noProof/>
          <w:sz w:val="24"/>
          <w:szCs w:val="24"/>
        </w:rPr>
        <w:t>.</w:t>
      </w:r>
    </w:p>
    <w:p>
      <w:pPr>
        <w:rPr>
          <w:rFonts w:ascii="Times New Roman" w:hAnsi="Times New Roman" w:cs="Times New Roman"/>
          <w:b/>
          <w:noProof/>
          <w:sz w:val="24"/>
          <w:szCs w:val="24"/>
        </w:rPr>
      </w:pPr>
      <w:r>
        <w:rPr>
          <w:noProof/>
          <w:sz w:val="24"/>
          <w:szCs w:val="24"/>
        </w:rPr>
        <w:br w:type="page"/>
      </w:r>
    </w:p>
    <w:p>
      <w:pPr>
        <w:spacing w:line="100" w:lineRule="atLeast"/>
        <w:jc w:val="both"/>
        <w:rPr>
          <w:rFonts w:ascii="Times New Roman" w:hAnsi="Times New Roman" w:cs="Times New Roman"/>
          <w:b/>
          <w:noProof/>
          <w:sz w:val="24"/>
          <w:szCs w:val="24"/>
        </w:rPr>
      </w:pPr>
      <w:r>
        <w:rPr>
          <w:rFonts w:ascii="Times New Roman" w:hAnsi="Times New Roman"/>
          <w:b/>
          <w:noProof/>
          <w:sz w:val="24"/>
          <w:szCs w:val="24"/>
        </w:rPr>
        <w:t>LAVORARE INSIEME PER UN'EUROPA GARANTE DELLA PARITÀ DI GENERE</w:t>
      </w:r>
    </w:p>
    <w:p>
      <w:pPr>
        <w:spacing w:line="100" w:lineRule="atLeast"/>
        <w:jc w:val="both"/>
        <w:rPr>
          <w:rFonts w:ascii="Times New Roman" w:hAnsi="Times New Roman" w:cs="Times New Roman"/>
          <w:noProof/>
          <w:sz w:val="24"/>
          <w:szCs w:val="24"/>
        </w:rPr>
      </w:pPr>
      <w:r>
        <w:rPr>
          <w:rFonts w:ascii="Times New Roman" w:hAnsi="Times New Roman"/>
          <w:b/>
          <w:noProof/>
          <w:sz w:val="24"/>
          <w:szCs w:val="24"/>
        </w:rPr>
        <w:t xml:space="preserve">Realizzare la parità di genere nell'Unione europea è una responsabilità congiunta </w:t>
      </w:r>
      <w:r>
        <w:rPr>
          <w:rFonts w:ascii="Times New Roman" w:hAnsi="Times New Roman"/>
          <w:noProof/>
          <w:sz w:val="24"/>
          <w:szCs w:val="24"/>
        </w:rPr>
        <w:t xml:space="preserve">che richiede la collaborazione e l'intervento di tutte le istituzioni dell'UE, degli Stati membri e delle agenzie dell'UE, in partenariato con la società civile e le organizzazioni femminili, le parti sociali e il settore privato.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Il </w:t>
      </w:r>
      <w:r>
        <w:rPr>
          <w:rFonts w:ascii="Times New Roman" w:hAnsi="Times New Roman"/>
          <w:b/>
          <w:noProof/>
          <w:sz w:val="24"/>
          <w:szCs w:val="24"/>
        </w:rPr>
        <w:t>Parlamento europeo</w:t>
      </w:r>
      <w:r>
        <w:rPr>
          <w:rStyle w:val="FootnoteReference"/>
          <w:rFonts w:ascii="Times New Roman" w:hAnsi="Times New Roman" w:cs="Times New Roman"/>
          <w:noProof/>
          <w:sz w:val="24"/>
          <w:szCs w:val="24"/>
        </w:rPr>
        <w:footnoteReference w:id="87"/>
      </w:r>
      <w:r>
        <w:rPr>
          <w:rFonts w:ascii="Times New Roman" w:hAnsi="Times New Roman"/>
          <w:noProof/>
          <w:sz w:val="24"/>
          <w:szCs w:val="24"/>
        </w:rPr>
        <w:t xml:space="preserve"> e il </w:t>
      </w:r>
      <w:r>
        <w:rPr>
          <w:rFonts w:ascii="Times New Roman" w:hAnsi="Times New Roman"/>
          <w:b/>
          <w:noProof/>
          <w:sz w:val="24"/>
          <w:szCs w:val="24"/>
        </w:rPr>
        <w:t>Consiglio</w:t>
      </w:r>
      <w:r>
        <w:rPr>
          <w:rStyle w:val="FootnoteReference"/>
          <w:rFonts w:ascii="Times New Roman" w:hAnsi="Times New Roman" w:cs="Times New Roman"/>
          <w:noProof/>
          <w:sz w:val="24"/>
          <w:szCs w:val="24"/>
        </w:rPr>
        <w:footnoteReference w:id="88"/>
      </w:r>
      <w:r>
        <w:rPr>
          <w:rFonts w:ascii="Times New Roman" w:hAnsi="Times New Roman"/>
          <w:noProof/>
          <w:sz w:val="24"/>
          <w:szCs w:val="24"/>
        </w:rPr>
        <w:t xml:space="preserve"> hanno dimostrato il loro impegno a favore della parità di genere in diverse risoluzioni e conclusioni che invitavano la Commissione ad adottare una strategia europea per la parità di genere e a rafforzare l'integrazione della dimensione di genere in tutti i settori politici.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Lavorando insieme, le istituzioni dell'UE e gli Stati membri dovranno intensificare il loro dialogo con la società civile, compresi i movimenti e le organizzazioni femminili, le organizzazioni internazionali e i governi, per realizzare progressi sulla parità di genere e continuare ad essere leader mondiali in questo campo.</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La Commissione invita il Parlamento europeo e il Consiglio a proseguire tempestivamente i lavori sulle sue proposte, sia attuali che future. Gli Stati membri dovrebbero utilizzare tutti gli strumenti a loro disposizione, in particolare le possibilità offerte dal sostegno finanziario dell'UE, e garantire il rafforzamento della parità di genere. </w:t>
      </w:r>
    </w:p>
    <w:p>
      <w:pPr>
        <w:spacing w:line="100" w:lineRule="atLeast"/>
        <w:jc w:val="both"/>
        <w:rPr>
          <w:rFonts w:ascii="Times New Roman" w:hAnsi="Times New Roman" w:cs="Times New Roman"/>
          <w:noProof/>
          <w:sz w:val="24"/>
          <w:szCs w:val="24"/>
        </w:rPr>
      </w:pPr>
      <w:r>
        <w:rPr>
          <w:rFonts w:ascii="Times New Roman" w:hAnsi="Times New Roman"/>
          <w:noProof/>
          <w:sz w:val="24"/>
          <w:szCs w:val="24"/>
        </w:rPr>
        <w:t xml:space="preserve">Le azioni chiave presentate in questa strategia saranno regolarmente aggiornate ed integrate. La loro attuazione sarà monitorata e i progressi saranno comunicati annualmente in apposite relazioni. Tali relazioni serviranno per fare </w:t>
      </w:r>
      <w:r>
        <w:rPr>
          <w:rFonts w:ascii="Times New Roman" w:hAnsi="Times New Roman"/>
          <w:b/>
          <w:noProof/>
          <w:sz w:val="24"/>
          <w:szCs w:val="24"/>
        </w:rPr>
        <w:t>un bilancio politico annuale dei progressi compiuti</w:t>
      </w:r>
      <w:r>
        <w:rPr>
          <w:rFonts w:ascii="Times New Roman" w:hAnsi="Times New Roman"/>
          <w:noProof/>
          <w:sz w:val="24"/>
          <w:szCs w:val="24"/>
        </w:rPr>
        <w:t>. Oltre a portare esempi di buone pratiche attuate negli Stati membri, esse comprenderanno anche dati pertinenti, tra cui quelli provenienti da Eurostat e Eurofound, nonché indicatori per misurare i progressi compiuti, sulla base dell'indice annuale dell'UE sull'uguaglianza di genere pubblicato dall'EIGE. L'EIGE fornirà anche dati e ricerche che serviranno a dare fondamento concreto alla definizione delle politiche da parte delle istituzioni dell'UE e degli Stati membri.</w:t>
      </w:r>
    </w:p>
    <w:p>
      <w:pPr>
        <w:spacing w:line="100" w:lineRule="atLeast"/>
        <w:jc w:val="both"/>
        <w:rPr>
          <w:rFonts w:ascii="Times New Roman" w:hAnsi="Times New Roman" w:cs="Times New Roman"/>
          <w:b/>
          <w:noProof/>
          <w:sz w:val="24"/>
          <w:szCs w:val="24"/>
        </w:rPr>
      </w:pPr>
      <w:r>
        <w:rPr>
          <w:rFonts w:ascii="Times New Roman" w:hAnsi="Times New Roman"/>
          <w:b/>
          <w:noProof/>
          <w:sz w:val="24"/>
          <w:szCs w:val="24"/>
        </w:rPr>
        <w:t>Lavorando insieme saremo in grado di realizzare autentici progressi, di qui al 2025, per costruire un'Europa in cui donne e uomini, ragazze e ragazzi, in tutta la loro diversità, siano uguali e liberi di perseguire le loro scelte di vita e di esprimere pienamente le loro potenzialità, abbiano pari opportunità di realizzazione personale e possano partecipare e avere, in ugual misura, un ruolo guida nella nostra società europea.</w:t>
      </w:r>
    </w:p>
    <w:p>
      <w:pPr>
        <w:spacing w:line="100" w:lineRule="atLeast"/>
        <w:jc w:val="both"/>
        <w:rPr>
          <w:rFonts w:ascii="Times New Roman" w:hAnsi="Times New Roman" w:cs="Times New Roman"/>
          <w:b/>
          <w:noProof/>
          <w:sz w:val="24"/>
          <w:szCs w:val="24"/>
        </w:rPr>
      </w:pPr>
    </w:p>
    <w:sectPr>
      <w:headerReference w:type="even" r:id="rId29"/>
      <w:headerReference w:type="default" r:id="rId30"/>
      <w:footerReference w:type="even" r:id="rId31"/>
      <w:footerReference w:type="default" r:id="rId32"/>
      <w:headerReference w:type="first" r:id="rId33"/>
      <w:footerReference w:type="first" r:id="rId34"/>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Albertina">
    <w:altName w:val="EU Alberti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IT</w:t>
    </w:r>
    <w:r>
      <w:rPr>
        <w:rFonts w:ascii="Arial" w:hAnsi="Arial" w:cs="Arial"/>
        <w:b/>
        <w:sz w:val="48"/>
      </w:rPr>
      <w:tab/>
    </w:r>
    <w:r>
      <w:rPr>
        <w:rFonts w:ascii="Arial" w:hAnsi="Arial" w:cs="Arial"/>
        <w:b/>
        <w:sz w:val="48"/>
      </w:rPr>
      <w:tab/>
    </w:r>
    <w:r>
      <w:tab/>
    </w:r>
    <w:r>
      <w:rPr>
        <w:rFonts w:ascii="Arial" w:hAnsi="Arial" w:cs="Arial"/>
        <w:b/>
        <w:sz w:val="48"/>
      </w:rPr>
      <w:t>IT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147577"/>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articolo 2 e articolo 3, paragrafo 3, del TUE, articoli 8, 10, 19 e 157 del TFUE e articoli 21 e 23 della Carta dei diritti fondamentali dell'Unione europea.</w:t>
      </w:r>
    </w:p>
  </w:footnote>
  <w:footnote w:id="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w:t>
      </w:r>
      <w:hyperlink r:id="rId1" w:history="1">
        <w:r>
          <w:rPr>
            <w:rStyle w:val="Hyperlink"/>
            <w:rFonts w:ascii="Times New Roman" w:hAnsi="Times New Roman"/>
            <w:u w:val="none"/>
          </w:rPr>
          <w:t>https://ec.europa.eu/commission/sites/beta-political/files/social-summit-european-pillar-social-rights-booklet_it.pdf</w:t>
        </w:r>
      </w:hyperlink>
      <w:r>
        <w:rPr>
          <w:rFonts w:ascii="Times New Roman" w:hAnsi="Times New Roman"/>
        </w:rPr>
        <w:t>.</w:t>
      </w:r>
    </w:p>
  </w:footnote>
  <w:footnote w:id="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Entro il 2050 il miglioramento della parità di genere dovrebbe portare ad un aumento del PIL pro capite dell'UE compreso tra il 6,1 e il 9,6 %, corrispondente ad un aumento da 1,95 a 3,15 trilioni di EUR: </w:t>
      </w:r>
      <w:hyperlink r:id="rId2" w:history="1">
        <w:r>
          <w:rPr>
            <w:rStyle w:val="Hyperlink"/>
            <w:rFonts w:ascii="Times New Roman" w:hAnsi="Times New Roman"/>
            <w:u w:val="none"/>
          </w:rPr>
          <w:t>https://eige.europa.eu/gender-mainstreaming/policy-areas/economic-and-financial-affairs/economic-benefits-gender-equality</w:t>
        </w:r>
      </w:hyperlink>
      <w:r>
        <w:rPr>
          <w:rFonts w:ascii="Times New Roman" w:hAnsi="Times New Roman"/>
        </w:rPr>
        <w:t>.</w:t>
      </w:r>
    </w:p>
  </w:footnote>
  <w:footnote w:id="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In particolare, per l'attuazione dell'obiettivo di sviluppo sostenibile n. 5 sulla parità di genere, secondo l'EM2030 </w:t>
      </w:r>
      <w:r>
        <w:rPr>
          <w:rFonts w:ascii="Times New Roman" w:hAnsi="Times New Roman"/>
          <w:i/>
          <w:iCs/>
        </w:rPr>
        <w:t>SDG Gender Index</w:t>
      </w:r>
      <w:r>
        <w:rPr>
          <w:rFonts w:ascii="Times New Roman" w:hAnsi="Times New Roman"/>
        </w:rPr>
        <w:t xml:space="preserve"> (Indice sulla parità di genere per OSS) 2019:</w:t>
      </w:r>
      <w:r>
        <w:rPr>
          <w:rFonts w:ascii="Times New Roman" w:hAnsi="Times New Roman"/>
          <w:sz w:val="16"/>
        </w:rPr>
        <w:t xml:space="preserve"> </w:t>
      </w:r>
      <w:hyperlink r:id="rId3" w:history="1">
        <w:r>
          <w:rPr>
            <w:rStyle w:val="Hyperlink"/>
            <w:rFonts w:ascii="Times New Roman" w:hAnsi="Times New Roman"/>
            <w:u w:val="none"/>
          </w:rPr>
          <w:t>https://data.em2030.org/em2030-sdg-gender-index/</w:t>
        </w:r>
      </w:hyperlink>
      <w:r>
        <w:rPr>
          <w:rFonts w:ascii="Times New Roman" w:hAnsi="Times New Roman"/>
        </w:rPr>
        <w:t>.</w:t>
      </w:r>
    </w:p>
  </w:footnote>
  <w:footnote w:id="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L'UE ha adottato sei direttive riguardanti la parità tra donne e uomini sul luogo di lavoro, nel lavoro autonomo, nell'accesso a beni e servizi, nella sicurezza sociale e nel periodo di gravidanza e maternità, sui congedi familiari e sulle formule di lavoro flessibili per i genitori e i prestatori di assistenza. Insieme, queste direttive hanno creato progressivamente un quadro giuridico europeo che garantisce un'ampia protezione dalle discriminazioni. Numerose cause intentate dinanzi alla Corte di giustizia dell'Unione europea hanno ulteriormente rafforzato il principio dell'uguaglianza e reso giustizia alle vittime di discriminazioni.</w:t>
      </w:r>
    </w:p>
  </w:footnote>
  <w:footnote w:id="7">
    <w:p>
      <w:pPr>
        <w:pStyle w:val="FootnoteText"/>
        <w:jc w:val="both"/>
      </w:pPr>
      <w:r>
        <w:rPr>
          <w:rStyle w:val="FootnoteReference"/>
          <w:rFonts w:ascii="Times New Roman" w:hAnsi="Times New Roman" w:cs="Times New Roman"/>
        </w:rPr>
        <w:footnoteRef/>
      </w:r>
      <w:r>
        <w:t xml:space="preserve"> </w:t>
      </w:r>
      <w:r>
        <w:rPr>
          <w:rFonts w:ascii="Times New Roman" w:hAnsi="Times New Roman"/>
        </w:rPr>
        <w:t>Per "genere" si intendono i ruoli, i comportamenti, le attività e gli attributi socialmente costruiti che una determinata società considera appropriati per donne e uomini (cfr. articolo 3, lettera c), della Convenzione del Consiglio d'Europa sulla prevenzione e la lotta contro la violenza nei confronti delle donne e la violenza domestica).</w:t>
      </w:r>
    </w:p>
  </w:footnote>
  <w:footnote w:id="8">
    <w:p>
      <w:pPr>
        <w:pStyle w:val="FootnoteText"/>
        <w:contextualSpacing/>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Istituto europeo per l'uguaglianza di genere (EIGE): </w:t>
      </w:r>
      <w:hyperlink r:id="rId4" w:history="1">
        <w:r>
          <w:rPr>
            <w:rStyle w:val="Hyperlink"/>
            <w:rFonts w:ascii="Times New Roman" w:hAnsi="Times New Roman"/>
            <w:u w:val="none"/>
          </w:rPr>
          <w:t>https://eige.europa.eu/gender-equality-index/2019</w:t>
        </w:r>
      </w:hyperlink>
      <w:r>
        <w:rPr>
          <w:rStyle w:val="Hyperlink"/>
          <w:rFonts w:ascii="Times New Roman" w:hAnsi="Times New Roman"/>
          <w:u w:val="none"/>
        </w:rPr>
        <w:t>.</w:t>
      </w:r>
      <w:r>
        <w:rPr>
          <w:rFonts w:ascii="Times New Roman" w:hAnsi="Times New Roman"/>
        </w:rPr>
        <w:t xml:space="preserve"> </w:t>
      </w:r>
    </w:p>
  </w:footnote>
  <w:footnote w:id="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Secondo l'impegno strategico 2016-2019 della Commissione per la parità di genere.</w:t>
      </w:r>
    </w:p>
  </w:footnote>
  <w:footnote w:id="1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In questa strategia, l'espressione "in tutta la loro diversità" sta ad indicare che ogni volta che si parla di donne o uomini ci si riferisce a categorie eterogenee che comprendono il sesso, l'identità di genere, l'espressione di genere o le caratteristiche sessuali. Si tratta di un'espressione che sancisce l'impegno a non lasciare indietro nessuno e a realizzare un'Europa che garantisca la parità di genere per tutti, indipendentemente dal sesso, dalla razza o dall'origine etnica, dalla religione o dalle convinzioni personali, dalla disabilità, dall'età o dall'orientamento sessuale.</w:t>
      </w:r>
    </w:p>
  </w:footnote>
  <w:footnote w:id="1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L'EIGE definisce l'"intersezionalità" come uno "strumento analitico per studiare, comprendere e rispondere ai modi in cui sesso e genere si intersecano con altre caratteristiche/identità personali e i modi in cui tali intersezioni contribuiscono a determinare esperienze di discriminazione specifiche" (cfr.: </w:t>
      </w:r>
      <w:hyperlink r:id="rId5" w:history="1">
        <w:r>
          <w:rPr>
            <w:rStyle w:val="Hyperlink"/>
            <w:rFonts w:ascii="Times New Roman" w:hAnsi="Times New Roman"/>
            <w:u w:val="none"/>
          </w:rPr>
          <w:t>https://eige.europa.eu/thesaurus/terms/1263</w:t>
        </w:r>
      </w:hyperlink>
      <w:r>
        <w:rPr>
          <w:rFonts w:ascii="Times New Roman" w:hAnsi="Times New Roman"/>
        </w:rPr>
        <w:t>). Ai sensi dell'articolo 10 del TFUE, "nella definizione e nell'attuazione delle sue politiche e azioni, l'Unione mira a combattere le discriminazioni fondate sul sesso, la razza o l'origine etnica, la religione o le convinzioni personali, la disabilità, l'età o l'orientamento sessuale".</w:t>
      </w:r>
    </w:p>
  </w:footnote>
  <w:footnote w:id="1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6" w:history="1">
        <w:r>
          <w:rPr>
            <w:rStyle w:val="Hyperlink"/>
            <w:rFonts w:ascii="Times New Roman" w:hAnsi="Times New Roman"/>
            <w:u w:val="none"/>
          </w:rPr>
          <w:t>https://beijing20.unwomen.org/en/about</w:t>
        </w:r>
      </w:hyperlink>
      <w:r>
        <w:rPr>
          <w:rFonts w:ascii="Times New Roman" w:hAnsi="Times New Roman"/>
        </w:rPr>
        <w:t>.</w:t>
      </w:r>
    </w:p>
  </w:footnote>
  <w:footnote w:id="13">
    <w:p>
      <w:pPr>
        <w:pStyle w:val="End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7" w:history="1">
        <w:r>
          <w:rPr>
            <w:rStyle w:val="Hyperlink"/>
            <w:rFonts w:ascii="Times New Roman" w:hAnsi="Times New Roman"/>
            <w:u w:val="none"/>
          </w:rPr>
          <w:t>https://ec.europa.eu/europeaid/policies/sustainable-development-goals_en</w:t>
        </w:r>
      </w:hyperlink>
      <w:r>
        <w:rPr>
          <w:rFonts w:ascii="Times New Roman" w:hAnsi="Times New Roman"/>
        </w:rPr>
        <w:t>.</w:t>
      </w:r>
    </w:p>
  </w:footnote>
  <w:footnote w:id="1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Articolo 3, lettera d), della Convenzione di Istanbul</w:t>
      </w:r>
      <w:r>
        <w:t>.</w:t>
      </w:r>
    </w:p>
  </w:footnote>
  <w:footnote w:id="1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Agenzia dell'Unione europea per i diritti fondamentali (FRA), "Violenza contro le donne: un'indagine a livello di Unione europea, 2014" – cfr. infografica.</w:t>
      </w:r>
    </w:p>
  </w:footnote>
  <w:footnote w:id="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Domanda di parere presentata dal Parlamento europeo ai sensi dell'articolo 218, paragrafo 11, del TFUE (parere 1/19).</w:t>
      </w:r>
    </w:p>
  </w:footnote>
  <w:footnote w:id="1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Le cifre indicate nell'infografica provengono da recenti studi della rete europea End FGM, cfr.: </w:t>
      </w:r>
      <w:hyperlink r:id="rId8" w:history="1">
        <w:r>
          <w:rPr>
            <w:rStyle w:val="Hyperlink"/>
            <w:rFonts w:ascii="Times New Roman" w:hAnsi="Times New Roman"/>
            <w:u w:val="none"/>
          </w:rPr>
          <w:t>https://www.endfgm.eu/female-genital-mutilation/fgm-in-europe</w:t>
        </w:r>
      </w:hyperlink>
      <w:r>
        <w:rPr>
          <w:rFonts w:ascii="Times New Roman" w:hAnsi="Times New Roman"/>
        </w:rPr>
        <w:t>.</w:t>
      </w:r>
    </w:p>
  </w:footnote>
  <w:footnote w:id="1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Direttiva 2012/29/UE che istituisce norme minime in materia di diritti, assistenza e protezione delle vittime di reato.</w:t>
      </w:r>
    </w:p>
  </w:footnote>
  <w:footnote w:id="1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Il 34 % delle donne con problemi di salute o disabilità, ad esempio, ha subito violenza fisica o sessuale dal proprio partner, contro il 19 % delle donne che non hanno problemi analoghi (Agenzia dell'Unione europea per i diritti fondamentali (FRA), "Violenza contro le donne: un'indagine a livello di Unione europea", 2014).</w:t>
      </w:r>
    </w:p>
  </w:footnote>
  <w:footnote w:id="2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In attuazione delle raccomandazioni del comitato delle Nazioni Unite sui diritti delle persone con disabilità rivolte all'UE, in particolare per quanto riguarda gli articoli 6 (donne con disabilità) e 16 (libertà da sfruttamento, violenza e abusi).</w:t>
      </w:r>
    </w:p>
  </w:footnote>
  <w:footnote w:id="2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Secondo l'EIGE, il termine "mascolinità" sta ad indicare i "diversi modi di intendere l'essere uomo, compresi i modelli di comportamento legati al posto che gli uomini occupano all'interno di un sistema determinato di ruoli e di relazioni di genere", cfr.: </w:t>
      </w:r>
      <w:hyperlink r:id="rId9" w:history="1">
        <w:r>
          <w:rPr>
            <w:rStyle w:val="Hyperlink"/>
            <w:rFonts w:ascii="Times New Roman" w:hAnsi="Times New Roman"/>
            <w:u w:val="none"/>
          </w:rPr>
          <w:t>https://eige.europa.eu/thesaurus/terms/1285</w:t>
        </w:r>
      </w:hyperlink>
      <w:r>
        <w:rPr>
          <w:rFonts w:ascii="Times New Roman" w:hAnsi="Times New Roman"/>
        </w:rPr>
        <w:t>.</w:t>
      </w:r>
    </w:p>
  </w:footnote>
  <w:footnote w:id="2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OIL, Convenzione 190 e Raccomandazione 206 sulla violenza e sulle molestie.</w:t>
      </w:r>
    </w:p>
  </w:footnote>
  <w:footnote w:id="2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Direttiva 2006/54/CE riguardante l'attuazione del principio delle pari opportunità e della parità di trattamento fra uomini e donne in materia di occupazione e impiego (rifusione).</w:t>
      </w:r>
    </w:p>
  </w:footnote>
  <w:footnote w:id="2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0" w:history="1">
        <w:r>
          <w:rPr>
            <w:rStyle w:val="Hyperlink"/>
            <w:rFonts w:ascii="Times New Roman" w:hAnsi="Times New Roman"/>
            <w:u w:val="none"/>
          </w:rPr>
          <w:t>https://ec.europa.eu/digital-single-market/en/new-eu-rules-e-commerce</w:t>
        </w:r>
      </w:hyperlink>
      <w:r>
        <w:rPr>
          <w:rStyle w:val="Hyperlink"/>
          <w:rFonts w:ascii="Times New Roman" w:hAnsi="Times New Roman"/>
          <w:u w:val="none"/>
        </w:rPr>
        <w:t>.</w:t>
      </w:r>
    </w:p>
  </w:footnote>
  <w:footnote w:id="25">
    <w:p>
      <w:pPr>
        <w:pStyle w:val="FootnoteText"/>
        <w:keepLines/>
        <w:widowControl w:val="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Sulla base della cooperazione nell'ambito del Forum dell'UE su Internet, che ha portato all'adozione del codice di condotta dell'UE contro l'illecito incitamento all'odio online</w:t>
      </w:r>
      <w:r>
        <w:t>.</w:t>
      </w:r>
    </w:p>
  </w:footnote>
  <w:footnote w:id="2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 tratta di esseri umani è riconosciuta come violenza contro le donne e le ragazze in linea con l'articolo 6 della Convenzione delle Nazioni Unite sull'eliminazione di ogni forma di discriminazione nei confronti della donna (CEDAW).</w:t>
      </w:r>
    </w:p>
  </w:footnote>
  <w:footnote w:id="27">
    <w:p>
      <w:pPr>
        <w:pStyle w:val="FootnoteText"/>
      </w:pPr>
      <w:r>
        <w:rPr>
          <w:rStyle w:val="FootnoteReference"/>
          <w:rFonts w:ascii="Times New Roman" w:hAnsi="Times New Roman" w:cs="Times New Roman"/>
        </w:rPr>
        <w:footnoteRef/>
      </w:r>
      <w:r>
        <w:rPr>
          <w:rFonts w:ascii="Times New Roman" w:hAnsi="Times New Roman"/>
        </w:rPr>
        <w:t xml:space="preserve"> Come stabilito nella direttiva 2011/36/UE concernente la prevenzione e la repressione della tratta di esseri umani e la protezione delle vittime.</w:t>
      </w:r>
    </w:p>
  </w:footnote>
  <w:footnote w:id="28">
    <w:p>
      <w:pPr>
        <w:pStyle w:val="FootnoteText"/>
        <w:jc w:val="both"/>
      </w:pPr>
      <w:r>
        <w:rPr>
          <w:rStyle w:val="FootnoteReference"/>
          <w:rFonts w:ascii="Times New Roman" w:hAnsi="Times New Roman" w:cs="Times New Roman"/>
        </w:rPr>
        <w:footnoteRef/>
      </w:r>
      <w:r>
        <w:rPr>
          <w:rFonts w:ascii="Times New Roman" w:hAnsi="Times New Roman"/>
        </w:rPr>
        <w:t xml:space="preserve"> Speciale Eurobarometro 465, giugno 2017 – cfr. infografica.</w:t>
      </w:r>
      <w:r>
        <w:t xml:space="preserve"> </w:t>
      </w:r>
    </w:p>
  </w:footnote>
  <w:footnote w:id="2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Commissione europea, "Libro bianco sull'intelligenza artificiale - Un approccio europeo all'eccellenza e alla fiducia", COM(2020) 65 final: </w:t>
      </w:r>
      <w:hyperlink r:id="rId11" w:history="1">
        <w:r>
          <w:rPr>
            <w:rStyle w:val="Hyperlink"/>
            <w:rFonts w:ascii="Times New Roman" w:hAnsi="Times New Roman"/>
            <w:u w:val="none"/>
          </w:rPr>
          <w:t>https://eur-lex.europa.eu/legal-content/IT/TXT/PDF/?uri=CELEX:52020DC0065R(01)&amp;qid=1583325193686&amp;from=IT</w:t>
        </w:r>
      </w:hyperlink>
      <w:r>
        <w:rPr>
          <w:rFonts w:ascii="Times New Roman" w:hAnsi="Times New Roman"/>
        </w:rPr>
        <w:t>.</w:t>
      </w:r>
    </w:p>
  </w:footnote>
  <w:footnote w:id="3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2" w:history="1">
        <w:r>
          <w:rPr>
            <w:rStyle w:val="Hyperlink"/>
            <w:rFonts w:ascii="Times New Roman" w:hAnsi="Times New Roman"/>
            <w:u w:val="none"/>
          </w:rPr>
          <w:t>https://ec.europa.eu/info/horizon-europe-next-research-and-innovation-framework-programme_en</w:t>
        </w:r>
      </w:hyperlink>
      <w:r>
        <w:rPr>
          <w:rFonts w:ascii="Times New Roman" w:hAnsi="Times New Roman"/>
        </w:rPr>
        <w:t>.</w:t>
      </w:r>
    </w:p>
  </w:footnote>
  <w:footnote w:id="3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ad esempio, lo studio "Parità di genere nel settore dei media", condotto nel 2018 per la commissione FEMM sui diritti delle donne e la parità di genere del Parlamento europeo.</w:t>
      </w:r>
    </w:p>
  </w:footnote>
  <w:footnote w:id="3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3" w:history="1">
        <w:r>
          <w:rPr>
            <w:rStyle w:val="Hyperlink"/>
            <w:rFonts w:ascii="Times New Roman" w:hAnsi="Times New Roman"/>
            <w:u w:val="none"/>
          </w:rPr>
          <w:t>https://ec.europa.eu/programmes/creative-europe/node_it</w:t>
        </w:r>
      </w:hyperlink>
      <w:r>
        <w:rPr>
          <w:rFonts w:ascii="Times New Roman" w:hAnsi="Times New Roman"/>
        </w:rPr>
        <w:t>.</w:t>
      </w:r>
    </w:p>
  </w:footnote>
  <w:footnote w:id="3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4" w:history="1">
        <w:r>
          <w:rPr>
            <w:rStyle w:val="Hyperlink"/>
            <w:rFonts w:ascii="Times New Roman" w:hAnsi="Times New Roman"/>
            <w:u w:val="none"/>
          </w:rPr>
          <w:t>https://ec.europa.eu/digital-single-market/en/media-sub-programme-creative-europe</w:t>
        </w:r>
      </w:hyperlink>
      <w:r>
        <w:rPr>
          <w:rFonts w:ascii="Times New Roman" w:hAnsi="Times New Roman"/>
        </w:rPr>
        <w:t>.</w:t>
      </w:r>
    </w:p>
  </w:footnote>
  <w:footnote w:id="3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Direttiva 2011/93/UE relativa alla lotta contro l'abuso e lo sfruttamento sessuale dei minori e la pornografia minorile.</w:t>
      </w:r>
    </w:p>
  </w:footnote>
  <w:footnote w:id="3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In particolare: la direttiva 2011/36/UE concernente la prevenzione e la repressione della tratta di esseri umani e la protezione delle vittime, la direttiva 2011/99/UE sull'ordine di protezione europeo, il regolamento (UE) n. 606/2013 relativo al riconoscimento reciproco delle misure di protezione in materia civile e la direttiva 2004/80/CE del Consiglio relativa all'indennizzo delle vittime di reato.</w:t>
      </w:r>
    </w:p>
  </w:footnote>
  <w:footnote w:id="3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Eurostat, 2019, </w:t>
      </w:r>
      <w:hyperlink r:id="rId15" w:history="1">
        <w:r>
          <w:rPr>
            <w:rStyle w:val="Hyperlink"/>
            <w:rFonts w:ascii="Times New Roman" w:hAnsi="Times New Roman"/>
            <w:u w:val="none"/>
          </w:rPr>
          <w:t>https://ec.europa.eu/eurostat/web/products-datasets/product?code=sdg_05_30</w:t>
        </w:r>
      </w:hyperlink>
      <w:r>
        <w:rPr>
          <w:rFonts w:ascii="Times New Roman" w:hAnsi="Times New Roman"/>
        </w:rPr>
        <w:t xml:space="preserve"> e </w:t>
      </w:r>
      <w:hyperlink r:id="rId16" w:history="1">
        <w:r>
          <w:rPr>
            <w:rStyle w:val="Hyperlink"/>
            <w:rFonts w:ascii="Times New Roman" w:hAnsi="Times New Roman"/>
            <w:u w:val="none"/>
          </w:rPr>
          <w:t>https://appsso.eurostat.ec.europa.eu/nui/show.do?dataset=lfsi_emp_a&amp;lang=en</w:t>
        </w:r>
      </w:hyperlink>
      <w:r>
        <w:rPr>
          <w:rFonts w:ascii="Times New Roman" w:hAnsi="Times New Roman"/>
        </w:rPr>
        <w:t xml:space="preserve"> – cfr. infografica.</w:t>
      </w:r>
    </w:p>
  </w:footnote>
  <w:footnote w:id="3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7" w:history="1">
        <w:r>
          <w:rPr>
            <w:rStyle w:val="Hyperlink"/>
            <w:rFonts w:ascii="Times New Roman" w:hAnsi="Times New Roman"/>
            <w:u w:val="none"/>
          </w:rPr>
          <w:t>https://ec.europa.eu/eurostat/statistics-explained/pdfscache/35409.pdf</w:t>
        </w:r>
      </w:hyperlink>
      <w:r>
        <w:t xml:space="preserve"> </w:t>
      </w:r>
      <w:r>
        <w:rPr>
          <w:rFonts w:ascii="Times New Roman" w:hAnsi="Times New Roman"/>
        </w:rPr>
        <w:t xml:space="preserve">e Agenzia per i diritti fondamentali (FRA), </w:t>
      </w:r>
      <w:r>
        <w:rPr>
          <w:rFonts w:ascii="Times New Roman" w:hAnsi="Times New Roman"/>
          <w:i/>
          <w:iCs/>
        </w:rPr>
        <w:t>Roma Women in nine EU Member States</w:t>
      </w:r>
      <w:r>
        <w:rPr>
          <w:rFonts w:ascii="Times New Roman" w:hAnsi="Times New Roman"/>
        </w:rPr>
        <w:t xml:space="preserve"> (non disponibile in italiano, "Donne rom in nove Stati membri dell'UE"), 2019 – cfr. infografica.</w:t>
      </w:r>
    </w:p>
  </w:footnote>
  <w:footnote w:id="3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Eurostat, "Indagine sul lavoro forzato", calcoli effettuati sulla base di </w:t>
      </w:r>
      <w:r>
        <w:rPr>
          <w:rFonts w:ascii="Times New Roman" w:hAnsi="Times New Roman"/>
          <w:i/>
          <w:iCs/>
        </w:rPr>
        <w:t>lfsa_eegan2</w:t>
      </w:r>
      <w:r>
        <w:rPr>
          <w:rFonts w:ascii="Times New Roman" w:hAnsi="Times New Roman"/>
          <w:iCs/>
        </w:rPr>
        <w:t xml:space="preserve"> – cfr. infografica.</w:t>
      </w:r>
    </w:p>
  </w:footnote>
  <w:footnote w:id="3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ad esempio, ENAR, </w:t>
      </w:r>
      <w:r>
        <w:rPr>
          <w:rFonts w:ascii="Times New Roman" w:hAnsi="Times New Roman"/>
          <w:i/>
          <w:iCs/>
        </w:rPr>
        <w:t>Racism and discrimination in Employment in Europe 2013-2017</w:t>
      </w:r>
      <w:r>
        <w:rPr>
          <w:rFonts w:ascii="Times New Roman" w:hAnsi="Times New Roman"/>
        </w:rPr>
        <w:t xml:space="preserve"> (non disponibile in italiano, "Razzismo e discriminazione nel mondo del lavoro in Europa, 2013-2017"), 2017. </w:t>
      </w:r>
    </w:p>
  </w:footnote>
  <w:footnote w:id="4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Direttiva (UE) 2019/1158 relativa all'equilibrio tra attività professionale e vita familiare per i genitori e i prestatori di assistenza.</w:t>
      </w:r>
    </w:p>
  </w:footnote>
  <w:footnote w:id="4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 direttiva sull'equilibrio tra attività professionale e vita familiare sarà recepita dagli Stati membri entro il 2 agosto 2022 (entro il 2 agosto 2024 per quanto riguarda il pagamento delle ultime due settimane del periodo minimo di due mesi di congedo parentale).</w:t>
      </w:r>
    </w:p>
  </w:footnote>
  <w:footnote w:id="4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Per le misure in vigore, cfr. Commissione europea, "Relazione 2019 sulla diversità e sull'uguaglianza di genere" (documento interno).</w:t>
      </w:r>
    </w:p>
  </w:footnote>
  <w:footnote w:id="4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8" w:history="1">
        <w:r>
          <w:rPr>
            <w:rStyle w:val="Hyperlink"/>
            <w:rFonts w:ascii="Times New Roman" w:hAnsi="Times New Roman"/>
            <w:u w:val="none"/>
          </w:rPr>
          <w:t>https://ec.europa.eu/info/business-economy-euro/economic-and-fiscal-policy-coordination/eu-economic-governance-monitoring-prevention-correction/european-semester_it</w:t>
        </w:r>
      </w:hyperlink>
      <w:r>
        <w:rPr>
          <w:rFonts w:ascii="Times New Roman" w:hAnsi="Times New Roman"/>
        </w:rPr>
        <w:t>.</w:t>
      </w:r>
    </w:p>
  </w:footnote>
  <w:footnote w:id="4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bCs/>
        </w:rPr>
        <w:t>Il principio 2 del pilastro riguarda la parità di genere, ma le sfide legate al genere sono affrontate anche nell'ambito di numerosi altri principi, tra cui quelli sulle pari opportunità (principio 3), l'equilibrio tra vita professionale e vita privata (principio 9), l'assistenza all'infanzia e il sostegno ai minori (principio 11), il reddito e le pensioni di vecchiaia (principio 15) e l'assistenza a lungo termine (principio 18).</w:t>
      </w:r>
    </w:p>
  </w:footnote>
  <w:footnote w:id="4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Società finanziaria internazionale (International Finance Corporation), </w:t>
      </w:r>
      <w:r>
        <w:rPr>
          <w:rFonts w:ascii="Times New Roman" w:hAnsi="Times New Roman"/>
          <w:i/>
        </w:rPr>
        <w:t>Moving toward gender balance in private equity and venture capital</w:t>
      </w:r>
      <w:r>
        <w:rPr>
          <w:rFonts w:ascii="Times New Roman" w:hAnsi="Times New Roman"/>
        </w:rPr>
        <w:t xml:space="preserve"> (non disponibile in italiano, "Verso un equilibrio di genere nelle società di private equity e venture capital"), 2019; Biegel, S., Hunt, S. M., Kuhlman, S., Project Sage 2.0 </w:t>
      </w:r>
      <w:r>
        <w:rPr>
          <w:rFonts w:ascii="Times New Roman" w:hAnsi="Times New Roman"/>
          <w:i/>
        </w:rPr>
        <w:t>Tracking venture capital with a gender lens</w:t>
      </w:r>
      <w:r>
        <w:rPr>
          <w:rFonts w:ascii="Times New Roman" w:hAnsi="Times New Roman"/>
        </w:rPr>
        <w:t xml:space="preserve"> (non disponibile in italiano, "Monitorare il capitale di rischio in un'ottica di genere"), 2019, e Atomico, </w:t>
      </w:r>
      <w:r>
        <w:rPr>
          <w:rFonts w:ascii="Times New Roman" w:hAnsi="Times New Roman"/>
          <w:i/>
          <w:iCs/>
        </w:rPr>
        <w:t>State of European Tech 2019 Report</w:t>
      </w:r>
      <w:r>
        <w:rPr>
          <w:rFonts w:ascii="Times New Roman" w:hAnsi="Times New Roman"/>
        </w:rPr>
        <w:t xml:space="preserve"> (</w:t>
      </w:r>
      <w:hyperlink r:id="rId19" w:history="1">
        <w:r>
          <w:rPr>
            <w:rStyle w:val="Hyperlink"/>
            <w:rFonts w:ascii="Times New Roman" w:hAnsi="Times New Roman"/>
            <w:u w:val="none"/>
          </w:rPr>
          <w:t>https://2019.stateofeuropeantech.com/chapter/state-european-tech-2019/article/executive-summary</w:t>
        </w:r>
      </w:hyperlink>
      <w:r>
        <w:rPr>
          <w:rFonts w:ascii="Times New Roman" w:hAnsi="Times New Roman"/>
        </w:rPr>
        <w:t>) (non disponibile in italiano, "Relazione 2019 sullo stato della tecnologia europea") – cfr. infografica.</w:t>
      </w:r>
    </w:p>
  </w:footnote>
  <w:footnote w:id="4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0" w:history="1">
        <w:r>
          <w:rPr>
            <w:rStyle w:val="Hyperlink"/>
            <w:rFonts w:ascii="Times New Roman" w:hAnsi="Times New Roman"/>
            <w:u w:val="none"/>
          </w:rPr>
          <w:t>https://ec.europa.eu/research/eic/index.cfm</w:t>
        </w:r>
      </w:hyperlink>
      <w:r>
        <w:rPr>
          <w:rStyle w:val="Hyperlink"/>
          <w:rFonts w:ascii="Times New Roman" w:hAnsi="Times New Roman"/>
          <w:u w:val="none"/>
        </w:rPr>
        <w:t>.</w:t>
      </w:r>
      <w:r>
        <w:rPr>
          <w:rFonts w:ascii="Times New Roman" w:hAnsi="Times New Roman"/>
        </w:rPr>
        <w:t xml:space="preserve"> </w:t>
      </w:r>
    </w:p>
  </w:footnote>
  <w:footnote w:id="4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Rapporto PISA 2019, </w:t>
      </w:r>
      <w:hyperlink r:id="rId21" w:history="1">
        <w:r>
          <w:rPr>
            <w:rStyle w:val="Hyperlink"/>
            <w:rFonts w:ascii="Times New Roman" w:hAnsi="Times New Roman"/>
            <w:u w:val="none"/>
          </w:rPr>
          <w:t>http://www.oecd.org/pisa/PISA%202018%20Insights%20and%20Interpretations%20FINAL%20PDF.pdf</w:t>
        </w:r>
      </w:hyperlink>
      <w:r>
        <w:rPr>
          <w:rFonts w:ascii="Times New Roman" w:hAnsi="Times New Roman"/>
        </w:rPr>
        <w:t xml:space="preserve">; Commissione europea, "Le donne nell'era digitale – Relazione finale" (2018) e Forum economico mondiale, </w:t>
      </w:r>
      <w:r>
        <w:rPr>
          <w:rFonts w:ascii="Times New Roman" w:hAnsi="Times New Roman"/>
          <w:i/>
        </w:rPr>
        <w:t>Gender Gap Report 2020</w:t>
      </w:r>
      <w:r>
        <w:rPr>
          <w:rFonts w:ascii="Times New Roman" w:hAnsi="Times New Roman"/>
        </w:rPr>
        <w:t xml:space="preserve"> (non disponibile in italiano, "Relazione sul divario di genere 2020") – cfr. infografica.</w:t>
      </w:r>
    </w:p>
  </w:footnote>
  <w:footnote w:id="4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Eurostat, </w:t>
      </w:r>
      <w:r>
        <w:rPr>
          <w:rFonts w:ascii="Times New Roman" w:hAnsi="Times New Roman"/>
          <w:i/>
        </w:rPr>
        <w:t>A decomposition of the unadjusted gender pay gap using Structure of Earnings Survey data</w:t>
      </w:r>
      <w:r>
        <w:rPr>
          <w:rFonts w:ascii="Times New Roman" w:hAnsi="Times New Roman"/>
        </w:rPr>
        <w:t xml:space="preserve"> (non disponibile in italiano, "Scomposizione del divario retributivo di genere non corretto, utilizzando i dati dell'indagine sulla struttura delle retribuzioni"), documento di lavoro statistico 2018.</w:t>
      </w:r>
    </w:p>
  </w:footnote>
  <w:footnote w:id="49">
    <w:p>
      <w:pPr>
        <w:pStyle w:val="NoSpacing"/>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rPr>
        <w:t xml:space="preserve"> Commissione europea, "Le TIC per il lavoro: competenze digitali sul luogo di lavoro", 2017. </w:t>
      </w:r>
    </w:p>
  </w:footnote>
  <w:footnote w:id="5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2" w:history="1">
        <w:r>
          <w:rPr>
            <w:rStyle w:val="Hyperlink"/>
            <w:rFonts w:ascii="Times New Roman" w:hAnsi="Times New Roman"/>
            <w:u w:val="none"/>
          </w:rPr>
          <w:t>https://ec.europa.eu/eurostat/web/products-eurostat-news/-/EDN-20180425-1</w:t>
        </w:r>
      </w:hyperlink>
      <w:r>
        <w:rPr>
          <w:rFonts w:ascii="Times New Roman" w:hAnsi="Times New Roman"/>
        </w:rPr>
        <w:t>.</w:t>
      </w:r>
    </w:p>
  </w:footnote>
  <w:footnote w:id="5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Tecnologie dell'informazione e della comunicazione.</w:t>
      </w:r>
    </w:p>
  </w:footnote>
  <w:footnote w:id="5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3" w:history="1">
        <w:r>
          <w:rPr>
            <w:rStyle w:val="Hyperlink"/>
            <w:rFonts w:ascii="Times New Roman" w:hAnsi="Times New Roman"/>
            <w:u w:val="none"/>
          </w:rPr>
          <w:t>https://op.europa.eu/en/publication-detail/-/publication/9540ffa1-4478-11e9-a8ed-01aa75ed71a1/language-en</w:t>
        </w:r>
      </w:hyperlink>
      <w:r>
        <w:rPr>
          <w:rFonts w:ascii="Times New Roman" w:hAnsi="Times New Roman"/>
        </w:rPr>
        <w:t>.</w:t>
      </w:r>
    </w:p>
  </w:footnote>
  <w:footnote w:id="5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Scienza, tecnologia, ingegneria e matematica.</w:t>
      </w:r>
    </w:p>
  </w:footnote>
  <w:footnote w:id="5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i/>
        </w:rPr>
        <w:t xml:space="preserve"> 2018 International Computer and Information Literacy Study (ICILS)</w:t>
      </w:r>
      <w:r>
        <w:rPr>
          <w:rFonts w:ascii="Times New Roman" w:hAnsi="Times New Roman"/>
        </w:rPr>
        <w:t xml:space="preserve"> (non disponibile in italiano, "Studio internazionale sull'alfabetizzazione informatica, 2018").</w:t>
      </w:r>
    </w:p>
  </w:footnote>
  <w:footnote w:id="5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4" w:history="1">
        <w:r>
          <w:rPr>
            <w:rStyle w:val="Hyperlink"/>
            <w:rFonts w:ascii="Times New Roman" w:hAnsi="Times New Roman"/>
            <w:u w:val="none"/>
          </w:rPr>
          <w:t>https://ec.europa.eu/digital-single-market/en/news/eu-countries-commit-boost-participation-women-digital</w:t>
        </w:r>
      </w:hyperlink>
      <w:r>
        <w:rPr>
          <w:rFonts w:ascii="Times New Roman" w:hAnsi="Times New Roman"/>
        </w:rPr>
        <w:t>.</w:t>
      </w:r>
    </w:p>
  </w:footnote>
  <w:footnote w:id="5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Eurostat, 2018: </w:t>
      </w:r>
      <w:hyperlink r:id="rId25" w:history="1">
        <w:r>
          <w:rPr>
            <w:rFonts w:ascii="Times New Roman" w:hAnsi="Times New Roman"/>
            <w:color w:val="0000FF"/>
          </w:rPr>
          <w:t>https://ec.europa.eu/eurostat/databrowser/product/view/SDG_05_20?lang=en</w:t>
        </w:r>
      </w:hyperlink>
      <w:r>
        <w:rPr>
          <w:rFonts w:ascii="Times New Roman" w:hAnsi="Times New Roman"/>
        </w:rPr>
        <w:t xml:space="preserve">; </w:t>
      </w:r>
      <w:hyperlink r:id="rId26" w:history="1">
        <w:r>
          <w:rPr>
            <w:rFonts w:ascii="Times New Roman" w:hAnsi="Times New Roman"/>
            <w:color w:val="0000FF"/>
          </w:rPr>
          <w:t>https://appsso.eurostat.ec.europa.eu/nui/show.do?dataset=ilc_pnp13&amp;lang=en</w:t>
        </w:r>
      </w:hyperlink>
      <w:r>
        <w:rPr>
          <w:rFonts w:ascii="Times New Roman" w:hAnsi="Times New Roman"/>
        </w:rPr>
        <w:t xml:space="preserve">; e </w:t>
      </w:r>
      <w:hyperlink r:id="rId27" w:history="1">
        <w:r>
          <w:rPr>
            <w:rFonts w:ascii="Times New Roman" w:hAnsi="Times New Roman"/>
            <w:color w:val="0000FF"/>
          </w:rPr>
          <w:t>https://appsso.eurostat.ec.europa.eu/nui/show.do?dataset=ilc_pnp14&amp;lang=en</w:t>
        </w:r>
      </w:hyperlink>
      <w:r>
        <w:rPr>
          <w:rFonts w:ascii="Times New Roman" w:hAnsi="Times New Roman"/>
        </w:rPr>
        <w:t xml:space="preserve"> – cfr. infografica.</w:t>
      </w:r>
    </w:p>
  </w:footnote>
  <w:footnote w:id="5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Uno dei motivi è dovuto al fatto che, in media, le donne svolgono meno ore di lavoro retribuito degli uomini: nell'UE solo l'8 % degli uomini lavora a tempo parziale, contro quasi un terzo delle donne (31 %) - cfr. Eurostat, 2018, </w:t>
      </w:r>
      <w:hyperlink r:id="rId28" w:history="1">
        <w:r>
          <w:rPr>
            <w:rStyle w:val="Hyperlink"/>
            <w:rFonts w:ascii="Times New Roman" w:hAnsi="Times New Roman"/>
            <w:u w:val="none"/>
          </w:rPr>
          <w:t>https://ec.europa.eu/eurostat/web/products-eurostat-news/-/DDN-20190621-1</w:t>
        </w:r>
      </w:hyperlink>
      <w:r>
        <w:rPr>
          <w:rFonts w:ascii="Times New Roman" w:hAnsi="Times New Roman"/>
        </w:rPr>
        <w:t>.</w:t>
      </w:r>
    </w:p>
  </w:footnote>
  <w:footnote w:id="5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Valutazione della disposizione pertinente contenuta nella direttiva 2006/54/CE che attua il principio del trattato sulla "parità delle retribuzioni per uno stesso lavoro o per un lavoro di pari valore", SWD(2020)50; relazione sull'attuazione del piano d'azione dell'UE per il 2017-2019 "Affrontare il problema del divario retributivo di genere", COM(2020)101.</w:t>
      </w:r>
    </w:p>
  </w:footnote>
  <w:footnote w:id="5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Da avviare contestualmente alla presente strategia.</w:t>
      </w:r>
    </w:p>
  </w:footnote>
  <w:footnote w:id="6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Relazione finale del gruppo di esperti ad alto livello sulle pensioni, dicembre 2019,</w:t>
      </w:r>
      <w:r>
        <w:rPr>
          <w:rFonts w:ascii="Times New Roman" w:hAnsi="Times New Roman"/>
        </w:rPr>
        <w:br/>
      </w:r>
      <w:hyperlink r:id="rId29" w:history="1">
        <w:r>
          <w:rPr>
            <w:rStyle w:val="Hyperlink"/>
            <w:rFonts w:ascii="Times New Roman" w:hAnsi="Times New Roman"/>
            <w:u w:val="none"/>
          </w:rPr>
          <w:t>https://ec.europa.eu/transparency/regexpert/index.cfm?do=groupDetail.groupDetail&amp;groupID=3589</w:t>
        </w:r>
      </w:hyperlink>
      <w:r>
        <w:rPr>
          <w:rFonts w:ascii="Times New Roman" w:hAnsi="Times New Roman"/>
        </w:rPr>
        <w:t>.</w:t>
      </w:r>
    </w:p>
  </w:footnote>
  <w:footnote w:id="6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lang w:val="en-US"/>
        </w:rPr>
        <w:t xml:space="preserve"> Maldonado, L. C., &amp; Nieuwenhuis, R., </w:t>
      </w:r>
      <w:r>
        <w:rPr>
          <w:rFonts w:ascii="Times New Roman" w:hAnsi="Times New Roman"/>
          <w:i/>
          <w:lang w:val="en-US"/>
        </w:rPr>
        <w:t>Family policies and single parent poverty in 18 OECD countries, 1978–2008</w:t>
      </w:r>
      <w:r>
        <w:rPr>
          <w:rFonts w:ascii="Times New Roman" w:hAnsi="Times New Roman"/>
          <w:lang w:val="en-US"/>
        </w:rPr>
        <w:t xml:space="preserve">. </w:t>
      </w:r>
      <w:r>
        <w:rPr>
          <w:rFonts w:ascii="Times New Roman" w:hAnsi="Times New Roman"/>
          <w:i/>
        </w:rPr>
        <w:t>Community, Work &amp; Family</w:t>
      </w:r>
      <w:r>
        <w:rPr>
          <w:rFonts w:ascii="Times New Roman" w:hAnsi="Times New Roman"/>
        </w:rPr>
        <w:t xml:space="preserve"> (non disponibile in italiano, "Politiche familiari e povertà del genitore solo, in 18 paesi OCSE, 1978-2008. Comunità, Lavoro e famiglia") 18(4): 395-415.</w:t>
      </w:r>
    </w:p>
  </w:footnote>
  <w:footnote w:id="6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0" w:history="1">
        <w:r>
          <w:rPr>
            <w:rStyle w:val="Hyperlink"/>
            <w:rFonts w:ascii="Times New Roman" w:hAnsi="Times New Roman"/>
            <w:u w:val="none"/>
          </w:rPr>
          <w:t>https://www.ilo.org/wcmsp5/groups/public/---dgreports/---cabinet/documents/publication/wcms_713376.pdf</w:t>
        </w:r>
      </w:hyperlink>
      <w:r>
        <w:rPr>
          <w:rFonts w:ascii="Times New Roman" w:hAnsi="Times New Roman"/>
        </w:rPr>
        <w:t xml:space="preserve">. </w:t>
      </w:r>
    </w:p>
  </w:footnote>
  <w:footnote w:id="6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Eurofound, </w:t>
      </w:r>
      <w:r>
        <w:rPr>
          <w:rFonts w:ascii="Times New Roman" w:hAnsi="Times New Roman"/>
          <w:i/>
        </w:rPr>
        <w:t>Striking a balance:</w:t>
      </w:r>
      <w:r>
        <w:rPr>
          <w:rFonts w:ascii="Times New Roman" w:hAnsi="Times New Roman"/>
        </w:rPr>
        <w:t xml:space="preserve"> </w:t>
      </w:r>
      <w:r>
        <w:rPr>
          <w:rFonts w:ascii="Times New Roman" w:hAnsi="Times New Roman"/>
          <w:i/>
          <w:iCs/>
        </w:rPr>
        <w:t>Reconciling work and life in the EU</w:t>
      </w:r>
      <w:r>
        <w:rPr>
          <w:rFonts w:ascii="Times New Roman" w:hAnsi="Times New Roman"/>
        </w:rPr>
        <w:t xml:space="preserve"> (non disponibile in italiano, "Trovare un equilibrio: conciliare lavoro e vita privata nell'UE"), 2018 – cfr. infografica.</w:t>
      </w:r>
    </w:p>
  </w:footnote>
  <w:footnote w:id="6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lang w:val="en-US"/>
        </w:rPr>
        <w:t xml:space="preserve"> Hoffmann, F., &amp; Rodrigues, R., </w:t>
      </w:r>
      <w:r>
        <w:rPr>
          <w:rFonts w:ascii="Times New Roman" w:hAnsi="Times New Roman"/>
          <w:i/>
          <w:lang w:val="en-US"/>
        </w:rPr>
        <w:t>Informal carers:</w:t>
      </w:r>
      <w:r>
        <w:rPr>
          <w:rFonts w:ascii="Times New Roman" w:hAnsi="Times New Roman"/>
          <w:lang w:val="en-US"/>
        </w:rPr>
        <w:t xml:space="preserve"> </w:t>
      </w:r>
      <w:r>
        <w:rPr>
          <w:rFonts w:ascii="Times New Roman" w:hAnsi="Times New Roman"/>
          <w:i/>
          <w:iCs/>
          <w:lang w:val="en-US"/>
        </w:rPr>
        <w:t>who takes care of them?</w:t>
      </w:r>
      <w:r>
        <w:rPr>
          <w:rFonts w:ascii="Times New Roman" w:hAnsi="Times New Roman"/>
          <w:lang w:val="en-US"/>
        </w:rPr>
        <w:t xml:space="preserve"> </w:t>
      </w:r>
      <w:r>
        <w:rPr>
          <w:rFonts w:ascii="Times New Roman" w:hAnsi="Times New Roman"/>
        </w:rPr>
        <w:t>(non disponibile in italiano, "I prestatori di assistenza informale: ma a loro chi dà assistenza?"), documento programmatico, aprile 2010, European Centre for Social Welfare Policy and Research (Centro europeo per la politica sociale e la ricerca), Vienna – cfr. infografica.</w:t>
      </w:r>
    </w:p>
  </w:footnote>
  <w:footnote w:id="6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1" w:history="1">
        <w:r>
          <w:rPr>
            <w:rStyle w:val="Hyperlink"/>
            <w:rFonts w:ascii="Times New Roman" w:hAnsi="Times New Roman"/>
            <w:u w:val="none"/>
          </w:rPr>
          <w:t>https://ec.europa.eu/info/sites/info/files/bcn_objectives-report2018_web_en.pdf</w:t>
        </w:r>
      </w:hyperlink>
      <w:r>
        <w:rPr>
          <w:rFonts w:ascii="Times New Roman" w:hAnsi="Times New Roman"/>
        </w:rPr>
        <w:t>.</w:t>
      </w:r>
    </w:p>
  </w:footnote>
  <w:footnote w:id="6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Tale legislazione include la direttiva sull'uguaglianza di genere in materia di occupazione e impiego, già oggetto di rifusione, le direttive sulla parità di genere nel lavoro autonomo, nell'accesso a beni e servizi, nella sicurezza sociale e nel periodo di gravidanza e la maternità, la direttiva sul lavoro a tempo parziale, la direttiva relativa a condizioni di lavoro trasparenti e prevedibili, la raccomandazione sull'accesso alla protezione sociale e la raccomandazione sugli organismi per la parità.</w:t>
      </w:r>
    </w:p>
  </w:footnote>
  <w:footnote w:id="6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EIGE, Banca dati delle statistiche di genere, </w:t>
      </w:r>
      <w:r>
        <w:rPr>
          <w:rFonts w:ascii="Times New Roman" w:hAnsi="Times New Roman"/>
          <w:i/>
          <w:iCs/>
        </w:rPr>
        <w:t>National parliaments:</w:t>
      </w:r>
      <w:r>
        <w:rPr>
          <w:rFonts w:ascii="Times New Roman" w:hAnsi="Times New Roman"/>
        </w:rPr>
        <w:t xml:space="preserve"> </w:t>
      </w:r>
      <w:r>
        <w:rPr>
          <w:rFonts w:ascii="Times New Roman" w:hAnsi="Times New Roman"/>
          <w:i/>
        </w:rPr>
        <w:t>Single/lower house</w:t>
      </w:r>
      <w:r>
        <w:rPr>
          <w:rFonts w:ascii="Times New Roman" w:hAnsi="Times New Roman"/>
        </w:rPr>
        <w:t xml:space="preserve"> (non disponibile in italiano, "Parlamenti nazionali: Camera unica/Camera bassa"), 2019 – cfr. infografica.</w:t>
      </w:r>
    </w:p>
  </w:footnote>
  <w:footnote w:id="6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OIL, </w:t>
      </w:r>
      <w:r>
        <w:rPr>
          <w:rFonts w:ascii="Times New Roman" w:hAnsi="Times New Roman"/>
          <w:i/>
        </w:rPr>
        <w:t>The business case for change</w:t>
      </w:r>
      <w:r>
        <w:rPr>
          <w:rFonts w:ascii="Times New Roman" w:hAnsi="Times New Roman"/>
        </w:rPr>
        <w:t xml:space="preserve"> (non disponibile in italiano, "Imprese: un buon motivo per cambiare"), 2019; McKinsey, </w:t>
      </w:r>
      <w:r>
        <w:rPr>
          <w:rFonts w:ascii="Times New Roman" w:hAnsi="Times New Roman"/>
          <w:i/>
        </w:rPr>
        <w:t>Women Matter report</w:t>
      </w:r>
      <w:r>
        <w:rPr>
          <w:rFonts w:ascii="Times New Roman" w:hAnsi="Times New Roman"/>
        </w:rPr>
        <w:t xml:space="preserve"> (non disponibile in italiano, "Relazione: le donne contano"), 2017; Catalyst, </w:t>
      </w:r>
      <w:r>
        <w:rPr>
          <w:rFonts w:ascii="Times New Roman" w:hAnsi="Times New Roman"/>
          <w:i/>
        </w:rPr>
        <w:t>Why Diversity and Inclusion Matter</w:t>
      </w:r>
      <w:r>
        <w:rPr>
          <w:rFonts w:ascii="Times New Roman" w:hAnsi="Times New Roman"/>
        </w:rPr>
        <w:t xml:space="preserve"> (non disponibile in italiano, "Perché la diversità e l'inclusione contano"), 2018; Rohini Anand, </w:t>
      </w:r>
      <w:r>
        <w:rPr>
          <w:rFonts w:ascii="Times New Roman" w:hAnsi="Times New Roman"/>
          <w:i/>
        </w:rPr>
        <w:t>Gender-Balanced Teams Linked to Better Business Performance:</w:t>
      </w:r>
      <w:r>
        <w:rPr>
          <w:rFonts w:ascii="Times New Roman" w:hAnsi="Times New Roman"/>
        </w:rPr>
        <w:t xml:space="preserve"> </w:t>
      </w:r>
      <w:r>
        <w:rPr>
          <w:rFonts w:ascii="Times New Roman" w:hAnsi="Times New Roman"/>
          <w:i/>
        </w:rPr>
        <w:t>A Sodexo Study</w:t>
      </w:r>
      <w:r>
        <w:rPr>
          <w:rFonts w:ascii="Times New Roman" w:hAnsi="Times New Roman"/>
        </w:rPr>
        <w:t xml:space="preserve"> (non disponibile in italiano, "Gruppi basati sull'equilibrio di genere e migliori risultati imprenditoriali: studio Sodexo"), 2016.</w:t>
      </w:r>
    </w:p>
  </w:footnote>
  <w:footnote w:id="6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EIGE, Banca dati delle statistiche di genere, </w:t>
      </w:r>
      <w:r>
        <w:rPr>
          <w:rFonts w:ascii="Times New Roman" w:hAnsi="Times New Roman"/>
          <w:i/>
          <w:iCs/>
        </w:rPr>
        <w:t>Women and men in decision-making</w:t>
      </w:r>
      <w:r>
        <w:rPr>
          <w:rFonts w:ascii="Times New Roman" w:hAnsi="Times New Roman"/>
        </w:rPr>
        <w:t xml:space="preserve"> (non disponibile in italiano, "Donne e uomini nel processo decisionale"), 2019 – cfr. infografica.</w:t>
      </w:r>
    </w:p>
  </w:footnote>
  <w:footnote w:id="7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COM(2012)614 final.</w:t>
      </w:r>
    </w:p>
  </w:footnote>
  <w:footnote w:id="7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Risultati positivi sono emersi in diversi paesi che hanno introdotto misure legislative pertinenti, tra cui la Francia, l'Italia, il Belgio, la Germania e, più di recente, l'Austria e il Portogallo. Cfr.:</w:t>
      </w:r>
      <w:hyperlink r:id="rId32" w:history="1">
        <w:r>
          <w:rPr>
            <w:rStyle w:val="Hyperlink"/>
            <w:rFonts w:ascii="Times New Roman" w:hAnsi="Times New Roman"/>
            <w:u w:val="none"/>
          </w:rPr>
          <w:t>https://eige.europa.eu/publications/gender-equality-index-2019-report/more-gender-equality-corporate-boards-only-few-member-states</w:t>
        </w:r>
      </w:hyperlink>
      <w:r>
        <w:rPr>
          <w:rFonts w:ascii="Times New Roman" w:hAnsi="Times New Roman"/>
        </w:rPr>
        <w:t>.</w:t>
      </w:r>
    </w:p>
  </w:footnote>
  <w:footnote w:id="7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3" w:history="1">
        <w:r>
          <w:rPr>
            <w:rStyle w:val="Hyperlink"/>
            <w:rFonts w:ascii="Times New Roman" w:hAnsi="Times New Roman"/>
            <w:u w:val="none"/>
          </w:rPr>
          <w:t>https://ec.europa.eu/info/policies/justice-and-fundamental-rights/combatting-discrimination/tackling-discrimination/diversity-management/eu-platform-diversity-charters_en</w:t>
        </w:r>
      </w:hyperlink>
      <w:r>
        <w:rPr>
          <w:rStyle w:val="Hyperlink"/>
          <w:rFonts w:ascii="Times New Roman" w:hAnsi="Times New Roman"/>
          <w:u w:val="none"/>
        </w:rPr>
        <w:t>.</w:t>
      </w:r>
    </w:p>
  </w:footnote>
  <w:footnote w:id="7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Tra questi progetti figura quello sulle donne europee nei consigli di amministrazione (</w:t>
      </w:r>
      <w:r>
        <w:rPr>
          <w:rFonts w:ascii="Times New Roman" w:hAnsi="Times New Roman"/>
          <w:i/>
        </w:rPr>
        <w:t>European Women on Boards</w:t>
      </w:r>
      <w:r>
        <w:rPr>
          <w:rFonts w:ascii="Times New Roman" w:hAnsi="Times New Roman"/>
        </w:rPr>
        <w:t xml:space="preserve">): </w:t>
      </w:r>
      <w:hyperlink r:id="rId34" w:history="1">
        <w:r>
          <w:rPr>
            <w:rStyle w:val="Hyperlink"/>
            <w:rFonts w:ascii="Times New Roman" w:hAnsi="Times New Roman"/>
            <w:u w:val="none"/>
          </w:rPr>
          <w:t>https://europeanwomenonboards.eu/</w:t>
        </w:r>
      </w:hyperlink>
      <w:r>
        <w:rPr>
          <w:rFonts w:ascii="Times New Roman" w:hAnsi="Times New Roman"/>
        </w:rPr>
        <w:t>.</w:t>
      </w:r>
    </w:p>
  </w:footnote>
  <w:footnote w:id="74">
    <w:p>
      <w:pPr>
        <w:pStyle w:val="Default"/>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Cfr. considerando 6 del regolamento 2018/673 recante modifica del regolamento (UE, Euratom) n. 1141/2014 relativo allo statuto e al finanziamento dei partiti politici europei e delle fondazioni politiche europee.</w:t>
      </w:r>
    </w:p>
  </w:footnote>
  <w:footnote w:id="75">
    <w:p>
      <w:pPr>
        <w:pStyle w:val="FootnoteText"/>
        <w:jc w:val="both"/>
        <w:rPr>
          <w:rFonts w:ascii="Times New Roman" w:hAnsi="Times New Roman" w:cs="Times New Roman"/>
          <w:sz w:val="22"/>
        </w:rPr>
      </w:pPr>
      <w:r>
        <w:rPr>
          <w:rStyle w:val="FootnoteReference"/>
          <w:rFonts w:ascii="Times New Roman" w:hAnsi="Times New Roman" w:cs="Times New Roman"/>
        </w:rPr>
        <w:footnoteRef/>
      </w:r>
      <w:r>
        <w:rPr>
          <w:rFonts w:ascii="Times New Roman" w:hAnsi="Times New Roman"/>
        </w:rPr>
        <w:t xml:space="preserve"> Nel 2019 il 41 % dei dirigenti della Commissione erano donne (contro il 30 % del 2014). Tra queste, il 37 % erano alti dirigenti (in aumento rispetto al 27 %) e il 42 % erano quadri intermedi (in aumento rispetto al 31 %).</w:t>
      </w:r>
    </w:p>
  </w:footnote>
  <w:footnote w:id="7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Per le misure già in vigore, cfr.: Commissione europea, "Relazione 2019 sulla diversità e sull'uguaglianza di genere", Bruxelles, 6 novembre 2019.</w:t>
      </w:r>
    </w:p>
  </w:footnote>
  <w:footnote w:id="7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Più di tre agenzie su quattro sono attualmente dirette da uomini.</w:t>
      </w:r>
    </w:p>
  </w:footnote>
  <w:footnote w:id="7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5" w:history="1">
        <w:r>
          <w:rPr>
            <w:rStyle w:val="Hyperlink"/>
            <w:rFonts w:ascii="Times New Roman" w:hAnsi="Times New Roman"/>
            <w:u w:val="none"/>
          </w:rPr>
          <w:t>https://ec.europa.eu/info/policies/justice-and-fundamental-rights/gender-equality/who-we-work-gender-equality/mutual-learning-programme-gender-equality_en</w:t>
        </w:r>
      </w:hyperlink>
      <w:r>
        <w:rPr>
          <w:rFonts w:ascii="Times New Roman" w:hAnsi="Times New Roman"/>
        </w:rPr>
        <w:t>.</w:t>
      </w:r>
    </w:p>
  </w:footnote>
  <w:footnote w:id="7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 task force faciliterà l'integrazione della dimensione paritaria per quanto riguarda sei motivi di discriminazione: il sesso, la razza o l'origine etnica, la religione o le convinzioni personali, la disabilità, l'età o l'orientamento sessuale.</w:t>
      </w:r>
    </w:p>
  </w:footnote>
  <w:footnote w:id="80">
    <w:p>
      <w:pPr>
        <w:pStyle w:val="FootnoteText"/>
        <w:jc w:val="both"/>
      </w:pPr>
      <w:r>
        <w:rPr>
          <w:rStyle w:val="FootnoteReference"/>
          <w:rFonts w:ascii="Times New Roman" w:hAnsi="Times New Roman" w:cs="Times New Roman"/>
        </w:rPr>
        <w:footnoteRef/>
      </w:r>
      <w:r>
        <w:rPr>
          <w:rFonts w:ascii="Times New Roman" w:hAnsi="Times New Roman"/>
        </w:rPr>
        <w:t xml:space="preserve"> In entrambi i casi, un'attenzione specifica agli anziani (ristrutturazioni adeguate alle esigenze future o, per quanto riguarda le politiche di adattamento ai cambiamenti climatici, misure da adottare per migliorare l'idratazione in caso di ondate di calore) avrà ad esempio un impatto positivo sulle donne, soprattutto perché costituiscono la maggioranza della popolazione anziana.</w:t>
      </w:r>
    </w:p>
  </w:footnote>
  <w:footnote w:id="81">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COM/2018/375 final.</w:t>
      </w:r>
    </w:p>
  </w:footnote>
  <w:footnote w:id="82">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w:t>
      </w:r>
      <w:hyperlink r:id="rId36" w:history="1">
        <w:r>
          <w:rPr>
            <w:rStyle w:val="Hyperlink"/>
            <w:rFonts w:ascii="Times New Roman" w:hAnsi="Times New Roman"/>
            <w:u w:val="none"/>
            <w:lang w:val="en-US"/>
          </w:rPr>
          <w:t>https://ec.europa.eu/jrc/en/news/how-big-eus-blue-economy-eu-report-potential-coasts-and-oceans-provide-sustainable-economic-growth</w:t>
        </w:r>
      </w:hyperlink>
      <w:r>
        <w:rPr>
          <w:rFonts w:ascii="Times New Roman" w:hAnsi="Times New Roman"/>
          <w:lang w:val="en-US"/>
        </w:rPr>
        <w:t>.</w:t>
      </w:r>
    </w:p>
  </w:footnote>
  <w:footnote w:id="83">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w:t>
      </w:r>
      <w:hyperlink r:id="rId37" w:history="1">
        <w:r>
          <w:rPr>
            <w:rStyle w:val="Hyperlink"/>
            <w:rFonts w:ascii="Times New Roman" w:hAnsi="Times New Roman"/>
            <w:u w:val="none"/>
            <w:lang w:val="en-US"/>
          </w:rPr>
          <w:t>http://www.europarl.europa.eu/meetdocs/2014_2019/plmrep/COMMITTEES/FEMM/DV/2018/09-03/20180828DraftResolutionGenderBudgetingintheEUBudget-thewayforward_EN.pdf</w:t>
        </w:r>
      </w:hyperlink>
      <w:r>
        <w:rPr>
          <w:rFonts w:ascii="Times New Roman" w:hAnsi="Times New Roman"/>
          <w:lang w:val="en-US"/>
        </w:rPr>
        <w:t>.</w:t>
      </w:r>
    </w:p>
  </w:footnote>
  <w:footnote w:id="84">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w:t>
      </w:r>
      <w:hyperlink r:id="rId38" w:history="1">
        <w:r>
          <w:rPr>
            <w:rStyle w:val="Hyperlink"/>
            <w:rFonts w:ascii="Times New Roman" w:hAnsi="Times New Roman"/>
            <w:u w:val="none"/>
            <w:lang w:val="en-US"/>
          </w:rPr>
          <w:t>https://europa.eu/capacity4dev/articles/eu-gender-action-plan-ii-how-eu-delegations-contribute-gender-equality-worldwide</w:t>
        </w:r>
      </w:hyperlink>
      <w:r>
        <w:rPr>
          <w:rFonts w:ascii="Times New Roman" w:hAnsi="Times New Roman"/>
          <w:lang w:val="en-US"/>
        </w:rPr>
        <w:t>.</w:t>
      </w:r>
    </w:p>
  </w:footnote>
  <w:footnote w:id="8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L'approccio strategico dell'UE in materia di donne, pace e sicurezza è allegato alle conclusioni del Consiglio "Affari esteri" adottate il 10 dicembre 2018 (documento del Consiglio 15086/18, </w:t>
      </w:r>
      <w:hyperlink r:id="rId39" w:history="1">
        <w:r>
          <w:rPr>
            <w:rStyle w:val="Hyperlink"/>
            <w:rFonts w:ascii="Times New Roman" w:hAnsi="Times New Roman"/>
            <w:u w:val="none"/>
          </w:rPr>
          <w:t xml:space="preserve">https://data.consilium.europa.eu/doc/document/ST-15086-2018-INIT/it/pdf </w:t>
        </w:r>
      </w:hyperlink>
      <w:r>
        <w:rPr>
          <w:rFonts w:ascii="Times New Roman" w:hAnsi="Times New Roman"/>
        </w:rPr>
        <w:t xml:space="preserve">), </w:t>
      </w:r>
      <w:r>
        <w:rPr>
          <w:rFonts w:ascii="Times New Roman" w:hAnsi="Times New Roman"/>
        </w:rPr>
        <w:br/>
        <w:t>e al piano d'azione dell'UE per le donne, la pace e la sicurezza 2019-2024, del 4 luglio 2019, SEAE(2019) 747 (</w:t>
      </w:r>
      <w:hyperlink r:id="rId40" w:history="1">
        <w:r>
          <w:rPr>
            <w:rStyle w:val="Hyperlink"/>
            <w:rFonts w:ascii="Times New Roman" w:hAnsi="Times New Roman"/>
            <w:u w:val="none"/>
          </w:rPr>
          <w:t>https://www.consilium.europa.eu/register/en/content/out?&amp;typ=ENTRY&amp;i=ADV&amp;DOC_ID=ST-11031-2019-INIT</w:t>
        </w:r>
      </w:hyperlink>
      <w:r>
        <w:rPr>
          <w:rFonts w:ascii="Times New Roman" w:hAnsi="Times New Roman"/>
        </w:rPr>
        <w:t>).</w:t>
      </w:r>
    </w:p>
  </w:footnote>
  <w:footnote w:id="8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 misurazione è effettuata utilizzando l'indicatore dell'OCSE sulla politica per la parità di genere. Più precisamente, per gli aiuti umanitari la Commissione applica il suo indicatore specifico per genere ed età.</w:t>
      </w:r>
    </w:p>
  </w:footnote>
  <w:footnote w:id="87">
    <w:p>
      <w:pPr>
        <w:pStyle w:val="NoSpacing"/>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Tra le risoluzioni del Parlamento europeo più recenti riguardanti la parità di genere, cfr.: risoluzione del Parlamento europeo </w:t>
      </w:r>
      <w:hyperlink r:id="rId41" w:history="1">
        <w:r>
          <w:rPr>
            <w:rStyle w:val="Hyperlink"/>
            <w:rFonts w:ascii="Times New Roman" w:hAnsi="Times New Roman"/>
            <w:sz w:val="20"/>
            <w:szCs w:val="20"/>
            <w:u w:val="none"/>
          </w:rPr>
          <w:t>2019/2870(RSP)</w:t>
        </w:r>
      </w:hyperlink>
      <w:r>
        <w:rPr>
          <w:rFonts w:ascii="Times New Roman" w:hAnsi="Times New Roman"/>
          <w:sz w:val="20"/>
          <w:szCs w:val="20"/>
        </w:rPr>
        <w:t xml:space="preserve"> del 30 gennaio 2020 sul divario retributivo di genere; risoluzione del Parlamento europeo </w:t>
      </w:r>
      <w:hyperlink r:id="rId42" w:history="1">
        <w:r>
          <w:rPr>
            <w:rStyle w:val="Hyperlink"/>
            <w:rFonts w:ascii="Times New Roman" w:hAnsi="Times New Roman"/>
            <w:sz w:val="20"/>
            <w:szCs w:val="20"/>
            <w:u w:val="none"/>
          </w:rPr>
          <w:t>2019/2855(RSP)</w:t>
        </w:r>
      </w:hyperlink>
      <w:r>
        <w:rPr>
          <w:rFonts w:ascii="Times New Roman" w:hAnsi="Times New Roman"/>
          <w:sz w:val="20"/>
          <w:szCs w:val="20"/>
        </w:rPr>
        <w:t xml:space="preserve"> del 28 novembre 2019 sull'adesione dell'UE alla Convenzione di Istanbul e su altre misure per combattere la violenza di genere; risoluzione del Parlamento europeo </w:t>
      </w:r>
      <w:hyperlink r:id="rId43" w:history="1">
        <w:r>
          <w:rPr>
            <w:rStyle w:val="Hyperlink"/>
            <w:rFonts w:ascii="Times New Roman" w:hAnsi="Times New Roman"/>
            <w:sz w:val="20"/>
            <w:szCs w:val="20"/>
            <w:u w:val="none"/>
          </w:rPr>
          <w:t>2016/2249(INI)</w:t>
        </w:r>
      </w:hyperlink>
      <w:r>
        <w:rPr>
          <w:rFonts w:ascii="Times New Roman" w:hAnsi="Times New Roman"/>
          <w:sz w:val="20"/>
          <w:szCs w:val="20"/>
        </w:rPr>
        <w:t xml:space="preserve"> del 14 marzo 2017 sulla parità tra donne e uomini nell'Unione europea nel 2014-2015. </w:t>
      </w:r>
    </w:p>
  </w:footnote>
  <w:footnote w:id="8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Tra le conclusioni del Consiglio più recenti riguardanti la parità di genere, cfr.: conclusioni del Consiglio, del 10 dicembre 2019, "Parità di genere nelle economie dell'UE: la via da seguire - Bilancio di 25 anni di attuazione della piattaforma d'azione di Pechino"; conclusioni del Consiglio, del 24 ottobre 2019, "L'economia del benessere"; </w:t>
      </w:r>
      <w:r>
        <w:rPr>
          <w:rFonts w:ascii="Times New Roman" w:hAnsi="Times New Roman"/>
          <w:bCs/>
        </w:rPr>
        <w:t>conclusioni del Consiglio, del 13 giugno 2019, "Colmare il divario retributivo di genere: politiche e misure fondamentali"</w:t>
      </w:r>
      <w:r>
        <w:rPr>
          <w:rFonts w:ascii="Times New Roman" w:hAnsi="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4E68"/>
    <w:multiLevelType w:val="hybridMultilevel"/>
    <w:tmpl w:val="616849BE"/>
    <w:lvl w:ilvl="0" w:tplc="2E943616">
      <w:numFmt w:val="bullet"/>
      <w:lvlText w:val="•"/>
      <w:lvlJc w:val="left"/>
      <w:pPr>
        <w:ind w:left="1440" w:hanging="72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79E7893"/>
    <w:multiLevelType w:val="hybridMultilevel"/>
    <w:tmpl w:val="C4D23EE0"/>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D553C"/>
    <w:multiLevelType w:val="hybridMultilevel"/>
    <w:tmpl w:val="2B581C38"/>
    <w:lvl w:ilvl="0" w:tplc="080C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BF320AD"/>
    <w:multiLevelType w:val="hybridMultilevel"/>
    <w:tmpl w:val="92228780"/>
    <w:lvl w:ilvl="0" w:tplc="EAC8A79C">
      <w:numFmt w:val="bullet"/>
      <w:lvlText w:val="-"/>
      <w:lvlJc w:val="left"/>
      <w:pPr>
        <w:ind w:left="720" w:hanging="360"/>
      </w:pPr>
      <w:rPr>
        <w:rFonts w:ascii="Calibri" w:eastAsiaTheme="minorHAns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
    <w:nsid w:val="0C596C70"/>
    <w:multiLevelType w:val="hybridMultilevel"/>
    <w:tmpl w:val="A322BAD0"/>
    <w:lvl w:ilvl="0" w:tplc="B886847A">
      <w:numFmt w:val="bullet"/>
      <w:lvlText w:val="-"/>
      <w:lvlJc w:val="left"/>
      <w:pPr>
        <w:ind w:left="720" w:hanging="360"/>
      </w:pPr>
      <w:rPr>
        <w:rFonts w:ascii="Garamond" w:eastAsiaTheme="minorHAnsi" w:hAnsi="Garamond"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D6F10AA"/>
    <w:multiLevelType w:val="hybridMultilevel"/>
    <w:tmpl w:val="83AA8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DC744C2"/>
    <w:multiLevelType w:val="hybridMultilevel"/>
    <w:tmpl w:val="F19A64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FD22664"/>
    <w:multiLevelType w:val="hybridMultilevel"/>
    <w:tmpl w:val="1FCE8004"/>
    <w:lvl w:ilvl="0" w:tplc="80409E2A">
      <w:numFmt w:val="bullet"/>
      <w:lvlText w:val="-"/>
      <w:lvlJc w:val="left"/>
      <w:pPr>
        <w:ind w:left="1788" w:hanging="360"/>
      </w:pPr>
      <w:rPr>
        <w:rFonts w:ascii="Calibri" w:eastAsia="Calibri" w:hAnsi="Calibri" w:cs="Calibri" w:hint="default"/>
      </w:rPr>
    </w:lvl>
    <w:lvl w:ilvl="1" w:tplc="080C0003">
      <w:start w:val="1"/>
      <w:numFmt w:val="bullet"/>
      <w:lvlText w:val="o"/>
      <w:lvlJc w:val="left"/>
      <w:pPr>
        <w:ind w:left="2508" w:hanging="360"/>
      </w:pPr>
      <w:rPr>
        <w:rFonts w:ascii="Courier New" w:hAnsi="Courier New" w:cs="Courier New" w:hint="default"/>
      </w:rPr>
    </w:lvl>
    <w:lvl w:ilvl="2" w:tplc="080C0005">
      <w:start w:val="1"/>
      <w:numFmt w:val="bullet"/>
      <w:lvlText w:val=""/>
      <w:lvlJc w:val="left"/>
      <w:pPr>
        <w:ind w:left="3228" w:hanging="360"/>
      </w:pPr>
      <w:rPr>
        <w:rFonts w:ascii="Wingdings" w:hAnsi="Wingdings" w:hint="default"/>
      </w:rPr>
    </w:lvl>
    <w:lvl w:ilvl="3" w:tplc="080C0001">
      <w:start w:val="1"/>
      <w:numFmt w:val="bullet"/>
      <w:lvlText w:val=""/>
      <w:lvlJc w:val="left"/>
      <w:pPr>
        <w:ind w:left="3948" w:hanging="360"/>
      </w:pPr>
      <w:rPr>
        <w:rFonts w:ascii="Symbol" w:hAnsi="Symbol" w:hint="default"/>
      </w:rPr>
    </w:lvl>
    <w:lvl w:ilvl="4" w:tplc="080C0003">
      <w:start w:val="1"/>
      <w:numFmt w:val="bullet"/>
      <w:lvlText w:val="o"/>
      <w:lvlJc w:val="left"/>
      <w:pPr>
        <w:ind w:left="4668" w:hanging="360"/>
      </w:pPr>
      <w:rPr>
        <w:rFonts w:ascii="Courier New" w:hAnsi="Courier New" w:cs="Courier New" w:hint="default"/>
      </w:rPr>
    </w:lvl>
    <w:lvl w:ilvl="5" w:tplc="080C0005">
      <w:start w:val="1"/>
      <w:numFmt w:val="bullet"/>
      <w:lvlText w:val=""/>
      <w:lvlJc w:val="left"/>
      <w:pPr>
        <w:ind w:left="5388" w:hanging="360"/>
      </w:pPr>
      <w:rPr>
        <w:rFonts w:ascii="Wingdings" w:hAnsi="Wingdings" w:hint="default"/>
      </w:rPr>
    </w:lvl>
    <w:lvl w:ilvl="6" w:tplc="080C0001">
      <w:start w:val="1"/>
      <w:numFmt w:val="bullet"/>
      <w:lvlText w:val=""/>
      <w:lvlJc w:val="left"/>
      <w:pPr>
        <w:ind w:left="6108" w:hanging="360"/>
      </w:pPr>
      <w:rPr>
        <w:rFonts w:ascii="Symbol" w:hAnsi="Symbol" w:hint="default"/>
      </w:rPr>
    </w:lvl>
    <w:lvl w:ilvl="7" w:tplc="080C0003">
      <w:start w:val="1"/>
      <w:numFmt w:val="bullet"/>
      <w:lvlText w:val="o"/>
      <w:lvlJc w:val="left"/>
      <w:pPr>
        <w:ind w:left="6828" w:hanging="360"/>
      </w:pPr>
      <w:rPr>
        <w:rFonts w:ascii="Courier New" w:hAnsi="Courier New" w:cs="Courier New" w:hint="default"/>
      </w:rPr>
    </w:lvl>
    <w:lvl w:ilvl="8" w:tplc="080C0005">
      <w:start w:val="1"/>
      <w:numFmt w:val="bullet"/>
      <w:lvlText w:val=""/>
      <w:lvlJc w:val="left"/>
      <w:pPr>
        <w:ind w:left="7548" w:hanging="360"/>
      </w:pPr>
      <w:rPr>
        <w:rFonts w:ascii="Wingdings" w:hAnsi="Wingdings" w:hint="default"/>
      </w:rPr>
    </w:lvl>
  </w:abstractNum>
  <w:abstractNum w:abstractNumId="8">
    <w:nsid w:val="113C65AB"/>
    <w:multiLevelType w:val="hybridMultilevel"/>
    <w:tmpl w:val="EF3ED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15C3818"/>
    <w:multiLevelType w:val="hybridMultilevel"/>
    <w:tmpl w:val="4C9A0CAC"/>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10">
    <w:nsid w:val="12404624"/>
    <w:multiLevelType w:val="hybridMultilevel"/>
    <w:tmpl w:val="2CEEF0F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2A85C96"/>
    <w:multiLevelType w:val="hybridMultilevel"/>
    <w:tmpl w:val="750E1ACE"/>
    <w:lvl w:ilvl="0" w:tplc="080C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4996626"/>
    <w:multiLevelType w:val="hybridMultilevel"/>
    <w:tmpl w:val="BA340CA4"/>
    <w:lvl w:ilvl="0" w:tplc="17BE2C34">
      <w:start w:val="1"/>
      <w:numFmt w:val="bullet"/>
      <w:pStyle w:val="B0List"/>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589625A"/>
    <w:multiLevelType w:val="hybridMultilevel"/>
    <w:tmpl w:val="CAB4EA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A565CC"/>
    <w:multiLevelType w:val="hybridMultilevel"/>
    <w:tmpl w:val="7C927AF6"/>
    <w:lvl w:ilvl="0" w:tplc="A202B042">
      <w:start w:val="1"/>
      <w:numFmt w:val="decimal"/>
      <w:lvlText w:val="%1."/>
      <w:lvlJc w:val="left"/>
      <w:pPr>
        <w:ind w:left="360" w:hanging="360"/>
      </w:pPr>
      <w:rPr>
        <w:b/>
        <w:i w:val="0"/>
        <w:sz w:val="28"/>
        <w:szCs w:val="28"/>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5">
    <w:nsid w:val="17374086"/>
    <w:multiLevelType w:val="hybridMultilevel"/>
    <w:tmpl w:val="C2C6B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93B1969"/>
    <w:multiLevelType w:val="hybridMultilevel"/>
    <w:tmpl w:val="7C72AF7E"/>
    <w:lvl w:ilvl="0" w:tplc="E4982400">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343241"/>
    <w:multiLevelType w:val="hybridMultilevel"/>
    <w:tmpl w:val="3F6428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1FB76495"/>
    <w:multiLevelType w:val="hybridMultilevel"/>
    <w:tmpl w:val="9AC6131E"/>
    <w:lvl w:ilvl="0" w:tplc="2F2287C8">
      <w:start w:val="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21185CAF"/>
    <w:multiLevelType w:val="hybridMultilevel"/>
    <w:tmpl w:val="BD7CC05C"/>
    <w:lvl w:ilvl="0" w:tplc="080C0001">
      <w:start w:val="1"/>
      <w:numFmt w:val="bullet"/>
      <w:lvlText w:val=""/>
      <w:lvlJc w:val="left"/>
      <w:pPr>
        <w:ind w:left="777" w:hanging="360"/>
      </w:pPr>
      <w:rPr>
        <w:rFonts w:ascii="Symbol" w:hAnsi="Symbol" w:hint="default"/>
      </w:rPr>
    </w:lvl>
    <w:lvl w:ilvl="1" w:tplc="080C0003" w:tentative="1">
      <w:start w:val="1"/>
      <w:numFmt w:val="bullet"/>
      <w:lvlText w:val="o"/>
      <w:lvlJc w:val="left"/>
      <w:pPr>
        <w:ind w:left="1497" w:hanging="360"/>
      </w:pPr>
      <w:rPr>
        <w:rFonts w:ascii="Courier New" w:hAnsi="Courier New" w:cs="Courier New" w:hint="default"/>
      </w:rPr>
    </w:lvl>
    <w:lvl w:ilvl="2" w:tplc="080C0005" w:tentative="1">
      <w:start w:val="1"/>
      <w:numFmt w:val="bullet"/>
      <w:lvlText w:val=""/>
      <w:lvlJc w:val="left"/>
      <w:pPr>
        <w:ind w:left="2217" w:hanging="360"/>
      </w:pPr>
      <w:rPr>
        <w:rFonts w:ascii="Wingdings" w:hAnsi="Wingdings" w:hint="default"/>
      </w:rPr>
    </w:lvl>
    <w:lvl w:ilvl="3" w:tplc="080C0001" w:tentative="1">
      <w:start w:val="1"/>
      <w:numFmt w:val="bullet"/>
      <w:lvlText w:val=""/>
      <w:lvlJc w:val="left"/>
      <w:pPr>
        <w:ind w:left="2937" w:hanging="360"/>
      </w:pPr>
      <w:rPr>
        <w:rFonts w:ascii="Symbol" w:hAnsi="Symbol" w:hint="default"/>
      </w:rPr>
    </w:lvl>
    <w:lvl w:ilvl="4" w:tplc="080C0003" w:tentative="1">
      <w:start w:val="1"/>
      <w:numFmt w:val="bullet"/>
      <w:lvlText w:val="o"/>
      <w:lvlJc w:val="left"/>
      <w:pPr>
        <w:ind w:left="3657" w:hanging="360"/>
      </w:pPr>
      <w:rPr>
        <w:rFonts w:ascii="Courier New" w:hAnsi="Courier New" w:cs="Courier New" w:hint="default"/>
      </w:rPr>
    </w:lvl>
    <w:lvl w:ilvl="5" w:tplc="080C0005" w:tentative="1">
      <w:start w:val="1"/>
      <w:numFmt w:val="bullet"/>
      <w:lvlText w:val=""/>
      <w:lvlJc w:val="left"/>
      <w:pPr>
        <w:ind w:left="4377" w:hanging="360"/>
      </w:pPr>
      <w:rPr>
        <w:rFonts w:ascii="Wingdings" w:hAnsi="Wingdings" w:hint="default"/>
      </w:rPr>
    </w:lvl>
    <w:lvl w:ilvl="6" w:tplc="080C0001" w:tentative="1">
      <w:start w:val="1"/>
      <w:numFmt w:val="bullet"/>
      <w:lvlText w:val=""/>
      <w:lvlJc w:val="left"/>
      <w:pPr>
        <w:ind w:left="5097" w:hanging="360"/>
      </w:pPr>
      <w:rPr>
        <w:rFonts w:ascii="Symbol" w:hAnsi="Symbol" w:hint="default"/>
      </w:rPr>
    </w:lvl>
    <w:lvl w:ilvl="7" w:tplc="080C0003" w:tentative="1">
      <w:start w:val="1"/>
      <w:numFmt w:val="bullet"/>
      <w:lvlText w:val="o"/>
      <w:lvlJc w:val="left"/>
      <w:pPr>
        <w:ind w:left="5817" w:hanging="360"/>
      </w:pPr>
      <w:rPr>
        <w:rFonts w:ascii="Courier New" w:hAnsi="Courier New" w:cs="Courier New" w:hint="default"/>
      </w:rPr>
    </w:lvl>
    <w:lvl w:ilvl="8" w:tplc="080C0005" w:tentative="1">
      <w:start w:val="1"/>
      <w:numFmt w:val="bullet"/>
      <w:lvlText w:val=""/>
      <w:lvlJc w:val="left"/>
      <w:pPr>
        <w:ind w:left="6537" w:hanging="360"/>
      </w:pPr>
      <w:rPr>
        <w:rFonts w:ascii="Wingdings" w:hAnsi="Wingdings" w:hint="default"/>
      </w:rPr>
    </w:lvl>
  </w:abstractNum>
  <w:abstractNum w:abstractNumId="20">
    <w:nsid w:val="2200208C"/>
    <w:multiLevelType w:val="hybridMultilevel"/>
    <w:tmpl w:val="C2467B6C"/>
    <w:lvl w:ilvl="0" w:tplc="9DB4B2B0">
      <w:start w:val="1"/>
      <w:numFmt w:val="decimal"/>
      <w:lvlText w:val="%1."/>
      <w:lvlJc w:val="left"/>
      <w:pPr>
        <w:ind w:left="1080" w:hanging="360"/>
      </w:pPr>
      <w:rPr>
        <w:rFonts w:hint="default"/>
        <w:b/>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nsid w:val="223A5309"/>
    <w:multiLevelType w:val="hybridMultilevel"/>
    <w:tmpl w:val="78DCE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3676A38"/>
    <w:multiLevelType w:val="hybridMultilevel"/>
    <w:tmpl w:val="60F64C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25835334"/>
    <w:multiLevelType w:val="hybridMultilevel"/>
    <w:tmpl w:val="72BCF7F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0A7454"/>
    <w:multiLevelType w:val="hybridMultilevel"/>
    <w:tmpl w:val="1160F598"/>
    <w:lvl w:ilvl="0" w:tplc="080C0001">
      <w:start w:val="1"/>
      <w:numFmt w:val="bullet"/>
      <w:lvlText w:val=""/>
      <w:lvlJc w:val="left"/>
      <w:pPr>
        <w:ind w:left="720" w:hanging="360"/>
      </w:pPr>
      <w:rPr>
        <w:rFonts w:ascii="Symbol" w:hAnsi="Symbol"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5">
    <w:nsid w:val="266110FB"/>
    <w:multiLevelType w:val="hybridMultilevel"/>
    <w:tmpl w:val="3D70678A"/>
    <w:lvl w:ilvl="0" w:tplc="080C0001">
      <w:start w:val="1"/>
      <w:numFmt w:val="bullet"/>
      <w:lvlText w:val=""/>
      <w:lvlJc w:val="left"/>
      <w:pPr>
        <w:ind w:left="108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27E7086D"/>
    <w:multiLevelType w:val="hybridMultilevel"/>
    <w:tmpl w:val="C0B0939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
    <w:nsid w:val="294564D6"/>
    <w:multiLevelType w:val="hybridMultilevel"/>
    <w:tmpl w:val="7E0C06CC"/>
    <w:lvl w:ilvl="0" w:tplc="59D008A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2CD77D49"/>
    <w:multiLevelType w:val="hybridMultilevel"/>
    <w:tmpl w:val="63B695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4F470A"/>
    <w:multiLevelType w:val="hybridMultilevel"/>
    <w:tmpl w:val="48EAA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E732AF8"/>
    <w:multiLevelType w:val="hybridMultilevel"/>
    <w:tmpl w:val="5B9036FA"/>
    <w:lvl w:ilvl="0" w:tplc="BE6E085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2E8A0F5D"/>
    <w:multiLevelType w:val="hybridMultilevel"/>
    <w:tmpl w:val="43823276"/>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3864C4"/>
    <w:multiLevelType w:val="hybridMultilevel"/>
    <w:tmpl w:val="DB0AC8C8"/>
    <w:lvl w:ilvl="0" w:tplc="5B46068A">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2DA19EA"/>
    <w:multiLevelType w:val="hybridMultilevel"/>
    <w:tmpl w:val="AD6C9A2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33AC1498"/>
    <w:multiLevelType w:val="hybridMultilevel"/>
    <w:tmpl w:val="2C2E4D4E"/>
    <w:lvl w:ilvl="0" w:tplc="16B46DF0">
      <w:start w:val="6"/>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5">
    <w:nsid w:val="37CF35FE"/>
    <w:multiLevelType w:val="hybridMultilevel"/>
    <w:tmpl w:val="D63C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9EE1B06"/>
    <w:multiLevelType w:val="hybridMultilevel"/>
    <w:tmpl w:val="9D680D5E"/>
    <w:lvl w:ilvl="0" w:tplc="02A016C4">
      <w:numFmt w:val="bullet"/>
      <w:lvlText w:val="-"/>
      <w:lvlJc w:val="left"/>
      <w:pPr>
        <w:ind w:left="720" w:hanging="360"/>
      </w:pPr>
      <w:rPr>
        <w:rFonts w:ascii="Garamond" w:eastAsiaTheme="minorHAnsi" w:hAnsi="Garamond"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3A7730C4"/>
    <w:multiLevelType w:val="singleLevel"/>
    <w:tmpl w:val="456C96DE"/>
    <w:lvl w:ilvl="0">
      <w:start w:val="1"/>
      <w:numFmt w:val="bullet"/>
      <w:lvlText w:val=""/>
      <w:lvlJc w:val="left"/>
      <w:pPr>
        <w:tabs>
          <w:tab w:val="num" w:pos="765"/>
        </w:tabs>
        <w:ind w:left="765" w:hanging="283"/>
      </w:pPr>
      <w:rPr>
        <w:rFonts w:ascii="Symbol" w:hAnsi="Symbol" w:cs="Symbol"/>
      </w:rPr>
    </w:lvl>
  </w:abstractNum>
  <w:abstractNum w:abstractNumId="38">
    <w:nsid w:val="3B3A68C8"/>
    <w:multiLevelType w:val="hybridMultilevel"/>
    <w:tmpl w:val="68DE966C"/>
    <w:lvl w:ilvl="0" w:tplc="EE444F74">
      <w:start w:val="8"/>
      <w:numFmt w:val="bullet"/>
      <w:lvlText w:val="-"/>
      <w:lvlJc w:val="left"/>
      <w:pPr>
        <w:ind w:left="720" w:hanging="360"/>
      </w:pPr>
      <w:rPr>
        <w:rFonts w:ascii="Garamond" w:eastAsiaTheme="minorHAnsi" w:hAnsi="Garamond" w:cstheme="minorBidi" w:hint="default"/>
        <w:sz w:val="2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3DFB030D"/>
    <w:multiLevelType w:val="hybridMultilevel"/>
    <w:tmpl w:val="843A42D6"/>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42671F4A"/>
    <w:multiLevelType w:val="hybridMultilevel"/>
    <w:tmpl w:val="10DC4EB6"/>
    <w:lvl w:ilvl="0" w:tplc="BE6E0852">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1">
    <w:nsid w:val="432B1353"/>
    <w:multiLevelType w:val="hybridMultilevel"/>
    <w:tmpl w:val="A8869156"/>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42">
    <w:nsid w:val="450B03C3"/>
    <w:multiLevelType w:val="hybridMultilevel"/>
    <w:tmpl w:val="D578F79C"/>
    <w:lvl w:ilvl="0" w:tplc="D9C634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FB5FC5"/>
    <w:multiLevelType w:val="hybridMultilevel"/>
    <w:tmpl w:val="BDEA5D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461F5772"/>
    <w:multiLevelType w:val="hybridMultilevel"/>
    <w:tmpl w:val="08D40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83D0E8A"/>
    <w:multiLevelType w:val="hybridMultilevel"/>
    <w:tmpl w:val="DAC67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92A1252"/>
    <w:multiLevelType w:val="hybridMultilevel"/>
    <w:tmpl w:val="12CEEDC2"/>
    <w:lvl w:ilvl="0" w:tplc="BE6E085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49643708"/>
    <w:multiLevelType w:val="hybridMultilevel"/>
    <w:tmpl w:val="C2107A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nsid w:val="4AF717ED"/>
    <w:multiLevelType w:val="hybridMultilevel"/>
    <w:tmpl w:val="0F8CC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C692F63"/>
    <w:multiLevelType w:val="hybridMultilevel"/>
    <w:tmpl w:val="310285D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nsid w:val="4E56718C"/>
    <w:multiLevelType w:val="hybridMultilevel"/>
    <w:tmpl w:val="C5D4FF8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4EA72406"/>
    <w:multiLevelType w:val="hybridMultilevel"/>
    <w:tmpl w:val="472AA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EE737AB"/>
    <w:multiLevelType w:val="hybridMultilevel"/>
    <w:tmpl w:val="BD38885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4F897938"/>
    <w:multiLevelType w:val="hybridMultilevel"/>
    <w:tmpl w:val="65EC7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10C7B00"/>
    <w:multiLevelType w:val="hybridMultilevel"/>
    <w:tmpl w:val="06B214C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nsid w:val="543E0B3E"/>
    <w:multiLevelType w:val="hybridMultilevel"/>
    <w:tmpl w:val="D52811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6">
    <w:nsid w:val="54F44D5E"/>
    <w:multiLevelType w:val="hybridMultilevel"/>
    <w:tmpl w:val="4E744C2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nsid w:val="58E750E1"/>
    <w:multiLevelType w:val="hybridMultilevel"/>
    <w:tmpl w:val="21180726"/>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9526F75"/>
    <w:multiLevelType w:val="hybridMultilevel"/>
    <w:tmpl w:val="AE5442C8"/>
    <w:lvl w:ilvl="0" w:tplc="42E490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A792952"/>
    <w:multiLevelType w:val="hybridMultilevel"/>
    <w:tmpl w:val="E8F0F3F4"/>
    <w:lvl w:ilvl="0" w:tplc="06CC35F8">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5ADA2E52"/>
    <w:multiLevelType w:val="hybridMultilevel"/>
    <w:tmpl w:val="5FFCB2F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nsid w:val="5B9663EE"/>
    <w:multiLevelType w:val="hybridMultilevel"/>
    <w:tmpl w:val="DD1AB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D776220"/>
    <w:multiLevelType w:val="hybridMultilevel"/>
    <w:tmpl w:val="EE50309E"/>
    <w:lvl w:ilvl="0" w:tplc="0DC6D5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856946"/>
    <w:multiLevelType w:val="hybridMultilevel"/>
    <w:tmpl w:val="C41E57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F406FEE"/>
    <w:multiLevelType w:val="hybridMultilevel"/>
    <w:tmpl w:val="9D2C0E08"/>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04E6039"/>
    <w:multiLevelType w:val="hybridMultilevel"/>
    <w:tmpl w:val="7CD0B0E6"/>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nsid w:val="61542B7F"/>
    <w:multiLevelType w:val="hybridMultilevel"/>
    <w:tmpl w:val="95928620"/>
    <w:lvl w:ilvl="0" w:tplc="8BEC7CA8">
      <w:start w:val="1"/>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nsid w:val="622D20EA"/>
    <w:multiLevelType w:val="hybridMultilevel"/>
    <w:tmpl w:val="B686C928"/>
    <w:lvl w:ilvl="0" w:tplc="080C000B">
      <w:start w:val="1"/>
      <w:numFmt w:val="bullet"/>
      <w:lvlText w:val=""/>
      <w:lvlJc w:val="left"/>
      <w:pPr>
        <w:ind w:left="720" w:hanging="360"/>
      </w:pPr>
      <w:rPr>
        <w:rFonts w:ascii="Wingdings" w:hAnsi="Wingding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68">
    <w:nsid w:val="633C4953"/>
    <w:multiLevelType w:val="hybridMultilevel"/>
    <w:tmpl w:val="E05A60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nsid w:val="644E5CF9"/>
    <w:multiLevelType w:val="hybridMultilevel"/>
    <w:tmpl w:val="64ACB266"/>
    <w:lvl w:ilvl="0" w:tplc="2E943616">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58A2542"/>
    <w:multiLevelType w:val="hybridMultilevel"/>
    <w:tmpl w:val="2250B90A"/>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1">
    <w:nsid w:val="6991276D"/>
    <w:multiLevelType w:val="hybridMultilevel"/>
    <w:tmpl w:val="8A94E00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2">
    <w:nsid w:val="6BF43FDA"/>
    <w:multiLevelType w:val="hybridMultilevel"/>
    <w:tmpl w:val="AD9A8B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C8866D1"/>
    <w:multiLevelType w:val="hybridMultilevel"/>
    <w:tmpl w:val="7214DABE"/>
    <w:lvl w:ilvl="0" w:tplc="8A9861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D0366DF"/>
    <w:multiLevelType w:val="hybridMultilevel"/>
    <w:tmpl w:val="6A18B1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5">
    <w:nsid w:val="6D7A3248"/>
    <w:multiLevelType w:val="hybridMultilevel"/>
    <w:tmpl w:val="B8181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1715649"/>
    <w:multiLevelType w:val="hybridMultilevel"/>
    <w:tmpl w:val="E91EE14E"/>
    <w:lvl w:ilvl="0" w:tplc="75245EDE">
      <w:start w:val="1"/>
      <w:numFmt w:val="lowerRoman"/>
      <w:lvlText w:val="%1."/>
      <w:lvlJc w:val="left"/>
      <w:pPr>
        <w:ind w:left="1080" w:hanging="72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7">
    <w:nsid w:val="722F479F"/>
    <w:multiLevelType w:val="hybridMultilevel"/>
    <w:tmpl w:val="D82A76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29C26B5"/>
    <w:multiLevelType w:val="hybridMultilevel"/>
    <w:tmpl w:val="06A67D5C"/>
    <w:lvl w:ilvl="0" w:tplc="83C453F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9">
    <w:nsid w:val="730C56AF"/>
    <w:multiLevelType w:val="hybridMultilevel"/>
    <w:tmpl w:val="E7682B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0">
    <w:nsid w:val="73FE3A80"/>
    <w:multiLevelType w:val="hybridMultilevel"/>
    <w:tmpl w:val="1600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49F4AFF"/>
    <w:multiLevelType w:val="hybridMultilevel"/>
    <w:tmpl w:val="7742BCC4"/>
    <w:lvl w:ilvl="0" w:tplc="41F4A604">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4B804FB"/>
    <w:multiLevelType w:val="hybridMultilevel"/>
    <w:tmpl w:val="B6A0CC00"/>
    <w:lvl w:ilvl="0" w:tplc="27E008E6">
      <w:numFmt w:val="bullet"/>
      <w:lvlText w:val="-"/>
      <w:lvlJc w:val="left"/>
      <w:pPr>
        <w:ind w:left="720" w:hanging="360"/>
      </w:pPr>
      <w:rPr>
        <w:rFonts w:ascii="Calibri" w:eastAsiaTheme="minorHAns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83">
    <w:nsid w:val="75BA3838"/>
    <w:multiLevelType w:val="hybridMultilevel"/>
    <w:tmpl w:val="01487B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4">
    <w:nsid w:val="7A7D5636"/>
    <w:multiLevelType w:val="hybridMultilevel"/>
    <w:tmpl w:val="2EE204A0"/>
    <w:lvl w:ilvl="0" w:tplc="BE6E0852">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5">
    <w:nsid w:val="7E2F1CBD"/>
    <w:multiLevelType w:val="hybridMultilevel"/>
    <w:tmpl w:val="523C39F6"/>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9"/>
  </w:num>
  <w:num w:numId="4">
    <w:abstractNumId w:val="73"/>
  </w:num>
  <w:num w:numId="5">
    <w:abstractNumId w:val="14"/>
  </w:num>
  <w:num w:numId="6">
    <w:abstractNumId w:val="33"/>
  </w:num>
  <w:num w:numId="7">
    <w:abstractNumId w:val="70"/>
  </w:num>
  <w:num w:numId="8">
    <w:abstractNumId w:val="10"/>
  </w:num>
  <w:num w:numId="9">
    <w:abstractNumId w:val="79"/>
  </w:num>
  <w:num w:numId="10">
    <w:abstractNumId w:val="67"/>
  </w:num>
  <w:num w:numId="11">
    <w:abstractNumId w:val="36"/>
  </w:num>
  <w:num w:numId="12">
    <w:abstractNumId w:val="4"/>
  </w:num>
  <w:num w:numId="13">
    <w:abstractNumId w:val="12"/>
  </w:num>
  <w:num w:numId="14">
    <w:abstractNumId w:val="12"/>
  </w:num>
  <w:num w:numId="15">
    <w:abstractNumId w:val="25"/>
  </w:num>
  <w:num w:numId="16">
    <w:abstractNumId w:val="54"/>
  </w:num>
  <w:num w:numId="17">
    <w:abstractNumId w:val="38"/>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77"/>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5"/>
  </w:num>
  <w:num w:numId="26">
    <w:abstractNumId w:val="28"/>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39"/>
  </w:num>
  <w:num w:numId="30">
    <w:abstractNumId w:val="63"/>
  </w:num>
  <w:num w:numId="31">
    <w:abstractNumId w:val="45"/>
  </w:num>
  <w:num w:numId="32">
    <w:abstractNumId w:val="16"/>
  </w:num>
  <w:num w:numId="33">
    <w:abstractNumId w:val="72"/>
  </w:num>
  <w:num w:numId="34">
    <w:abstractNumId w:val="62"/>
  </w:num>
  <w:num w:numId="35">
    <w:abstractNumId w:val="42"/>
  </w:num>
  <w:num w:numId="36">
    <w:abstractNumId w:val="13"/>
  </w:num>
  <w:num w:numId="37">
    <w:abstractNumId w:val="46"/>
  </w:num>
  <w:num w:numId="38">
    <w:abstractNumId w:val="77"/>
  </w:num>
  <w:num w:numId="39">
    <w:abstractNumId w:val="81"/>
  </w:num>
  <w:num w:numId="40">
    <w:abstractNumId w:val="82"/>
  </w:num>
  <w:num w:numId="41">
    <w:abstractNumId w:val="3"/>
  </w:num>
  <w:num w:numId="42">
    <w:abstractNumId w:val="49"/>
  </w:num>
  <w:num w:numId="43">
    <w:abstractNumId w:val="71"/>
  </w:num>
  <w:num w:numId="44">
    <w:abstractNumId w:val="52"/>
  </w:num>
  <w:num w:numId="45">
    <w:abstractNumId w:val="6"/>
  </w:num>
  <w:num w:numId="46">
    <w:abstractNumId w:val="60"/>
  </w:num>
  <w:num w:numId="47">
    <w:abstractNumId w:val="32"/>
  </w:num>
  <w:num w:numId="48">
    <w:abstractNumId w:val="59"/>
  </w:num>
  <w:num w:numId="49">
    <w:abstractNumId w:val="76"/>
  </w:num>
  <w:num w:numId="50">
    <w:abstractNumId w:val="79"/>
  </w:num>
  <w:num w:numId="51">
    <w:abstractNumId w:val="55"/>
  </w:num>
  <w:num w:numId="52">
    <w:abstractNumId w:val="57"/>
  </w:num>
  <w:num w:numId="53">
    <w:abstractNumId w:val="65"/>
  </w:num>
  <w:num w:numId="54">
    <w:abstractNumId w:val="50"/>
  </w:num>
  <w:num w:numId="55">
    <w:abstractNumId w:val="83"/>
  </w:num>
  <w:num w:numId="56">
    <w:abstractNumId w:val="74"/>
  </w:num>
  <w:num w:numId="57">
    <w:abstractNumId w:val="64"/>
  </w:num>
  <w:num w:numId="58">
    <w:abstractNumId w:val="1"/>
  </w:num>
  <w:num w:numId="59">
    <w:abstractNumId w:val="47"/>
  </w:num>
  <w:num w:numId="60">
    <w:abstractNumId w:val="11"/>
  </w:num>
  <w:num w:numId="61">
    <w:abstractNumId w:val="2"/>
  </w:num>
  <w:num w:numId="62">
    <w:abstractNumId w:val="24"/>
  </w:num>
  <w:num w:numId="63">
    <w:abstractNumId w:val="17"/>
  </w:num>
  <w:num w:numId="64">
    <w:abstractNumId w:val="22"/>
  </w:num>
  <w:num w:numId="65">
    <w:abstractNumId w:val="31"/>
  </w:num>
  <w:num w:numId="66">
    <w:abstractNumId w:val="85"/>
  </w:num>
  <w:num w:numId="67">
    <w:abstractNumId w:val="20"/>
  </w:num>
  <w:num w:numId="68">
    <w:abstractNumId w:val="19"/>
  </w:num>
  <w:num w:numId="69">
    <w:abstractNumId w:val="37"/>
  </w:num>
  <w:num w:numId="70">
    <w:abstractNumId w:val="40"/>
  </w:num>
  <w:num w:numId="71">
    <w:abstractNumId w:val="61"/>
  </w:num>
  <w:num w:numId="72">
    <w:abstractNumId w:val="80"/>
  </w:num>
  <w:num w:numId="73">
    <w:abstractNumId w:val="21"/>
  </w:num>
  <w:num w:numId="74">
    <w:abstractNumId w:val="51"/>
  </w:num>
  <w:num w:numId="75">
    <w:abstractNumId w:val="48"/>
  </w:num>
  <w:num w:numId="76">
    <w:abstractNumId w:val="69"/>
  </w:num>
  <w:num w:numId="77">
    <w:abstractNumId w:val="0"/>
  </w:num>
  <w:num w:numId="78">
    <w:abstractNumId w:val="53"/>
  </w:num>
  <w:num w:numId="79">
    <w:abstractNumId w:val="66"/>
  </w:num>
  <w:num w:numId="80">
    <w:abstractNumId w:val="44"/>
  </w:num>
  <w:num w:numId="81">
    <w:abstractNumId w:val="35"/>
  </w:num>
  <w:num w:numId="82">
    <w:abstractNumId w:val="43"/>
  </w:num>
  <w:num w:numId="83">
    <w:abstractNumId w:val="30"/>
  </w:num>
  <w:num w:numId="84">
    <w:abstractNumId w:val="75"/>
  </w:num>
  <w:num w:numId="85">
    <w:abstractNumId w:val="68"/>
  </w:num>
  <w:num w:numId="86">
    <w:abstractNumId w:val="18"/>
  </w:num>
  <w:num w:numId="87">
    <w:abstractNumId w:val="58"/>
  </w:num>
  <w:num w:numId="88">
    <w:abstractNumId w:val="56"/>
  </w:num>
  <w:num w:numId="89">
    <w:abstractNumId w:val="26"/>
  </w:num>
  <w:num w:numId="90">
    <w:abstractNumId w:val="34"/>
  </w:num>
  <w:num w:numId="91">
    <w:abstractNumId w:val="84"/>
  </w:num>
  <w:num w:numId="92">
    <w:abstractNumId w:val="7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en-AU" w:vendorID="64" w:dllVersion="131078" w:nlCheck="1" w:checkStyle="1"/>
  <w:activeWritingStyle w:appName="MSWord" w:lang="de-DE" w:vendorID="64" w:dllVersion="131078" w:nlCheck="1" w:checkStyle="0"/>
  <w:activeWritingStyle w:appName="MSWord" w:lang="pt-PT" w:vendorID="64" w:dllVersion="131078" w:nlCheck="1" w:checkStyle="0"/>
  <w:revisionView w:markup="0"/>
  <w:defaultTabStop w:val="720"/>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3B5320E2-DC1D-42CF-8A36-D8274497ADDB"/>
    <w:docVar w:name="LW_COVERPAGE_TYPE" w:val="1"/>
    <w:docVar w:name="LW_CROSSREFERENCE" w:val="&lt;UNUSED&gt;"/>
    <w:docVar w:name="LW_DocType" w:val="NORMAL"/>
    <w:docVar w:name="LW_EMISSION" w:val="5.3.2020"/>
    <w:docVar w:name="LW_EMISSION_ISODATE" w:val="2020-03-05"/>
    <w:docVar w:name="LW_EMISSION_LOCATION" w:val="BRX"/>
    <w:docVar w:name="LW_EMISSION_PREFIX" w:val="Bruxelles, "/>
    <w:docVar w:name="LW_EMISSION_SUFFIX" w:val=" "/>
    <w:docVar w:name="LW_ID_DOCTYPE_NONLW" w:val="CP-014"/>
    <w:docVar w:name="LW_LANGUE" w:val="IT"/>
    <w:docVar w:name="LW_LEVEL_OF_SENSITIVITY" w:val="Standard treatment"/>
    <w:docVar w:name="LW_NOM.INST" w:val="COMMISSIONE EUROPEA"/>
    <w:docVar w:name="LW_NOM.INST_JOINTDOC" w:val="&lt;EMPTY&gt;"/>
    <w:docVar w:name="LW_PART_NBR" w:val="1"/>
    <w:docVar w:name="LW_PART_NBR_TOTAL" w:val="1"/>
    <w:docVar w:name="LW_REF.INST.NEW" w:val="COM"/>
    <w:docVar w:name="LW_REF.INST.NEW_ADOPTED" w:val="final"/>
    <w:docVar w:name="LW_REF.INST.NEW_TEXT" w:val="(2020) 15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n'Unione dell'uguaglianza: la strategia per la parità di genere 2020-2025_x000d__x000d__x000d__x000d__x000d__x000d__x000b__x000d__x000d__x000d__x000d__x000d__x000d__x000d__x000d__x000b_"/>
    <w:docVar w:name="LW_TYPE.DOC.CP" w:val="COMUNICAZIONE DELLA COMMISSIONE AL PARLAMENTO EUROPEO, AL CONSIGLIO, AL COMITATO ECONOMICO E SOCIALE EUROPEO E AL COMITATO DELLE REGIONI"/>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st level - Bullet List Paragraph,List Paragraph1,Lettre d'introduction,Paragrafo elenco,Medium Grid 1 - Accent 21,Fiche List Paragraph,body,Odsek zoznamu2,Odsek zoznamu1,3,Bullet 1,Bullet Points,Colorful List - Accent 11,Dot pt,Bulle,2"/>
    <w:basedOn w:val="Normal"/>
    <w:link w:val="ListParagraphChar"/>
    <w:uiPriority w:val="34"/>
    <w:qFormat/>
    <w:pPr>
      <w:ind w:left="720"/>
      <w:contextualSpacing/>
    </w:pPr>
    <w:rPr>
      <w:rFonts w:ascii="Calibri" w:hAnsi="Calibri" w:cs="Calibr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B0List">
    <w:name w:val="B0 List"/>
    <w:basedOn w:val="Normal"/>
    <w:qFormat/>
    <w:pPr>
      <w:widowControl w:val="0"/>
      <w:numPr>
        <w:numId w:val="13"/>
      </w:numPr>
      <w:spacing w:after="120" w:line="240" w:lineRule="auto"/>
      <w:jc w:val="both"/>
    </w:pPr>
    <w:rPr>
      <w:rFonts w:ascii="Times New Roman" w:eastAsia="Calibri" w:hAnsi="Times New Roman" w:cs="Tahoma"/>
      <w:sz w:val="24"/>
    </w:rPr>
  </w:style>
  <w:style w:type="paragraph" w:customStyle="1" w:styleId="Briefinglist1">
    <w:name w:val="Briefing list 1"/>
    <w:basedOn w:val="Normal"/>
    <w:pPr>
      <w:tabs>
        <w:tab w:val="num" w:pos="284"/>
      </w:tabs>
      <w:spacing w:after="120" w:line="240" w:lineRule="auto"/>
      <w:ind w:left="284" w:hanging="284"/>
      <w:jc w:val="both"/>
    </w:pPr>
    <w:rPr>
      <w:rFonts w:ascii="Arial" w:hAnsi="Arial" w:cs="Arial"/>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lang w:val="it-IT"/>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o"/>
    <w:basedOn w:val="DefaultParagraphFont"/>
    <w:uiPriority w:val="99"/>
    <w:unhideWhenUsed/>
    <w:qFormat/>
    <w:rPr>
      <w:vertAlign w:val="superscript"/>
    </w:rPr>
  </w:style>
  <w:style w:type="character" w:styleId="HTMLCite">
    <w:name w:val="HTML Cit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paragraph" w:styleId="NoSpacing">
    <w:name w:val="No Spacing"/>
    <w:uiPriority w:val="1"/>
    <w:qFormat/>
    <w:pPr>
      <w:spacing w:after="0" w:line="240" w:lineRule="auto"/>
    </w:pPr>
  </w:style>
  <w:style w:type="character" w:customStyle="1" w:styleId="ListParagraphChar">
    <w:name w:val="List Paragraph Char"/>
    <w:aliases w:val="1st level - Bullet List Paragraph Char,List Paragraph1 Char,Lettre d'introduction Char,Paragrafo elenco Char,Medium Grid 1 - Accent 21 Char,Fiche List Paragraph Char,body Char,Odsek zoznamu2 Char,Odsek zoznamu1 Char,3 Char,Bulle Char"/>
    <w:link w:val="ListParagraph"/>
    <w:uiPriority w:val="34"/>
    <w:qFormat/>
    <w:locked/>
    <w:rPr>
      <w:rFonts w:ascii="Calibri" w:hAnsi="Calibri" w:cs="Calibri"/>
      <w:lang w:val="it-IT"/>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val="it-IT" w:eastAsia="en-IE"/>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ListParagraphChar"/>
    <w:link w:val="FooterCoverPage"/>
    <w:rPr>
      <w:rFonts w:ascii="Times New Roman" w:hAnsi="Times New Roman" w:cs="Times New Roman"/>
      <w:sz w:val="24"/>
      <w:lang w:val="it-IT"/>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ListParagraphChar"/>
    <w:link w:val="FooterSensitivity"/>
    <w:rPr>
      <w:rFonts w:ascii="Times New Roman" w:hAnsi="Times New Roman" w:cs="Times New Roman"/>
      <w:b/>
      <w:sz w:val="32"/>
      <w:lang w:val="it-IT"/>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ListParagraphChar"/>
    <w:link w:val="HeaderCoverPage"/>
    <w:rPr>
      <w:rFonts w:ascii="Times New Roman" w:hAnsi="Times New Roman" w:cs="Times New Roman"/>
      <w:sz w:val="24"/>
      <w:lang w:val="it-IT"/>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ListParagraphChar"/>
    <w:link w:val="HeaderSensitivity"/>
    <w:rPr>
      <w:rFonts w:ascii="Times New Roman" w:hAnsi="Times New Roman" w:cs="Times New Roman"/>
      <w:b/>
      <w:sz w:val="32"/>
      <w:lang w:val="it-IT"/>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ListParagraphChar"/>
    <w:link w:val="HeaderSensitivityRight"/>
    <w:rPr>
      <w:rFonts w:ascii="Times New Roman" w:hAnsi="Times New Roman" w:cs="Times New Roman"/>
      <w:sz w:val="28"/>
      <w:lang w:val="it-IT"/>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ListBullet1">
    <w:name w:val="List Bullet 1"/>
    <w:basedOn w:val="Normal"/>
    <w:pPr>
      <w:tabs>
        <w:tab w:val="num" w:pos="765"/>
      </w:tabs>
      <w:spacing w:after="240" w:line="240" w:lineRule="auto"/>
      <w:ind w:left="765" w:hanging="283"/>
      <w:jc w:val="both"/>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DefaultParagraphFont"/>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customStyle="1" w:styleId="FootnoteTextEP-LC1">
    <w:name w:val="Footnote Text_EP-LC1"/>
    <w:basedOn w:val="Normal"/>
    <w:uiPriority w:val="99"/>
    <w:pPr>
      <w:spacing w:after="0" w:line="240" w:lineRule="auto"/>
    </w:pPr>
    <w:rPr>
      <w:rFonts w:ascii="Calibri" w:hAnsi="Calibri" w:cs="Calibri"/>
      <w:sz w:val="20"/>
      <w:szCs w:val="20"/>
    </w:rPr>
  </w:style>
  <w:style w:type="character" w:customStyle="1" w:styleId="ff9">
    <w:name w:val="ff9"/>
    <w:basedOn w:val="DefaultParagraphFont"/>
  </w:style>
  <w:style w:type="character" w:customStyle="1" w:styleId="ff1">
    <w:name w:val="ff1"/>
    <w:basedOn w:val="DefaultParagraphFont"/>
  </w:style>
  <w:style w:type="character" w:customStyle="1" w:styleId="ls12">
    <w:name w:val="ls12"/>
    <w:basedOn w:val="DefaultParagraphFont"/>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st level - Bullet List Paragraph,List Paragraph1,Lettre d'introduction,Paragrafo elenco,Medium Grid 1 - Accent 21,Fiche List Paragraph,body,Odsek zoznamu2,Odsek zoznamu1,3,Bullet 1,Bullet Points,Colorful List - Accent 11,Dot pt,Bulle,2"/>
    <w:basedOn w:val="Normal"/>
    <w:link w:val="ListParagraphChar"/>
    <w:uiPriority w:val="34"/>
    <w:qFormat/>
    <w:pPr>
      <w:ind w:left="720"/>
      <w:contextualSpacing/>
    </w:pPr>
    <w:rPr>
      <w:rFonts w:ascii="Calibri" w:hAnsi="Calibri" w:cs="Calibr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B0List">
    <w:name w:val="B0 List"/>
    <w:basedOn w:val="Normal"/>
    <w:qFormat/>
    <w:pPr>
      <w:widowControl w:val="0"/>
      <w:numPr>
        <w:numId w:val="13"/>
      </w:numPr>
      <w:spacing w:after="120" w:line="240" w:lineRule="auto"/>
      <w:jc w:val="both"/>
    </w:pPr>
    <w:rPr>
      <w:rFonts w:ascii="Times New Roman" w:eastAsia="Calibri" w:hAnsi="Times New Roman" w:cs="Tahoma"/>
      <w:sz w:val="24"/>
    </w:rPr>
  </w:style>
  <w:style w:type="paragraph" w:customStyle="1" w:styleId="Briefinglist1">
    <w:name w:val="Briefing list 1"/>
    <w:basedOn w:val="Normal"/>
    <w:pPr>
      <w:tabs>
        <w:tab w:val="num" w:pos="284"/>
      </w:tabs>
      <w:spacing w:after="120" w:line="240" w:lineRule="auto"/>
      <w:ind w:left="284" w:hanging="284"/>
      <w:jc w:val="both"/>
    </w:pPr>
    <w:rPr>
      <w:rFonts w:ascii="Arial" w:hAnsi="Arial" w:cs="Arial"/>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lang w:val="it-IT"/>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o"/>
    <w:basedOn w:val="DefaultParagraphFont"/>
    <w:uiPriority w:val="99"/>
    <w:unhideWhenUsed/>
    <w:qFormat/>
    <w:rPr>
      <w:vertAlign w:val="superscript"/>
    </w:rPr>
  </w:style>
  <w:style w:type="character" w:styleId="HTMLCite">
    <w:name w:val="HTML Cit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paragraph" w:styleId="NoSpacing">
    <w:name w:val="No Spacing"/>
    <w:uiPriority w:val="1"/>
    <w:qFormat/>
    <w:pPr>
      <w:spacing w:after="0" w:line="240" w:lineRule="auto"/>
    </w:pPr>
  </w:style>
  <w:style w:type="character" w:customStyle="1" w:styleId="ListParagraphChar">
    <w:name w:val="List Paragraph Char"/>
    <w:aliases w:val="1st level - Bullet List Paragraph Char,List Paragraph1 Char,Lettre d'introduction Char,Paragrafo elenco Char,Medium Grid 1 - Accent 21 Char,Fiche List Paragraph Char,body Char,Odsek zoznamu2 Char,Odsek zoznamu1 Char,3 Char,Bulle Char"/>
    <w:link w:val="ListParagraph"/>
    <w:uiPriority w:val="34"/>
    <w:qFormat/>
    <w:locked/>
    <w:rPr>
      <w:rFonts w:ascii="Calibri" w:hAnsi="Calibri" w:cs="Calibri"/>
      <w:lang w:val="it-IT"/>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val="it-IT" w:eastAsia="en-IE"/>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ListParagraphChar"/>
    <w:link w:val="FooterCoverPage"/>
    <w:rPr>
      <w:rFonts w:ascii="Times New Roman" w:hAnsi="Times New Roman" w:cs="Times New Roman"/>
      <w:sz w:val="24"/>
      <w:lang w:val="it-IT"/>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ListParagraphChar"/>
    <w:link w:val="FooterSensitivity"/>
    <w:rPr>
      <w:rFonts w:ascii="Times New Roman" w:hAnsi="Times New Roman" w:cs="Times New Roman"/>
      <w:b/>
      <w:sz w:val="32"/>
      <w:lang w:val="it-IT"/>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ListParagraphChar"/>
    <w:link w:val="HeaderCoverPage"/>
    <w:rPr>
      <w:rFonts w:ascii="Times New Roman" w:hAnsi="Times New Roman" w:cs="Times New Roman"/>
      <w:sz w:val="24"/>
      <w:lang w:val="it-IT"/>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ListParagraphChar"/>
    <w:link w:val="HeaderSensitivity"/>
    <w:rPr>
      <w:rFonts w:ascii="Times New Roman" w:hAnsi="Times New Roman" w:cs="Times New Roman"/>
      <w:b/>
      <w:sz w:val="32"/>
      <w:lang w:val="it-IT"/>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ListParagraphChar"/>
    <w:link w:val="HeaderSensitivityRight"/>
    <w:rPr>
      <w:rFonts w:ascii="Times New Roman" w:hAnsi="Times New Roman" w:cs="Times New Roman"/>
      <w:sz w:val="28"/>
      <w:lang w:val="it-IT"/>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ListBullet1">
    <w:name w:val="List Bullet 1"/>
    <w:basedOn w:val="Normal"/>
    <w:pPr>
      <w:tabs>
        <w:tab w:val="num" w:pos="765"/>
      </w:tabs>
      <w:spacing w:after="240" w:line="240" w:lineRule="auto"/>
      <w:ind w:left="765" w:hanging="283"/>
      <w:jc w:val="both"/>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DefaultParagraphFont"/>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customStyle="1" w:styleId="FootnoteTextEP-LC1">
    <w:name w:val="Footnote Text_EP-LC1"/>
    <w:basedOn w:val="Normal"/>
    <w:uiPriority w:val="99"/>
    <w:pPr>
      <w:spacing w:after="0" w:line="240" w:lineRule="auto"/>
    </w:pPr>
    <w:rPr>
      <w:rFonts w:ascii="Calibri" w:hAnsi="Calibri" w:cs="Calibri"/>
      <w:sz w:val="20"/>
      <w:szCs w:val="20"/>
    </w:rPr>
  </w:style>
  <w:style w:type="character" w:customStyle="1" w:styleId="ff9">
    <w:name w:val="ff9"/>
    <w:basedOn w:val="DefaultParagraphFont"/>
  </w:style>
  <w:style w:type="character" w:customStyle="1" w:styleId="ff1">
    <w:name w:val="ff1"/>
    <w:basedOn w:val="DefaultParagraphFont"/>
  </w:style>
  <w:style w:type="character" w:customStyle="1" w:styleId="ls12">
    <w:name w:val="ls12"/>
    <w:basedOn w:val="DefaultParagraphFont"/>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17169">
      <w:bodyDiv w:val="1"/>
      <w:marLeft w:val="0"/>
      <w:marRight w:val="0"/>
      <w:marTop w:val="0"/>
      <w:marBottom w:val="0"/>
      <w:divBdr>
        <w:top w:val="none" w:sz="0" w:space="0" w:color="auto"/>
        <w:left w:val="none" w:sz="0" w:space="0" w:color="auto"/>
        <w:bottom w:val="none" w:sz="0" w:space="0" w:color="auto"/>
        <w:right w:val="none" w:sz="0" w:space="0" w:color="auto"/>
      </w:divBdr>
    </w:div>
    <w:div w:id="80956507">
      <w:bodyDiv w:val="1"/>
      <w:marLeft w:val="0"/>
      <w:marRight w:val="0"/>
      <w:marTop w:val="0"/>
      <w:marBottom w:val="0"/>
      <w:divBdr>
        <w:top w:val="none" w:sz="0" w:space="0" w:color="auto"/>
        <w:left w:val="none" w:sz="0" w:space="0" w:color="auto"/>
        <w:bottom w:val="none" w:sz="0" w:space="0" w:color="auto"/>
        <w:right w:val="none" w:sz="0" w:space="0" w:color="auto"/>
      </w:divBdr>
    </w:div>
    <w:div w:id="86000729">
      <w:bodyDiv w:val="1"/>
      <w:marLeft w:val="0"/>
      <w:marRight w:val="0"/>
      <w:marTop w:val="0"/>
      <w:marBottom w:val="0"/>
      <w:divBdr>
        <w:top w:val="none" w:sz="0" w:space="0" w:color="auto"/>
        <w:left w:val="none" w:sz="0" w:space="0" w:color="auto"/>
        <w:bottom w:val="none" w:sz="0" w:space="0" w:color="auto"/>
        <w:right w:val="none" w:sz="0" w:space="0" w:color="auto"/>
      </w:divBdr>
    </w:div>
    <w:div w:id="98527525">
      <w:bodyDiv w:val="1"/>
      <w:marLeft w:val="0"/>
      <w:marRight w:val="0"/>
      <w:marTop w:val="0"/>
      <w:marBottom w:val="0"/>
      <w:divBdr>
        <w:top w:val="none" w:sz="0" w:space="0" w:color="auto"/>
        <w:left w:val="none" w:sz="0" w:space="0" w:color="auto"/>
        <w:bottom w:val="none" w:sz="0" w:space="0" w:color="auto"/>
        <w:right w:val="none" w:sz="0" w:space="0" w:color="auto"/>
      </w:divBdr>
    </w:div>
    <w:div w:id="169881438">
      <w:bodyDiv w:val="1"/>
      <w:marLeft w:val="0"/>
      <w:marRight w:val="0"/>
      <w:marTop w:val="0"/>
      <w:marBottom w:val="0"/>
      <w:divBdr>
        <w:top w:val="none" w:sz="0" w:space="0" w:color="auto"/>
        <w:left w:val="none" w:sz="0" w:space="0" w:color="auto"/>
        <w:bottom w:val="none" w:sz="0" w:space="0" w:color="auto"/>
        <w:right w:val="none" w:sz="0" w:space="0" w:color="auto"/>
      </w:divBdr>
    </w:div>
    <w:div w:id="246380429">
      <w:bodyDiv w:val="1"/>
      <w:marLeft w:val="0"/>
      <w:marRight w:val="0"/>
      <w:marTop w:val="0"/>
      <w:marBottom w:val="0"/>
      <w:divBdr>
        <w:top w:val="none" w:sz="0" w:space="0" w:color="auto"/>
        <w:left w:val="none" w:sz="0" w:space="0" w:color="auto"/>
        <w:bottom w:val="none" w:sz="0" w:space="0" w:color="auto"/>
        <w:right w:val="none" w:sz="0" w:space="0" w:color="auto"/>
      </w:divBdr>
    </w:div>
    <w:div w:id="283999562">
      <w:bodyDiv w:val="1"/>
      <w:marLeft w:val="0"/>
      <w:marRight w:val="0"/>
      <w:marTop w:val="0"/>
      <w:marBottom w:val="0"/>
      <w:divBdr>
        <w:top w:val="none" w:sz="0" w:space="0" w:color="auto"/>
        <w:left w:val="none" w:sz="0" w:space="0" w:color="auto"/>
        <w:bottom w:val="none" w:sz="0" w:space="0" w:color="auto"/>
        <w:right w:val="none" w:sz="0" w:space="0" w:color="auto"/>
      </w:divBdr>
    </w:div>
    <w:div w:id="345911221">
      <w:bodyDiv w:val="1"/>
      <w:marLeft w:val="0"/>
      <w:marRight w:val="0"/>
      <w:marTop w:val="0"/>
      <w:marBottom w:val="0"/>
      <w:divBdr>
        <w:top w:val="none" w:sz="0" w:space="0" w:color="auto"/>
        <w:left w:val="none" w:sz="0" w:space="0" w:color="auto"/>
        <w:bottom w:val="none" w:sz="0" w:space="0" w:color="auto"/>
        <w:right w:val="none" w:sz="0" w:space="0" w:color="auto"/>
      </w:divBdr>
    </w:div>
    <w:div w:id="364331828">
      <w:bodyDiv w:val="1"/>
      <w:marLeft w:val="0"/>
      <w:marRight w:val="0"/>
      <w:marTop w:val="0"/>
      <w:marBottom w:val="0"/>
      <w:divBdr>
        <w:top w:val="none" w:sz="0" w:space="0" w:color="auto"/>
        <w:left w:val="none" w:sz="0" w:space="0" w:color="auto"/>
        <w:bottom w:val="none" w:sz="0" w:space="0" w:color="auto"/>
        <w:right w:val="none" w:sz="0" w:space="0" w:color="auto"/>
      </w:divBdr>
    </w:div>
    <w:div w:id="376584214">
      <w:bodyDiv w:val="1"/>
      <w:marLeft w:val="0"/>
      <w:marRight w:val="0"/>
      <w:marTop w:val="0"/>
      <w:marBottom w:val="0"/>
      <w:divBdr>
        <w:top w:val="none" w:sz="0" w:space="0" w:color="auto"/>
        <w:left w:val="none" w:sz="0" w:space="0" w:color="auto"/>
        <w:bottom w:val="none" w:sz="0" w:space="0" w:color="auto"/>
        <w:right w:val="none" w:sz="0" w:space="0" w:color="auto"/>
      </w:divBdr>
    </w:div>
    <w:div w:id="397752891">
      <w:bodyDiv w:val="1"/>
      <w:marLeft w:val="0"/>
      <w:marRight w:val="0"/>
      <w:marTop w:val="0"/>
      <w:marBottom w:val="0"/>
      <w:divBdr>
        <w:top w:val="none" w:sz="0" w:space="0" w:color="auto"/>
        <w:left w:val="none" w:sz="0" w:space="0" w:color="auto"/>
        <w:bottom w:val="none" w:sz="0" w:space="0" w:color="auto"/>
        <w:right w:val="none" w:sz="0" w:space="0" w:color="auto"/>
      </w:divBdr>
    </w:div>
    <w:div w:id="434062184">
      <w:bodyDiv w:val="1"/>
      <w:marLeft w:val="0"/>
      <w:marRight w:val="0"/>
      <w:marTop w:val="0"/>
      <w:marBottom w:val="0"/>
      <w:divBdr>
        <w:top w:val="none" w:sz="0" w:space="0" w:color="auto"/>
        <w:left w:val="none" w:sz="0" w:space="0" w:color="auto"/>
        <w:bottom w:val="none" w:sz="0" w:space="0" w:color="auto"/>
        <w:right w:val="none" w:sz="0" w:space="0" w:color="auto"/>
      </w:divBdr>
    </w:div>
    <w:div w:id="487016536">
      <w:bodyDiv w:val="1"/>
      <w:marLeft w:val="0"/>
      <w:marRight w:val="0"/>
      <w:marTop w:val="0"/>
      <w:marBottom w:val="0"/>
      <w:divBdr>
        <w:top w:val="none" w:sz="0" w:space="0" w:color="auto"/>
        <w:left w:val="none" w:sz="0" w:space="0" w:color="auto"/>
        <w:bottom w:val="none" w:sz="0" w:space="0" w:color="auto"/>
        <w:right w:val="none" w:sz="0" w:space="0" w:color="auto"/>
      </w:divBdr>
    </w:div>
    <w:div w:id="519003635">
      <w:bodyDiv w:val="1"/>
      <w:marLeft w:val="0"/>
      <w:marRight w:val="0"/>
      <w:marTop w:val="0"/>
      <w:marBottom w:val="0"/>
      <w:divBdr>
        <w:top w:val="none" w:sz="0" w:space="0" w:color="auto"/>
        <w:left w:val="none" w:sz="0" w:space="0" w:color="auto"/>
        <w:bottom w:val="none" w:sz="0" w:space="0" w:color="auto"/>
        <w:right w:val="none" w:sz="0" w:space="0" w:color="auto"/>
      </w:divBdr>
    </w:div>
    <w:div w:id="568466812">
      <w:bodyDiv w:val="1"/>
      <w:marLeft w:val="0"/>
      <w:marRight w:val="0"/>
      <w:marTop w:val="0"/>
      <w:marBottom w:val="0"/>
      <w:divBdr>
        <w:top w:val="none" w:sz="0" w:space="0" w:color="auto"/>
        <w:left w:val="none" w:sz="0" w:space="0" w:color="auto"/>
        <w:bottom w:val="none" w:sz="0" w:space="0" w:color="auto"/>
        <w:right w:val="none" w:sz="0" w:space="0" w:color="auto"/>
      </w:divBdr>
    </w:div>
    <w:div w:id="589198784">
      <w:bodyDiv w:val="1"/>
      <w:marLeft w:val="0"/>
      <w:marRight w:val="0"/>
      <w:marTop w:val="0"/>
      <w:marBottom w:val="0"/>
      <w:divBdr>
        <w:top w:val="none" w:sz="0" w:space="0" w:color="auto"/>
        <w:left w:val="none" w:sz="0" w:space="0" w:color="auto"/>
        <w:bottom w:val="none" w:sz="0" w:space="0" w:color="auto"/>
        <w:right w:val="none" w:sz="0" w:space="0" w:color="auto"/>
      </w:divBdr>
    </w:div>
    <w:div w:id="599340128">
      <w:bodyDiv w:val="1"/>
      <w:marLeft w:val="0"/>
      <w:marRight w:val="0"/>
      <w:marTop w:val="0"/>
      <w:marBottom w:val="0"/>
      <w:divBdr>
        <w:top w:val="none" w:sz="0" w:space="0" w:color="auto"/>
        <w:left w:val="none" w:sz="0" w:space="0" w:color="auto"/>
        <w:bottom w:val="none" w:sz="0" w:space="0" w:color="auto"/>
        <w:right w:val="none" w:sz="0" w:space="0" w:color="auto"/>
      </w:divBdr>
    </w:div>
    <w:div w:id="632903231">
      <w:bodyDiv w:val="1"/>
      <w:marLeft w:val="0"/>
      <w:marRight w:val="0"/>
      <w:marTop w:val="0"/>
      <w:marBottom w:val="0"/>
      <w:divBdr>
        <w:top w:val="none" w:sz="0" w:space="0" w:color="auto"/>
        <w:left w:val="none" w:sz="0" w:space="0" w:color="auto"/>
        <w:bottom w:val="none" w:sz="0" w:space="0" w:color="auto"/>
        <w:right w:val="none" w:sz="0" w:space="0" w:color="auto"/>
      </w:divBdr>
    </w:div>
    <w:div w:id="705105902">
      <w:bodyDiv w:val="1"/>
      <w:marLeft w:val="0"/>
      <w:marRight w:val="0"/>
      <w:marTop w:val="0"/>
      <w:marBottom w:val="0"/>
      <w:divBdr>
        <w:top w:val="none" w:sz="0" w:space="0" w:color="auto"/>
        <w:left w:val="none" w:sz="0" w:space="0" w:color="auto"/>
        <w:bottom w:val="none" w:sz="0" w:space="0" w:color="auto"/>
        <w:right w:val="none" w:sz="0" w:space="0" w:color="auto"/>
      </w:divBdr>
    </w:div>
    <w:div w:id="714080673">
      <w:bodyDiv w:val="1"/>
      <w:marLeft w:val="0"/>
      <w:marRight w:val="0"/>
      <w:marTop w:val="0"/>
      <w:marBottom w:val="0"/>
      <w:divBdr>
        <w:top w:val="none" w:sz="0" w:space="0" w:color="auto"/>
        <w:left w:val="none" w:sz="0" w:space="0" w:color="auto"/>
        <w:bottom w:val="none" w:sz="0" w:space="0" w:color="auto"/>
        <w:right w:val="none" w:sz="0" w:space="0" w:color="auto"/>
      </w:divBdr>
    </w:div>
    <w:div w:id="787823510">
      <w:bodyDiv w:val="1"/>
      <w:marLeft w:val="0"/>
      <w:marRight w:val="0"/>
      <w:marTop w:val="0"/>
      <w:marBottom w:val="0"/>
      <w:divBdr>
        <w:top w:val="none" w:sz="0" w:space="0" w:color="auto"/>
        <w:left w:val="none" w:sz="0" w:space="0" w:color="auto"/>
        <w:bottom w:val="none" w:sz="0" w:space="0" w:color="auto"/>
        <w:right w:val="none" w:sz="0" w:space="0" w:color="auto"/>
      </w:divBdr>
    </w:div>
    <w:div w:id="829640941">
      <w:bodyDiv w:val="1"/>
      <w:marLeft w:val="0"/>
      <w:marRight w:val="0"/>
      <w:marTop w:val="0"/>
      <w:marBottom w:val="0"/>
      <w:divBdr>
        <w:top w:val="none" w:sz="0" w:space="0" w:color="auto"/>
        <w:left w:val="none" w:sz="0" w:space="0" w:color="auto"/>
        <w:bottom w:val="none" w:sz="0" w:space="0" w:color="auto"/>
        <w:right w:val="none" w:sz="0" w:space="0" w:color="auto"/>
      </w:divBdr>
    </w:div>
    <w:div w:id="833641252">
      <w:bodyDiv w:val="1"/>
      <w:marLeft w:val="0"/>
      <w:marRight w:val="0"/>
      <w:marTop w:val="0"/>
      <w:marBottom w:val="0"/>
      <w:divBdr>
        <w:top w:val="none" w:sz="0" w:space="0" w:color="auto"/>
        <w:left w:val="none" w:sz="0" w:space="0" w:color="auto"/>
        <w:bottom w:val="none" w:sz="0" w:space="0" w:color="auto"/>
        <w:right w:val="none" w:sz="0" w:space="0" w:color="auto"/>
      </w:divBdr>
    </w:div>
    <w:div w:id="837114968">
      <w:bodyDiv w:val="1"/>
      <w:marLeft w:val="0"/>
      <w:marRight w:val="0"/>
      <w:marTop w:val="0"/>
      <w:marBottom w:val="0"/>
      <w:divBdr>
        <w:top w:val="none" w:sz="0" w:space="0" w:color="auto"/>
        <w:left w:val="none" w:sz="0" w:space="0" w:color="auto"/>
        <w:bottom w:val="none" w:sz="0" w:space="0" w:color="auto"/>
        <w:right w:val="none" w:sz="0" w:space="0" w:color="auto"/>
      </w:divBdr>
    </w:div>
    <w:div w:id="950936756">
      <w:bodyDiv w:val="1"/>
      <w:marLeft w:val="0"/>
      <w:marRight w:val="0"/>
      <w:marTop w:val="0"/>
      <w:marBottom w:val="0"/>
      <w:divBdr>
        <w:top w:val="none" w:sz="0" w:space="0" w:color="auto"/>
        <w:left w:val="none" w:sz="0" w:space="0" w:color="auto"/>
        <w:bottom w:val="none" w:sz="0" w:space="0" w:color="auto"/>
        <w:right w:val="none" w:sz="0" w:space="0" w:color="auto"/>
      </w:divBdr>
    </w:div>
    <w:div w:id="966356417">
      <w:bodyDiv w:val="1"/>
      <w:marLeft w:val="0"/>
      <w:marRight w:val="0"/>
      <w:marTop w:val="0"/>
      <w:marBottom w:val="0"/>
      <w:divBdr>
        <w:top w:val="none" w:sz="0" w:space="0" w:color="auto"/>
        <w:left w:val="none" w:sz="0" w:space="0" w:color="auto"/>
        <w:bottom w:val="none" w:sz="0" w:space="0" w:color="auto"/>
        <w:right w:val="none" w:sz="0" w:space="0" w:color="auto"/>
      </w:divBdr>
    </w:div>
    <w:div w:id="1013534472">
      <w:bodyDiv w:val="1"/>
      <w:marLeft w:val="0"/>
      <w:marRight w:val="0"/>
      <w:marTop w:val="0"/>
      <w:marBottom w:val="0"/>
      <w:divBdr>
        <w:top w:val="none" w:sz="0" w:space="0" w:color="auto"/>
        <w:left w:val="none" w:sz="0" w:space="0" w:color="auto"/>
        <w:bottom w:val="none" w:sz="0" w:space="0" w:color="auto"/>
        <w:right w:val="none" w:sz="0" w:space="0" w:color="auto"/>
      </w:divBdr>
    </w:div>
    <w:div w:id="1057096033">
      <w:bodyDiv w:val="1"/>
      <w:marLeft w:val="0"/>
      <w:marRight w:val="0"/>
      <w:marTop w:val="0"/>
      <w:marBottom w:val="0"/>
      <w:divBdr>
        <w:top w:val="none" w:sz="0" w:space="0" w:color="auto"/>
        <w:left w:val="none" w:sz="0" w:space="0" w:color="auto"/>
        <w:bottom w:val="none" w:sz="0" w:space="0" w:color="auto"/>
        <w:right w:val="none" w:sz="0" w:space="0" w:color="auto"/>
      </w:divBdr>
    </w:div>
    <w:div w:id="1063482707">
      <w:bodyDiv w:val="1"/>
      <w:marLeft w:val="0"/>
      <w:marRight w:val="0"/>
      <w:marTop w:val="0"/>
      <w:marBottom w:val="0"/>
      <w:divBdr>
        <w:top w:val="none" w:sz="0" w:space="0" w:color="auto"/>
        <w:left w:val="none" w:sz="0" w:space="0" w:color="auto"/>
        <w:bottom w:val="none" w:sz="0" w:space="0" w:color="auto"/>
        <w:right w:val="none" w:sz="0" w:space="0" w:color="auto"/>
      </w:divBdr>
    </w:div>
    <w:div w:id="1161892233">
      <w:bodyDiv w:val="1"/>
      <w:marLeft w:val="0"/>
      <w:marRight w:val="0"/>
      <w:marTop w:val="0"/>
      <w:marBottom w:val="0"/>
      <w:divBdr>
        <w:top w:val="none" w:sz="0" w:space="0" w:color="auto"/>
        <w:left w:val="none" w:sz="0" w:space="0" w:color="auto"/>
        <w:bottom w:val="none" w:sz="0" w:space="0" w:color="auto"/>
        <w:right w:val="none" w:sz="0" w:space="0" w:color="auto"/>
      </w:divBdr>
    </w:div>
    <w:div w:id="1204564659">
      <w:bodyDiv w:val="1"/>
      <w:marLeft w:val="0"/>
      <w:marRight w:val="0"/>
      <w:marTop w:val="0"/>
      <w:marBottom w:val="0"/>
      <w:divBdr>
        <w:top w:val="none" w:sz="0" w:space="0" w:color="auto"/>
        <w:left w:val="none" w:sz="0" w:space="0" w:color="auto"/>
        <w:bottom w:val="none" w:sz="0" w:space="0" w:color="auto"/>
        <w:right w:val="none" w:sz="0" w:space="0" w:color="auto"/>
      </w:divBdr>
    </w:div>
    <w:div w:id="1232152024">
      <w:bodyDiv w:val="1"/>
      <w:marLeft w:val="0"/>
      <w:marRight w:val="0"/>
      <w:marTop w:val="0"/>
      <w:marBottom w:val="0"/>
      <w:divBdr>
        <w:top w:val="none" w:sz="0" w:space="0" w:color="auto"/>
        <w:left w:val="none" w:sz="0" w:space="0" w:color="auto"/>
        <w:bottom w:val="none" w:sz="0" w:space="0" w:color="auto"/>
        <w:right w:val="none" w:sz="0" w:space="0" w:color="auto"/>
      </w:divBdr>
    </w:div>
    <w:div w:id="1246650934">
      <w:bodyDiv w:val="1"/>
      <w:marLeft w:val="0"/>
      <w:marRight w:val="0"/>
      <w:marTop w:val="0"/>
      <w:marBottom w:val="0"/>
      <w:divBdr>
        <w:top w:val="none" w:sz="0" w:space="0" w:color="auto"/>
        <w:left w:val="none" w:sz="0" w:space="0" w:color="auto"/>
        <w:bottom w:val="none" w:sz="0" w:space="0" w:color="auto"/>
        <w:right w:val="none" w:sz="0" w:space="0" w:color="auto"/>
      </w:divBdr>
    </w:div>
    <w:div w:id="1252468611">
      <w:bodyDiv w:val="1"/>
      <w:marLeft w:val="0"/>
      <w:marRight w:val="0"/>
      <w:marTop w:val="0"/>
      <w:marBottom w:val="0"/>
      <w:divBdr>
        <w:top w:val="none" w:sz="0" w:space="0" w:color="auto"/>
        <w:left w:val="none" w:sz="0" w:space="0" w:color="auto"/>
        <w:bottom w:val="none" w:sz="0" w:space="0" w:color="auto"/>
        <w:right w:val="none" w:sz="0" w:space="0" w:color="auto"/>
      </w:divBdr>
    </w:div>
    <w:div w:id="1256281592">
      <w:bodyDiv w:val="1"/>
      <w:marLeft w:val="0"/>
      <w:marRight w:val="0"/>
      <w:marTop w:val="0"/>
      <w:marBottom w:val="0"/>
      <w:divBdr>
        <w:top w:val="none" w:sz="0" w:space="0" w:color="auto"/>
        <w:left w:val="none" w:sz="0" w:space="0" w:color="auto"/>
        <w:bottom w:val="none" w:sz="0" w:space="0" w:color="auto"/>
        <w:right w:val="none" w:sz="0" w:space="0" w:color="auto"/>
      </w:divBdr>
    </w:div>
    <w:div w:id="1304502700">
      <w:bodyDiv w:val="1"/>
      <w:marLeft w:val="0"/>
      <w:marRight w:val="0"/>
      <w:marTop w:val="0"/>
      <w:marBottom w:val="0"/>
      <w:divBdr>
        <w:top w:val="none" w:sz="0" w:space="0" w:color="auto"/>
        <w:left w:val="none" w:sz="0" w:space="0" w:color="auto"/>
        <w:bottom w:val="none" w:sz="0" w:space="0" w:color="auto"/>
        <w:right w:val="none" w:sz="0" w:space="0" w:color="auto"/>
      </w:divBdr>
    </w:div>
    <w:div w:id="1308316479">
      <w:bodyDiv w:val="1"/>
      <w:marLeft w:val="0"/>
      <w:marRight w:val="0"/>
      <w:marTop w:val="0"/>
      <w:marBottom w:val="0"/>
      <w:divBdr>
        <w:top w:val="none" w:sz="0" w:space="0" w:color="auto"/>
        <w:left w:val="none" w:sz="0" w:space="0" w:color="auto"/>
        <w:bottom w:val="none" w:sz="0" w:space="0" w:color="auto"/>
        <w:right w:val="none" w:sz="0" w:space="0" w:color="auto"/>
      </w:divBdr>
    </w:div>
    <w:div w:id="1350984696">
      <w:bodyDiv w:val="1"/>
      <w:marLeft w:val="0"/>
      <w:marRight w:val="0"/>
      <w:marTop w:val="0"/>
      <w:marBottom w:val="0"/>
      <w:divBdr>
        <w:top w:val="none" w:sz="0" w:space="0" w:color="auto"/>
        <w:left w:val="none" w:sz="0" w:space="0" w:color="auto"/>
        <w:bottom w:val="none" w:sz="0" w:space="0" w:color="auto"/>
        <w:right w:val="none" w:sz="0" w:space="0" w:color="auto"/>
      </w:divBdr>
    </w:div>
    <w:div w:id="1351683336">
      <w:bodyDiv w:val="1"/>
      <w:marLeft w:val="0"/>
      <w:marRight w:val="0"/>
      <w:marTop w:val="0"/>
      <w:marBottom w:val="0"/>
      <w:divBdr>
        <w:top w:val="none" w:sz="0" w:space="0" w:color="auto"/>
        <w:left w:val="none" w:sz="0" w:space="0" w:color="auto"/>
        <w:bottom w:val="none" w:sz="0" w:space="0" w:color="auto"/>
        <w:right w:val="none" w:sz="0" w:space="0" w:color="auto"/>
      </w:divBdr>
    </w:div>
    <w:div w:id="1365206348">
      <w:bodyDiv w:val="1"/>
      <w:marLeft w:val="0"/>
      <w:marRight w:val="0"/>
      <w:marTop w:val="0"/>
      <w:marBottom w:val="0"/>
      <w:divBdr>
        <w:top w:val="none" w:sz="0" w:space="0" w:color="auto"/>
        <w:left w:val="none" w:sz="0" w:space="0" w:color="auto"/>
        <w:bottom w:val="none" w:sz="0" w:space="0" w:color="auto"/>
        <w:right w:val="none" w:sz="0" w:space="0" w:color="auto"/>
      </w:divBdr>
    </w:div>
    <w:div w:id="1400248391">
      <w:bodyDiv w:val="1"/>
      <w:marLeft w:val="0"/>
      <w:marRight w:val="0"/>
      <w:marTop w:val="0"/>
      <w:marBottom w:val="0"/>
      <w:divBdr>
        <w:top w:val="none" w:sz="0" w:space="0" w:color="auto"/>
        <w:left w:val="none" w:sz="0" w:space="0" w:color="auto"/>
        <w:bottom w:val="none" w:sz="0" w:space="0" w:color="auto"/>
        <w:right w:val="none" w:sz="0" w:space="0" w:color="auto"/>
      </w:divBdr>
    </w:div>
    <w:div w:id="1442526128">
      <w:bodyDiv w:val="1"/>
      <w:marLeft w:val="0"/>
      <w:marRight w:val="0"/>
      <w:marTop w:val="0"/>
      <w:marBottom w:val="0"/>
      <w:divBdr>
        <w:top w:val="none" w:sz="0" w:space="0" w:color="auto"/>
        <w:left w:val="none" w:sz="0" w:space="0" w:color="auto"/>
        <w:bottom w:val="none" w:sz="0" w:space="0" w:color="auto"/>
        <w:right w:val="none" w:sz="0" w:space="0" w:color="auto"/>
      </w:divBdr>
    </w:div>
    <w:div w:id="1567111569">
      <w:bodyDiv w:val="1"/>
      <w:marLeft w:val="0"/>
      <w:marRight w:val="0"/>
      <w:marTop w:val="0"/>
      <w:marBottom w:val="0"/>
      <w:divBdr>
        <w:top w:val="none" w:sz="0" w:space="0" w:color="auto"/>
        <w:left w:val="none" w:sz="0" w:space="0" w:color="auto"/>
        <w:bottom w:val="none" w:sz="0" w:space="0" w:color="auto"/>
        <w:right w:val="none" w:sz="0" w:space="0" w:color="auto"/>
      </w:divBdr>
    </w:div>
    <w:div w:id="1708020903">
      <w:bodyDiv w:val="1"/>
      <w:marLeft w:val="0"/>
      <w:marRight w:val="0"/>
      <w:marTop w:val="0"/>
      <w:marBottom w:val="0"/>
      <w:divBdr>
        <w:top w:val="none" w:sz="0" w:space="0" w:color="auto"/>
        <w:left w:val="none" w:sz="0" w:space="0" w:color="auto"/>
        <w:bottom w:val="none" w:sz="0" w:space="0" w:color="auto"/>
        <w:right w:val="none" w:sz="0" w:space="0" w:color="auto"/>
      </w:divBdr>
    </w:div>
    <w:div w:id="1731533009">
      <w:bodyDiv w:val="1"/>
      <w:marLeft w:val="0"/>
      <w:marRight w:val="0"/>
      <w:marTop w:val="0"/>
      <w:marBottom w:val="0"/>
      <w:divBdr>
        <w:top w:val="none" w:sz="0" w:space="0" w:color="auto"/>
        <w:left w:val="none" w:sz="0" w:space="0" w:color="auto"/>
        <w:bottom w:val="none" w:sz="0" w:space="0" w:color="auto"/>
        <w:right w:val="none" w:sz="0" w:space="0" w:color="auto"/>
      </w:divBdr>
    </w:div>
    <w:div w:id="1742288006">
      <w:bodyDiv w:val="1"/>
      <w:marLeft w:val="0"/>
      <w:marRight w:val="0"/>
      <w:marTop w:val="0"/>
      <w:marBottom w:val="0"/>
      <w:divBdr>
        <w:top w:val="none" w:sz="0" w:space="0" w:color="auto"/>
        <w:left w:val="none" w:sz="0" w:space="0" w:color="auto"/>
        <w:bottom w:val="none" w:sz="0" w:space="0" w:color="auto"/>
        <w:right w:val="none" w:sz="0" w:space="0" w:color="auto"/>
      </w:divBdr>
    </w:div>
    <w:div w:id="1758792023">
      <w:bodyDiv w:val="1"/>
      <w:marLeft w:val="0"/>
      <w:marRight w:val="0"/>
      <w:marTop w:val="0"/>
      <w:marBottom w:val="0"/>
      <w:divBdr>
        <w:top w:val="none" w:sz="0" w:space="0" w:color="auto"/>
        <w:left w:val="none" w:sz="0" w:space="0" w:color="auto"/>
        <w:bottom w:val="none" w:sz="0" w:space="0" w:color="auto"/>
        <w:right w:val="none" w:sz="0" w:space="0" w:color="auto"/>
      </w:divBdr>
    </w:div>
    <w:div w:id="1767192083">
      <w:bodyDiv w:val="1"/>
      <w:marLeft w:val="0"/>
      <w:marRight w:val="0"/>
      <w:marTop w:val="0"/>
      <w:marBottom w:val="0"/>
      <w:divBdr>
        <w:top w:val="none" w:sz="0" w:space="0" w:color="auto"/>
        <w:left w:val="none" w:sz="0" w:space="0" w:color="auto"/>
        <w:bottom w:val="none" w:sz="0" w:space="0" w:color="auto"/>
        <w:right w:val="none" w:sz="0" w:space="0" w:color="auto"/>
      </w:divBdr>
    </w:div>
    <w:div w:id="1769615880">
      <w:bodyDiv w:val="1"/>
      <w:marLeft w:val="0"/>
      <w:marRight w:val="0"/>
      <w:marTop w:val="0"/>
      <w:marBottom w:val="0"/>
      <w:divBdr>
        <w:top w:val="none" w:sz="0" w:space="0" w:color="auto"/>
        <w:left w:val="none" w:sz="0" w:space="0" w:color="auto"/>
        <w:bottom w:val="none" w:sz="0" w:space="0" w:color="auto"/>
        <w:right w:val="none" w:sz="0" w:space="0" w:color="auto"/>
      </w:divBdr>
    </w:div>
    <w:div w:id="1785616532">
      <w:bodyDiv w:val="1"/>
      <w:marLeft w:val="0"/>
      <w:marRight w:val="0"/>
      <w:marTop w:val="0"/>
      <w:marBottom w:val="0"/>
      <w:divBdr>
        <w:top w:val="none" w:sz="0" w:space="0" w:color="auto"/>
        <w:left w:val="none" w:sz="0" w:space="0" w:color="auto"/>
        <w:bottom w:val="none" w:sz="0" w:space="0" w:color="auto"/>
        <w:right w:val="none" w:sz="0" w:space="0" w:color="auto"/>
      </w:divBdr>
    </w:div>
    <w:div w:id="1892304754">
      <w:bodyDiv w:val="1"/>
      <w:marLeft w:val="0"/>
      <w:marRight w:val="0"/>
      <w:marTop w:val="0"/>
      <w:marBottom w:val="0"/>
      <w:divBdr>
        <w:top w:val="none" w:sz="0" w:space="0" w:color="auto"/>
        <w:left w:val="none" w:sz="0" w:space="0" w:color="auto"/>
        <w:bottom w:val="none" w:sz="0" w:space="0" w:color="auto"/>
        <w:right w:val="none" w:sz="0" w:space="0" w:color="auto"/>
      </w:divBdr>
    </w:div>
    <w:div w:id="1893342952">
      <w:bodyDiv w:val="1"/>
      <w:marLeft w:val="0"/>
      <w:marRight w:val="0"/>
      <w:marTop w:val="0"/>
      <w:marBottom w:val="0"/>
      <w:divBdr>
        <w:top w:val="none" w:sz="0" w:space="0" w:color="auto"/>
        <w:left w:val="none" w:sz="0" w:space="0" w:color="auto"/>
        <w:bottom w:val="none" w:sz="0" w:space="0" w:color="auto"/>
        <w:right w:val="none" w:sz="0" w:space="0" w:color="auto"/>
      </w:divBdr>
    </w:div>
    <w:div w:id="1962422371">
      <w:bodyDiv w:val="1"/>
      <w:marLeft w:val="0"/>
      <w:marRight w:val="0"/>
      <w:marTop w:val="0"/>
      <w:marBottom w:val="0"/>
      <w:divBdr>
        <w:top w:val="none" w:sz="0" w:space="0" w:color="auto"/>
        <w:left w:val="none" w:sz="0" w:space="0" w:color="auto"/>
        <w:bottom w:val="none" w:sz="0" w:space="0" w:color="auto"/>
        <w:right w:val="none" w:sz="0" w:space="0" w:color="auto"/>
      </w:divBdr>
    </w:div>
    <w:div w:id="2020084631">
      <w:bodyDiv w:val="1"/>
      <w:marLeft w:val="0"/>
      <w:marRight w:val="0"/>
      <w:marTop w:val="0"/>
      <w:marBottom w:val="0"/>
      <w:divBdr>
        <w:top w:val="none" w:sz="0" w:space="0" w:color="auto"/>
        <w:left w:val="none" w:sz="0" w:space="0" w:color="auto"/>
        <w:bottom w:val="none" w:sz="0" w:space="0" w:color="auto"/>
        <w:right w:val="none" w:sz="0" w:space="0" w:color="auto"/>
      </w:divBdr>
    </w:div>
    <w:div w:id="2037541613">
      <w:bodyDiv w:val="1"/>
      <w:marLeft w:val="0"/>
      <w:marRight w:val="0"/>
      <w:marTop w:val="0"/>
      <w:marBottom w:val="0"/>
      <w:divBdr>
        <w:top w:val="none" w:sz="0" w:space="0" w:color="auto"/>
        <w:left w:val="none" w:sz="0" w:space="0" w:color="auto"/>
        <w:bottom w:val="none" w:sz="0" w:space="0" w:color="auto"/>
        <w:right w:val="none" w:sz="0" w:space="0" w:color="auto"/>
      </w:divBdr>
    </w:div>
    <w:div w:id="207192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eader" Target="header5.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ndfgm.eu/female-genital-mutilation/fgm-in-europe" TargetMode="External"/><Relationship Id="rId13" Type="http://schemas.openxmlformats.org/officeDocument/2006/relationships/hyperlink" Target="https://ec.europa.eu/programmes/creative-europe/node_it" TargetMode="External"/><Relationship Id="rId18" Type="http://schemas.openxmlformats.org/officeDocument/2006/relationships/hyperlink" Target="https://ec.europa.eu/info/business-economy-euro/economic-and-fiscal-policy-coordination/eu-economic-governance-monitoring-prevention-correction/european-semester_it" TargetMode="External"/><Relationship Id="rId26" Type="http://schemas.openxmlformats.org/officeDocument/2006/relationships/hyperlink" Target="https://appsso.eurostat.ec.europa.eu/nui/show.do?dataset=ilc_pnp13&amp;lang=en" TargetMode="External"/><Relationship Id="rId39" Type="http://schemas.openxmlformats.org/officeDocument/2006/relationships/hyperlink" Target="https://data.consilium.europa.eu/doc/document/ST-15086-2018-INIT/it/pdf" TargetMode="External"/><Relationship Id="rId3" Type="http://schemas.openxmlformats.org/officeDocument/2006/relationships/hyperlink" Target="https://data.em2030.org/em2030-sdg-gender-index/" TargetMode="External"/><Relationship Id="rId21" Type="http://schemas.openxmlformats.org/officeDocument/2006/relationships/hyperlink" Target="http://www.oecd.org/pisa/PISA%202018%20Insights%20and%20Interpretations%20FINAL%20PDF.pdf" TargetMode="External"/><Relationship Id="rId34" Type="http://schemas.openxmlformats.org/officeDocument/2006/relationships/hyperlink" Target="https://europeanwomenonboards.eu/" TargetMode="External"/><Relationship Id="rId42" Type="http://schemas.openxmlformats.org/officeDocument/2006/relationships/hyperlink" Target="http://www.europarl.europa.eu/oeil/popups/ficheprocedure.do?lang=en&amp;reference=2019/2855(RSP)" TargetMode="External"/><Relationship Id="rId7" Type="http://schemas.openxmlformats.org/officeDocument/2006/relationships/hyperlink" Target="https://ec.europa.eu/europeaid/policies/sustainable-development-goals_en" TargetMode="External"/><Relationship Id="rId12" Type="http://schemas.openxmlformats.org/officeDocument/2006/relationships/hyperlink" Target="https://ec.europa.eu/info/horizon-europe-next-research-and-innovation-framework-programme_en" TargetMode="External"/><Relationship Id="rId17" Type="http://schemas.openxmlformats.org/officeDocument/2006/relationships/hyperlink" Target="https://ec.europa.eu/eurostat/statistics-explained/pdfscache/35409.pdf" TargetMode="External"/><Relationship Id="rId25" Type="http://schemas.openxmlformats.org/officeDocument/2006/relationships/hyperlink" Target="https://ec.europa.eu/eurostat/databrowser/product/view/SDG_05_20?lang=en" TargetMode="External"/><Relationship Id="rId33" Type="http://schemas.openxmlformats.org/officeDocument/2006/relationships/hyperlink" Target="https://ec.europa.eu/info/policies/justice-and-fundamental-rights/combatting-discrimination/tackling-discrimination/diversity-management/eu-platform-diversity-charters_en" TargetMode="External"/><Relationship Id="rId38" Type="http://schemas.openxmlformats.org/officeDocument/2006/relationships/hyperlink" Target="https://europa.eu/capacity4dev/articles/eu-gender-action-plan-ii-how-eu-delegations-contribute-gender-equality-worldwide" TargetMode="External"/><Relationship Id="rId2" Type="http://schemas.openxmlformats.org/officeDocument/2006/relationships/hyperlink" Target="https://eige.europa.eu/gender-mainstreaming/policy-areas/economic-and-financial-affairs/economic-benefits-gender-equality" TargetMode="External"/><Relationship Id="rId16" Type="http://schemas.openxmlformats.org/officeDocument/2006/relationships/hyperlink" Target="https://appsso.eurostat.ec.europa.eu/nui/show.do?dataset=lfsi_emp_a&amp;lang=en" TargetMode="External"/><Relationship Id="rId20" Type="http://schemas.openxmlformats.org/officeDocument/2006/relationships/hyperlink" Target="https://ec.europa.eu/research/eic/index.cfm" TargetMode="External"/><Relationship Id="rId29" Type="http://schemas.openxmlformats.org/officeDocument/2006/relationships/hyperlink" Target="https://ec.europa.eu/transparency/regexpert/index.cfm?do=groupDetail.groupDetail&amp;groupID=3589" TargetMode="External"/><Relationship Id="rId41" Type="http://schemas.openxmlformats.org/officeDocument/2006/relationships/hyperlink" Target="http://www.europarl.europa.eu/oeil/popups/ficheprocedure.do?lang=en&amp;reference=2019/2870(RSP)" TargetMode="External"/><Relationship Id="rId1" Type="http://schemas.openxmlformats.org/officeDocument/2006/relationships/hyperlink" Target="https://ec.europa.eu/commission/sites/beta-political/files/social-summit-european-pillar-social-rights-booklet_it.pdf" TargetMode="External"/><Relationship Id="rId6" Type="http://schemas.openxmlformats.org/officeDocument/2006/relationships/hyperlink" Target="https://beijing20.unwomen.org/en/about" TargetMode="External"/><Relationship Id="rId11" Type="http://schemas.openxmlformats.org/officeDocument/2006/relationships/hyperlink" Target="https://eur-lex.europa.eu/legal-content/IT/TXT/PDF/?uri=CELEX:52020DC0065R(01)&amp;qid=1583325193686&amp;from=IT" TargetMode="External"/><Relationship Id="rId24" Type="http://schemas.openxmlformats.org/officeDocument/2006/relationships/hyperlink" Target="https://ec.europa.eu/digital-single-market/en/news/eu-countries-commit-boost-participation-women-digital" TargetMode="External"/><Relationship Id="rId32" Type="http://schemas.openxmlformats.org/officeDocument/2006/relationships/hyperlink" Target="https://eige.europa.eu/publications/gender-equality-index-2019-report/more-gender-equality-corporate-boards-only-few-member-states" TargetMode="External"/><Relationship Id="rId37" Type="http://schemas.openxmlformats.org/officeDocument/2006/relationships/hyperlink" Target="http://www.europarl.europa.eu/meetdocs/2014_2019/plmrep/COMMITTEES/FEMM/DV/2018/09-03/20180828DraftResolutionGenderBudgetingintheEUBudget-thewayforward_EN.pdf" TargetMode="External"/><Relationship Id="rId40" Type="http://schemas.openxmlformats.org/officeDocument/2006/relationships/hyperlink" Target="https://www.consilium.europa.eu/register/en/content/out?&amp;typ=ENTRY&amp;i=ADV&amp;DOC_ID=ST-11031-2019-INIT" TargetMode="External"/><Relationship Id="rId5" Type="http://schemas.openxmlformats.org/officeDocument/2006/relationships/hyperlink" Target="https://eige.europa.eu/thesaurus/terms/1263" TargetMode="External"/><Relationship Id="rId15" Type="http://schemas.openxmlformats.org/officeDocument/2006/relationships/hyperlink" Target="https://ec.europa.eu/eurostat/web/products-datasets/product?code=sdg_05_30" TargetMode="External"/><Relationship Id="rId23" Type="http://schemas.openxmlformats.org/officeDocument/2006/relationships/hyperlink" Target="https://op.europa.eu/en/publication-detail/-/publication/9540ffa1-4478-11e9-a8ed-01aa75ed71a1/language-en" TargetMode="External"/><Relationship Id="rId28" Type="http://schemas.openxmlformats.org/officeDocument/2006/relationships/hyperlink" Target="https://ec.europa.eu/eurostat/web/products-eurostat-news/-/DDN-20190621-1" TargetMode="External"/><Relationship Id="rId36" Type="http://schemas.openxmlformats.org/officeDocument/2006/relationships/hyperlink" Target="https://ec.europa.eu/jrc/en/news/how-big-eus-blue-economy-eu-report-potential-coasts-and-oceans-provide-sustainable-economic-growth" TargetMode="External"/><Relationship Id="rId10" Type="http://schemas.openxmlformats.org/officeDocument/2006/relationships/hyperlink" Target="https://ec.europa.eu/digital-single-market/en/new-eu-rules-e-commerce" TargetMode="External"/><Relationship Id="rId19" Type="http://schemas.openxmlformats.org/officeDocument/2006/relationships/hyperlink" Target="https://2019.stateofeuropeantech.com/chapter/state-european-tech-2019/article/executive-summary" TargetMode="External"/><Relationship Id="rId31" Type="http://schemas.openxmlformats.org/officeDocument/2006/relationships/hyperlink" Target="https://ec.europa.eu/info/sites/info/files/bcn_objectives-report2018_web_en.pdf" TargetMode="External"/><Relationship Id="rId4" Type="http://schemas.openxmlformats.org/officeDocument/2006/relationships/hyperlink" Target="https://eige.europa.eu/gender-equality-index/2019" TargetMode="External"/><Relationship Id="rId9" Type="http://schemas.openxmlformats.org/officeDocument/2006/relationships/hyperlink" Target="https://eige.europa.eu/thesaurus/terms/1285" TargetMode="External"/><Relationship Id="rId14" Type="http://schemas.openxmlformats.org/officeDocument/2006/relationships/hyperlink" Target="https://ec.europa.eu/digital-single-market/en/media-sub-programme-creative-europe" TargetMode="External"/><Relationship Id="rId22" Type="http://schemas.openxmlformats.org/officeDocument/2006/relationships/hyperlink" Target="https://ec.europa.eu/eurostat/web/products-eurostat-news/-/EDN-20180425-1" TargetMode="External"/><Relationship Id="rId27" Type="http://schemas.openxmlformats.org/officeDocument/2006/relationships/hyperlink" Target="https://appsso.eurostat.ec.europa.eu/nui/show.do?dataset=ilc_pnp14&amp;lang=en" TargetMode="External"/><Relationship Id="rId30" Type="http://schemas.openxmlformats.org/officeDocument/2006/relationships/hyperlink" Target="https://www.ilo.org/wcmsp5/groups/public/---dgreports/---cabinet/documents/publication/wcms_713376.pdf" TargetMode="External"/><Relationship Id="rId35" Type="http://schemas.openxmlformats.org/officeDocument/2006/relationships/hyperlink" Target="https://ec.europa.eu/info/policies/justice-and-fundamental-rights/gender-equality/who-we-work-gender-equality/mutual-learning-programme-gender-equality_en" TargetMode="External"/><Relationship Id="rId43" Type="http://schemas.openxmlformats.org/officeDocument/2006/relationships/hyperlink" Target="http://www.europarl.europa.eu/oeil/popups/ficheprocedure.do?lang=en&amp;reference=2016/2249(I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724151e2-140d-4670-8684-77a651b4f52a">EN</EC_Collab_DocumentLanguage>
    <EC_Collab_Status xmlns="724151e2-140d-4670-8684-77a651b4f52a">Not Started</EC_Collab_Status>
    <_Status xmlns="http://schemas.microsoft.com/sharepoint/v3/fields">Not Started</_Status>
    <EC_Collab_Reference xmlns="724151e2-140d-4670-8684-77a651b4f52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17A1C524D8DBC041BAC361A7FA0BC3BA" ma:contentTypeVersion="0" ma:contentTypeDescription="Create a new document in this library." ma:contentTypeScope="" ma:versionID="472184d01dc63c2631f13a6db2b93dd8">
  <xsd:schema xmlns:xsd="http://www.w3.org/2001/XMLSchema" xmlns:xs="http://www.w3.org/2001/XMLSchema" xmlns:p="http://schemas.microsoft.com/office/2006/metadata/properties" xmlns:ns2="http://schemas.microsoft.com/sharepoint/v3/fields" xmlns:ns3="724151e2-140d-4670-8684-77a651b4f52a" targetNamespace="http://schemas.microsoft.com/office/2006/metadata/properties" ma:root="true" ma:fieldsID="2be522cebc4dc708207e7baaea01d0b1" ns2:_="" ns3:_="">
    <xsd:import namespace="http://schemas.microsoft.com/sharepoint/v3/fields"/>
    <xsd:import namespace="724151e2-140d-4670-8684-77a651b4f52a"/>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24151e2-140d-4670-8684-77a651b4f52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B49A3-B364-427A-AC8C-027C0721EE78}">
  <ds:schemaRefs>
    <ds:schemaRef ds:uri="http://purl.org/dc/terms/"/>
    <ds:schemaRef ds:uri="http://schemas.openxmlformats.org/package/2006/metadata/core-properties"/>
    <ds:schemaRef ds:uri="http://purl.org/dc/dcmitype/"/>
    <ds:schemaRef ds:uri="http://schemas.microsoft.com/office/infopath/2007/PartnerControls"/>
    <ds:schemaRef ds:uri="724151e2-140d-4670-8684-77a651b4f52a"/>
    <ds:schemaRef ds:uri="http://schemas.microsoft.com/office/2006/documentManagement/types"/>
    <ds:schemaRef ds:uri="http://schemas.microsoft.com/office/2006/metadata/properties"/>
    <ds:schemaRef ds:uri="http://schemas.microsoft.com/sharepoint/v3/fields"/>
    <ds:schemaRef ds:uri="http://www.w3.org/XML/1998/namespace"/>
    <ds:schemaRef ds:uri="http://purl.org/dc/elements/1.1/"/>
  </ds:schemaRefs>
</ds:datastoreItem>
</file>

<file path=customXml/itemProps2.xml><?xml version="1.0" encoding="utf-8"?>
<ds:datastoreItem xmlns:ds="http://schemas.openxmlformats.org/officeDocument/2006/customXml" ds:itemID="{A8528D57-7110-4F19-BC08-E1A0CCC06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724151e2-140d-4670-8684-77a651b4f5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0832C9-B7EF-4D1B-8CCB-14981AA68BE9}">
  <ds:schemaRefs>
    <ds:schemaRef ds:uri="http://schemas.microsoft.com/sharepoint/v3/contenttype/forms"/>
  </ds:schemaRefs>
</ds:datastoreItem>
</file>

<file path=customXml/itemProps4.xml><?xml version="1.0" encoding="utf-8"?>
<ds:datastoreItem xmlns:ds="http://schemas.openxmlformats.org/officeDocument/2006/customXml" ds:itemID="{D3BE8D15-532B-4EED-939A-05B31126E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7604</Words>
  <Characters>43877</Characters>
  <Application>Microsoft Office Word</Application>
  <DocSecurity>0</DocSecurity>
  <Lines>654</Lines>
  <Paragraphs>145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2020-03-03T10:03:00Z</dcterms:created>
  <dcterms:modified xsi:type="dcterms:W3CDTF">2020-03-06T13:47:00Z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CP-014</vt:lpwstr>
  </property>
  <property fmtid="{D5CDD505-2E9C-101B-9397-08002B2CF9AE}" pid="8" name="_LW_INVALIDATED__LW_INVALIDATED__LW_INVALIDATED__LW_INVALIDATED__LW_INVALIDATED__LW_INVALIDATED_ContentTypeId">
    <vt:lpwstr>0x010100258AA79CEB83498886A3A086811232500017A1C524D8DBC041BAC361A7FA0BC3BA</vt:lpwstr>
  </property>
</Properties>
</file>