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B8A701F9-D1A8-4844-8872-2DFCE8FBCFD8" style="width:450.5pt;height:338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</w:p>
    <w:p>
      <w:pPr>
        <w:rPr>
          <w:noProof/>
        </w:rPr>
      </w:pPr>
    </w:p>
    <w:p>
      <w:pPr>
        <w:pStyle w:val="Rfrenceinterinstitutionnelle"/>
        <w:rPr>
          <w:noProof/>
        </w:rPr>
      </w:pPr>
      <w:r>
        <w:rPr>
          <w:noProof/>
        </w:rPr>
        <w:t>2020/0038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ROZHODNUTÍ RADY</w:t>
      </w:r>
    </w:p>
    <w:p>
      <w:pPr>
        <w:pStyle w:val="Titreobjet"/>
        <w:rPr>
          <w:noProof/>
        </w:rPr>
      </w:pPr>
      <w:r>
        <w:rPr>
          <w:noProof/>
        </w:rPr>
        <w:t>o existenci nadměrného schodku v Rumunsku</w:t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noProof/>
          <w:color w:val="000000"/>
        </w:rPr>
      </w:pPr>
      <w:r>
        <w:rPr>
          <w:noProof/>
        </w:rPr>
        <w:t>s ohledem na Smlouvu o fungování Evropské unie (SFEU), a zejména na čl. 126 odst. 6 této smlouvy,</w:t>
      </w:r>
    </w:p>
    <w:p>
      <w:pPr>
        <w:rPr>
          <w:noProof/>
          <w:color w:val="000000"/>
        </w:rPr>
      </w:pPr>
      <w:r>
        <w:rPr>
          <w:noProof/>
        </w:rPr>
        <w:t>s ohledem na návrh Komise,</w:t>
      </w:r>
    </w:p>
    <w:p>
      <w:pPr>
        <w:rPr>
          <w:noProof/>
          <w:color w:val="000000"/>
        </w:rPr>
      </w:pPr>
      <w:r>
        <w:rPr>
          <w:noProof/>
        </w:rPr>
        <w:t>s ohledem na připomínky Rumunska,</w:t>
      </w:r>
    </w:p>
    <w:p>
      <w:pPr>
        <w:rPr>
          <w:noProof/>
          <w:color w:val="000000"/>
        </w:rPr>
      </w:pPr>
      <w:r>
        <w:rPr>
          <w:noProof/>
        </w:rPr>
        <w:t>vzhledem k těmto důvodům: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Podle článku 126 Smlouvy o fungování Evropské unie (SFEU) se členské státy vyvarují nadměrných schodků veřejných financí.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Pakt o stabilitě a růstu vychází z cíle zdravých veřejných financí jakožto prostředku k posílení podmínek pro cenovou stabilitu a pro silný udržitelný růst, jenž přispívá k vytváření nových pracovních míst.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Postup při nadměrném schodku podle článku 126 SFEU, upřesněný v nařízení Rady (ES) č. 1467/97 o urychlení a vyjasnění postupu při nadměrném schodku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(které je součástí Paktu o stabilitě a růstu), ukládá povinnost rozhodnout o existenci nadměrného schodku. Protokol č. 12 o postupu při nadměrném schodku připojený ke Smlouvě o Evropské unii a Smlouvě o fungování EU obsahuje další ustanovení týkající se provádění postupu při nadměrném schodku. Podrobná pravidla a definice pro použití ustanovení uvedeného protokolu stanoví nařízení Rady (ES) č. 479/2009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Podle ustanovení čl. 126 odst. 5 SFEU, usoudí-li Komise, že v členském státě existuje nebo může vzniknout nadměrný schodek, předloží stanovisko dotyčnému členskému státu a informuje o tom Radu. Komise je s ohledem na svou zprávu přijatou podle č. 126 odst. 3 SFEU a na stanovisko Hospodářského a finančního výboru přijaté podle čl. 126 odst. 4 SFEU toho názoru, že v Rumunsku existuje nadměrný schodek. Komise proto toto stanovisko dne [4. března] 2020 sdělila Rumunsku a informovala o něm Radu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rPr>
          <w:noProof/>
        </w:rPr>
        <w:lastRenderedPageBreak/>
        <w:t>(5)</w:t>
      </w:r>
      <w:r>
        <w:rPr>
          <w:noProof/>
        </w:rPr>
        <w:tab/>
        <w:t>V čl. 126 odst. 6 SFEU se stanoví, že Rada má zvážit všechny připomínky, které dotyčný členský stát případně učiní, předtím než po celkovém zhodnocení rozhodne, zda nadměrný schodek existuje. V případě Rumunska vede uvedené celkové zhodnocení k následujícím závěrům.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Podle údajů oznámených rumunskými orgány dne 30. září 2019 a následně potvrzených Eurostatem dosáhl v roce 2018 schodek veřejných financí v Rumunsku výše 3,0 % HDP, přičemž veřejný dluh činil 35,0 % HDP. S ohledem na revidované hodnoty HDP oznámené národním statistickým úřadem po zveřejnění tiskové zprávy Eurostatu se tyto poměry mírně změnily, přičemž schodek dosáhl v roce 2018 výše 2,9 % HDP a dluh 34,7 % HDP. Pro rok 2019 byl v oznámení plánován schodek veřejných financí ve výši 2,8 % HDP.</w:t>
      </w:r>
    </w:p>
    <w:p>
      <w:pPr>
        <w:pStyle w:val="ManualConsidrant"/>
        <w:rPr>
          <w:noProof/>
          <w:color w:val="000000"/>
        </w:rPr>
      </w:pPr>
      <w:r>
        <w:rPr>
          <w:noProof/>
        </w:rPr>
        <w:t>(7)</w:t>
      </w:r>
      <w:r>
        <w:rPr>
          <w:noProof/>
        </w:rPr>
        <w:tab/>
        <w:t xml:space="preserve">Dne 10. prosince 2019 přijala vláda fiskálně rozpočtovou strategii na období 2020 až 2022 („fiskální strategie“) s cílem schodku veřejných financí ve výši 3,8 % HDP v roce 2019. To není blízko referenční hodnotě 3 % HDP stanovené ve Smlouvě, nýbrž nad ní. Ve smyslu Smlouvy a Paktu o stabilitě a růstu překročení referenční hodnoty v roce 2019 rovněž není výjimečné, protože nevyplývá ani z neobvyklé události, ani z prudkého hospodářského propadu. V prognóze Komise ze zimy 2020 se předpokládá růst reálného HDP o 3,9 % v roce 2019 a 3,8 % v roce 2020, přičemž mezera výstupu se odhaduje kolem nuly. Jednorázové položky v roce 2019 činily 0,1 % HDP a byly důsledkem vrácení ekologické daně z osobních automobilů. Plánované překročení referenční hodnoty 3 % HDP není pro účely Smlouvy a Paktu o stabilitě a růstu ani dočasné. Prognóza Komise ze zimy 2020, která byla rozšířena o fiskální proměnné, předpokládá schodek veřejných financí ve výši 4,0 % HDP v roce 2019, 4,9 % v roce 2020 a 6,9 % v roce 2021. Předpokládané zvýšení schodku je způsobeno především výrazným zvýšením důchodů. Ve fiskální strategii vláda rovněž předpokládá, že schodek veřejných financí zůstane v letech 2020 a 2021 nad referenční hodnotou, přičemž předpokládaný schodek bude činit 3,6 % HDP v roce 2020 a 3,4 % v roce 2021. Kritérium schodku stanovené ve SFEU tedy </w:t>
      </w:r>
      <w:r>
        <w:rPr>
          <w:i/>
          <w:noProof/>
        </w:rPr>
        <w:t>prima facie</w:t>
      </w:r>
      <w:r>
        <w:rPr>
          <w:noProof/>
        </w:rPr>
        <w:t xml:space="preserve"> není splněno.</w:t>
      </w:r>
    </w:p>
    <w:p>
      <w:pPr>
        <w:pStyle w:val="ManualConsidrant"/>
        <w:rPr>
          <w:noProof/>
          <w:color w:val="000000"/>
        </w:rPr>
      </w:pPr>
      <w:r>
        <w:rPr>
          <w:noProof/>
        </w:rPr>
        <w:t>(8)</w:t>
      </w:r>
      <w:r>
        <w:rPr>
          <w:noProof/>
        </w:rPr>
        <w:tab/>
        <w:t>Veřejný dluh Rumunska v roce 2018 činil 34,7 % HDP. Prognóza Komise ze zimy 2020, rozšířená o fiskální proměnné, i fiskální strategie předpokládají, že veřejný dluh se až do roku 2021 bude zvyšovat, avšak zůstane pod referenční hodnotou stanovenou ve Smlouvě. Podle fiskální strategie se očekává, že veřejný dluh v roce 2021 vzroste na 37,8 % HDP. Komise počítá s prudším nárůstem na 41,9 % HDP v roce 2021. Kritérium dluhu stanovené ve SFEU je tedy splněno.</w:t>
      </w:r>
    </w:p>
    <w:p>
      <w:pPr>
        <w:pStyle w:val="ManualConsidrant"/>
        <w:rPr>
          <w:noProof/>
          <w:highlight w:val="yellow"/>
        </w:rPr>
      </w:pPr>
      <w:r>
        <w:rPr>
          <w:noProof/>
        </w:rPr>
        <w:t>(9)</w:t>
      </w:r>
      <w:r>
        <w:rPr>
          <w:noProof/>
        </w:rPr>
        <w:tab/>
        <w:t>V souladu s požadavky čl. 126 odst. 3 SFEU Komise ve své zprávě podle čl. 126 odst. 3 SFEU rovněž analyzovala všechny relevantní faktory. Jak je stanoveno v čl. 2 odst. 4 nařízení (ES) č. 1467/97, pokud poměr veřejného dluhu k HDP nepřekračuje referenční hodnotu, budou relevantní faktory zohledněny v postupu vedoucím k rozhodnutí o existenci nadměrného schodku. Při posuzování souladu s kritériem schodku byly zohledněny relevantní faktory, zejména nedostatek účinných opatření v reakci na doporučení Rady v rámci postupu při významné odchylce od roku 2017, omezený pokrok, kterého Rumunsko dosáhlo v oblasti strukturálních reforem, a vysoká rizika pro fiskální udržitelnost, kterým Rumunsko čelí ve střednědobém a dlouhodobém horizontu. Tyto faktory nic nemění na závěru, že kritérium schodku stanovené ve SFEU není splněno,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>PŘIJALA TOTO ROZHODNUTÍ:</w:t>
      </w:r>
    </w:p>
    <w:p>
      <w:pPr>
        <w:pStyle w:val="Titrearticle"/>
        <w:rPr>
          <w:noProof/>
          <w:color w:val="000000"/>
        </w:rPr>
      </w:pPr>
      <w:r>
        <w:rPr>
          <w:noProof/>
        </w:rPr>
        <w:t>Článek 1</w:t>
      </w:r>
    </w:p>
    <w:p>
      <w:pPr>
        <w:rPr>
          <w:noProof/>
          <w:color w:val="000000"/>
        </w:rPr>
      </w:pPr>
      <w:r>
        <w:rPr>
          <w:noProof/>
        </w:rPr>
        <w:t>Z celkového zhodnocení vyplývá, že v Rumunsku existuje nadměrný schodek v důsledku nedodržení kritéria schodku.</w:t>
      </w:r>
    </w:p>
    <w:p>
      <w:pPr>
        <w:pStyle w:val="Titrearticle"/>
        <w:rPr>
          <w:noProof/>
          <w:color w:val="000000"/>
        </w:rPr>
      </w:pPr>
      <w:r>
        <w:rPr>
          <w:noProof/>
        </w:rPr>
        <w:t>Článek 2</w:t>
      </w:r>
    </w:p>
    <w:p>
      <w:pPr>
        <w:rPr>
          <w:noProof/>
          <w:color w:val="000000"/>
        </w:rPr>
      </w:pPr>
      <w:r>
        <w:rPr>
          <w:noProof/>
        </w:rPr>
        <w:t>Toto rozhodnutí je určeno Rumunsku.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Úř. věst. L 209, 2.8.1997, s. 6.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Úř. věst. L 145, 10.6.2009, s. 1.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Všechny dokumenty týkající se postupu při nadměrném schodku v případě Rumunska jsou k dispozici na internetové stránce: https://ec.europa.eu/info/business-economy-euro/economic-and-fiscal-policy-coordination/eu-economic-governance-monitoring-prevention-correction/stability-and-growth-pact/corrective-arm-excessive-deficit-procedure/closed-excessive-deficit-procedures/romania_en#ongoing-procedure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3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  <w:num w:numId="14">
    <w:abstractNumId w:val="13"/>
  </w:num>
  <w:num w:numId="15">
    <w:abstractNumId w:val="10"/>
  </w:num>
  <w:num w:numId="16">
    <w:abstractNumId w:val="4"/>
  </w:num>
  <w:num w:numId="17">
    <w:abstractNumId w:val="12"/>
  </w:num>
  <w:num w:numId="18">
    <w:abstractNumId w:val="3"/>
  </w:num>
  <w:num w:numId="19">
    <w:abstractNumId w:val="5"/>
  </w:num>
  <w:num w:numId="20">
    <w:abstractNumId w:val="1"/>
  </w:num>
  <w:num w:numId="21">
    <w:abstractNumId w:val="11"/>
  </w:num>
  <w:num w:numId="22">
    <w:abstractNumId w:val="0"/>
  </w:num>
  <w:num w:numId="23">
    <w:abstractNumId w:val="6"/>
  </w:num>
  <w:num w:numId="24">
    <w:abstractNumId w:val="8"/>
  </w:num>
  <w:num w:numId="25">
    <w:abstractNumId w:val="9"/>
  </w:num>
  <w:num w:numId="26">
    <w:abstractNumId w:val="2"/>
  </w:num>
  <w:num w:numId="27">
    <w:abstractNumId w:val="7"/>
  </w:num>
  <w:num w:numId="2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3-09 15:07:0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B8A701F9-D1A8-4844-8872-2DFCE8FBCFD8"/>
    <w:docVar w:name="LW_COVERPAGE_TYPE" w:val="1"/>
    <w:docVar w:name="LW_CROSSREFERENCE" w:val="&lt;UNUSED&gt;"/>
    <w:docVar w:name="LW_DocType" w:val="COM"/>
    <w:docVar w:name="LW_EMISSION" w:val="4.3.2020"/>
    <w:docVar w:name="LW_EMISSION_ISODATE" w:val="2020-03-04"/>
    <w:docVar w:name="LW_EMISSION_LOCATION" w:val="BRX"/>
    <w:docVar w:name="LW_EMISSION_PREFIX" w:val="V Bruselu dne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STATUT" w:val="SJ-019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38"/>
    <w:docVar w:name="LW_REF.II.NEW.CP_YEAR" w:val="2020"/>
    <w:docVar w:name="LW_REF.INST.NEW" w:val="COM"/>
    <w:docVar w:name="LW_REF.INST.NEW_ADOPTED" w:val="final"/>
    <w:docVar w:name="LW_REF.INST.NEW_TEXT" w:val="(2020) 8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TATUT.CP" w:val="Návrh"/>
    <w:docVar w:name="LW_SUPERTITRE" w:val="&lt;UNUSED&gt;"/>
    <w:docVar w:name="LW_TITRE.OBJ.CP" w:val="o existenci nadm\u283?rného schodku v Rumunsku"/>
    <w:docVar w:name="LW_TYPE.DOC.CP" w:val="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Bulle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styleId="Hyperlink">
    <w:name w:val="Hyperlink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</w:style>
  <w:style w:type="paragraph" w:styleId="ListBullet">
    <w:name w:val="List Bullet"/>
    <w:basedOn w:val="Normal"/>
    <w:uiPriority w:val="99"/>
    <w:pPr>
      <w:tabs>
        <w:tab w:val="num" w:pos="709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pPr>
      <w:tabs>
        <w:tab w:val="num" w:pos="643"/>
        <w:tab w:val="num" w:pos="709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pPr>
      <w:tabs>
        <w:tab w:val="num" w:pos="709"/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pPr>
      <w:tabs>
        <w:tab w:val="num" w:pos="709"/>
        <w:tab w:val="num" w:pos="1209"/>
      </w:tabs>
      <w:ind w:left="1209" w:hanging="360"/>
      <w:contextualSpacing/>
    </w:pPr>
  </w:style>
  <w:style w:type="paragraph" w:styleId="ListNumber">
    <w:name w:val="List Number"/>
    <w:basedOn w:val="Normal"/>
    <w:uiPriority w:val="99"/>
    <w:pPr>
      <w:tabs>
        <w:tab w:val="num" w:pos="709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pPr>
      <w:tabs>
        <w:tab w:val="num" w:pos="643"/>
        <w:tab w:val="num" w:pos="709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pPr>
      <w:tabs>
        <w:tab w:val="num" w:pos="709"/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pPr>
      <w:tabs>
        <w:tab w:val="num" w:pos="709"/>
        <w:tab w:val="num" w:pos="1209"/>
      </w:tabs>
      <w:ind w:left="1209" w:hanging="360"/>
      <w:contextualSpacing/>
    </w:p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b/>
      <w:lang w:val="cs-CZ" w:eastAsia="en-US"/>
    </w:rPr>
  </w:style>
  <w:style w:type="paragraph" w:styleId="BalloonText">
    <w:name w:val="Balloon Text"/>
    <w:basedOn w:val="Normal"/>
    <w:link w:val="BalloonTextChar"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/>
      <w:sz w:val="16"/>
      <w:lang w:val="cs-CZ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Bulle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styleId="Hyperlink">
    <w:name w:val="Hyperlink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</w:style>
  <w:style w:type="paragraph" w:styleId="ListBullet">
    <w:name w:val="List Bullet"/>
    <w:basedOn w:val="Normal"/>
    <w:uiPriority w:val="99"/>
    <w:pPr>
      <w:tabs>
        <w:tab w:val="num" w:pos="709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pPr>
      <w:tabs>
        <w:tab w:val="num" w:pos="643"/>
        <w:tab w:val="num" w:pos="709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pPr>
      <w:tabs>
        <w:tab w:val="num" w:pos="709"/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pPr>
      <w:tabs>
        <w:tab w:val="num" w:pos="709"/>
        <w:tab w:val="num" w:pos="1209"/>
      </w:tabs>
      <w:ind w:left="1209" w:hanging="360"/>
      <w:contextualSpacing/>
    </w:pPr>
  </w:style>
  <w:style w:type="paragraph" w:styleId="ListNumber">
    <w:name w:val="List Number"/>
    <w:basedOn w:val="Normal"/>
    <w:uiPriority w:val="99"/>
    <w:pPr>
      <w:tabs>
        <w:tab w:val="num" w:pos="709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pPr>
      <w:tabs>
        <w:tab w:val="num" w:pos="643"/>
        <w:tab w:val="num" w:pos="709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pPr>
      <w:tabs>
        <w:tab w:val="num" w:pos="709"/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pPr>
      <w:tabs>
        <w:tab w:val="num" w:pos="709"/>
        <w:tab w:val="num" w:pos="1209"/>
      </w:tabs>
      <w:ind w:left="1209" w:hanging="360"/>
      <w:contextualSpacing/>
    </w:p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b/>
      <w:lang w:val="cs-CZ" w:eastAsia="en-US"/>
    </w:rPr>
  </w:style>
  <w:style w:type="paragraph" w:styleId="BalloonText">
    <w:name w:val="Balloon Text"/>
    <w:basedOn w:val="Normal"/>
    <w:link w:val="BalloonTextChar"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/>
      <w:sz w:val="16"/>
      <w:lang w:val="cs-CZ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1DED-4773-4AA4-AD97-4CD17BAB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4</Pages>
  <Words>852</Words>
  <Characters>4513</Characters>
  <Application>Microsoft Office Word</Application>
  <DocSecurity>0</DocSecurity>
  <Lines>88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5335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https://ec.europa.eu/info/business-economy-euro/economic-and-fiscal-policy-coordination/eu-economic-governance-monitoring-prevention-correction/stability-and-growth-pact/corrective-arm-excessive-deficit-procedure/closed-excessive-deficit-procedures/italy_en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21</cp:revision>
  <dcterms:created xsi:type="dcterms:W3CDTF">2020-03-05T08:27:00Z</dcterms:created>
  <dcterms:modified xsi:type="dcterms:W3CDTF">2020-03-09T14:07:00Z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5.8.64.0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5.8.2, Build 20120919</vt:lpwstr>
  </property>
  <property fmtid="{D5CDD505-2E9C-101B-9397-08002B2CF9AE}" pid="6" name="LWTemplateID">
    <vt:lpwstr>SJ-019</vt:lpwstr>
  </property>
  <property fmtid="{D5CDD505-2E9C-101B-9397-08002B2CF9AE}" pid="7" name="Level of sensitivity">
    <vt:lpwstr>Standard treatment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QCStatus">
    <vt:lpwstr>Green (DQC version 03)</vt:lpwstr>
  </property>
</Properties>
</file>