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FB8B6C4D-418B-46B1-94C2-D00439AAB3F9" style="width:450.75pt;height:338.2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p>
      <w:pPr>
        <w:pStyle w:val="Rfrenceinterinstitutionnelle"/>
        <w:rPr>
          <w:noProof/>
        </w:rPr>
      </w:pPr>
      <w:r>
        <w:rPr>
          <w:noProof/>
        </w:rPr>
        <w:t>2020/0038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istnienia nadmiernego deficytu w Rumunii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  <w:color w:val="000000"/>
        </w:rPr>
      </w:pPr>
      <w:r>
        <w:rPr>
          <w:noProof/>
          <w:color w:val="000000"/>
        </w:rPr>
        <w:t>uwzględniając Traktat o funkcjonowaniu Unii Europejskiej (TFUE), w szczególności jego art. 126 ust. 6,</w:t>
      </w:r>
    </w:p>
    <w:p>
      <w:pPr>
        <w:rPr>
          <w:noProof/>
          <w:color w:val="000000"/>
        </w:rPr>
      </w:pPr>
      <w:r>
        <w:rPr>
          <w:noProof/>
          <w:color w:val="000000"/>
        </w:rPr>
        <w:t>uwzględniając wniosek Komisji,</w:t>
      </w:r>
    </w:p>
    <w:p>
      <w:pPr>
        <w:rPr>
          <w:noProof/>
          <w:color w:val="000000"/>
        </w:rPr>
      </w:pPr>
      <w:r>
        <w:rPr>
          <w:noProof/>
          <w:color w:val="000000"/>
        </w:rPr>
        <w:t>uwzględniając uwagi Rumunii,</w:t>
      </w:r>
    </w:p>
    <w:p>
      <w:pPr>
        <w:rPr>
          <w:noProof/>
          <w:color w:val="000000"/>
        </w:rPr>
      </w:pPr>
      <w:r>
        <w:rPr>
          <w:noProof/>
          <w:color w:val="000000"/>
        </w:rPr>
        <w:t>a także mając na uwadze, co następuje: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Zgodnie z art. 126 TFUE państwa członkowskie są zobowiązane unikać nadmiernego deficytu budżetowego.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Pakt stabilności i wzrostu opiera się na dążeniu do zapewnienia zdrowych finansów państwa jako środka służącego umocnieniu warunków stabilności cen oraz silnego, trwałego wzrostu gospodarczego sprzyjającego tworzeniu miejsc pracy.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Procedura nadmiernego deficytu na podstawie art. 126 TFUE, doprecyzowana w rozporządzeniu Rady (WE) nr 1467/97 w sprawie przyspieszenia i wyjaśnienia procedury nadmiernego deficytu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(wchodzącym w skład paktu stabilności i wzrostu), przewiduje przyjęcie decyzji w sprawie istnienia nadmiernego deficytu. Protokół nr 12 w sprawie procedury dotyczącej nadmiernego deficytu, załączony do Traktatu o Unii Europejskiej i TFUE, zawiera dodatkowe postanowienia w sprawie wdrażania procedury nadmiernego deficytu. W rozporządzeniu Rady (WE) nr 479/2009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określono szczegółowe zasady i definicje do celów stosowania tych </w:t>
      </w:r>
      <w:r>
        <w:rPr>
          <w:noProof/>
          <w:color w:val="000000"/>
        </w:rPr>
        <w:t>postanowień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Zgodnie z art. 126 ust. 5 TFUE jeżeli Komisja uzna, że w państwie członkowskim istnieje nadmierny deficyt lub że taki deficyt może wystąpić, kieruje opinię do danego państwa członkowskiego i informuje o tym Radę. Uwzględniając sprawozdanie Komisji przyjęte zgodnie z art. 126 ust. 3 TFUE oraz opinię Komitetu Ekonomiczno-Finansowego przyjętą zgodnie z art. 126 ust. 4 TFUE, Komisja stwierdziła, że w Rumunii istnieje nadmierny deficyt. W dniu [4 marca] 2020 r. Komisja skierowała więc do Rumunii opinię i poinformowała o tym Radę</w:t>
      </w:r>
      <w:r>
        <w:rPr>
          <w:rStyle w:val="FootnoteReference"/>
          <w:noProof/>
          <w:lang w:eastAsia="de-DE"/>
        </w:rPr>
        <w:footnoteReference w:id="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lastRenderedPageBreak/>
        <w:t>(5)</w:t>
      </w:r>
      <w:r>
        <w:rPr>
          <w:noProof/>
        </w:rPr>
        <w:tab/>
        <w:t>Zgodnie z art. 126 ust. 6 TFUE Rada powinna rozważyć ewentualne uwagi danego państwa członkowskiego przed podjęciem decyzji o istnieniu nadmiernego deficytu, którą powinno poprzedzać dokonanie ogólnej oceny. W przypadku Rumunii ta ogólna ocena prowadzi do następujących wniosków.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Z danych zgłoszonych przez władze rumuńskie w dniu 30 września 2019 r. i następnie zatwierdzonych przez Eurostat wynika, że deficyt sektora instytucji rządowych i samorządowych Rumunii wyniósł 3,0 % PKB w 2018 r., a dług sektora instytucji rządowych i samorządowych – 35,0 % PKB. Po uwzględnieniu skorygowanych wartości PKB ogłoszonych przez krajowy urząd statystyczny po publikacji komunikatu prasowego Eurostatu wskaźniki te zmieniły się nieznacznie – deficyt wyniósł 2,9 % PKB, a dług – 34,7 % PKB w 2018 r. Na 2019 r. w zgłoszeniu przewidziano deficyt sektora instytucji rządowych i samorządowych na poziomie 2,8 % PKB.</w:t>
      </w:r>
    </w:p>
    <w:p>
      <w:pPr>
        <w:pStyle w:val="ManualConsidrant"/>
        <w:rPr>
          <w:noProof/>
          <w:color w:val="000000"/>
        </w:rPr>
      </w:pPr>
      <w:r>
        <w:rPr>
          <w:noProof/>
        </w:rPr>
        <w:t>(7)</w:t>
      </w:r>
      <w:r>
        <w:rPr>
          <w:noProof/>
        </w:rPr>
        <w:tab/>
        <w:t xml:space="preserve">W dniu 10 grudnia 2019 r. rząd przyjął strategię fiskalno-budżetową na lata 2020–2022 (zwaną dalej „strategią fiskalną”), określającą docelowy deficyt sektora instytucji rządowych i samorządowych na poziomie 3,8 % PKB w 2019 r. Poziom ten znacznie przekracza wartość referencyjną określoną w Traktacie, która wynosi 3 % PKB. Przekroczenie w 2019 r. wartości referencyjnej określonej w Traktacie nie ma charakteru wyjątkowego, gdyż nie jest wynikiem ani nadzwyczajnego zdarzenia, ani znacznego pogorszenia koniunktury gospodarczej w rozumieniu Traktatu oraz paktu stabilności i wzrostu. W prognozie Komisji z zimy 2020 r. przewidziano, że wzrost realnego PKB wyniesie 3,9 % w 2019 r. i 3,8 % w 2020 r., natomiast luka produktowa będzie zbliżona do zera. Wpływ działań jednorazowych, które polegały na zwrocie opłaty środowiskowej od samochodów, wyniósł w 2019 r. 0,1 % PKB. Przewidywane przekroczenie wartości referencyjnej wynoszącej 3 % PKB </w:t>
      </w:r>
      <w:r>
        <w:rPr>
          <w:noProof/>
          <w:color w:val="000000"/>
        </w:rPr>
        <w:t>nie ma charakteru tymczasowego</w:t>
      </w:r>
      <w:r>
        <w:rPr>
          <w:noProof/>
        </w:rPr>
        <w:t xml:space="preserve"> do celów Traktatu ani paktu stabilności i wzrostu. Zimowa prognoza Komisji z 2020 r., uzupełniona o zmienne budżetowe, przewiduje, że deficyt sektora instytucji rządowych i samorządowych wyniesie 4,0 % PKB w 2019 r., 4,9 % w 2020 r. i 6,9 % w 2021 r. Głównym źródłem tego prognozowanego wzrostu deficytu są znaczne podwyżki emerytur. W strategii fiskalnej rząd prognozuje ponadto, że deficyt sektora instytucji rządowych i samorządowych utrzyma się powyżej wartości referencyjnej w 2020 r. i 2021 r. i wyniesie 3,6 % PKB w 2020 r. i 3,4 % w 2021 r. </w:t>
      </w:r>
      <w:r>
        <w:rPr>
          <w:noProof/>
          <w:color w:val="000000"/>
        </w:rPr>
        <w:t>Przewidziane w TFUE kryterium deficytu na pierwszy rzut oka nie jest zatem spełnione.</w:t>
      </w:r>
    </w:p>
    <w:p>
      <w:pPr>
        <w:pStyle w:val="ManualConsidrant"/>
        <w:rPr>
          <w:noProof/>
          <w:color w:val="000000"/>
        </w:rPr>
      </w:pPr>
      <w:r>
        <w:rPr>
          <w:noProof/>
        </w:rPr>
        <w:t>(8)</w:t>
      </w:r>
      <w:r>
        <w:rPr>
          <w:noProof/>
        </w:rPr>
        <w:tab/>
      </w:r>
      <w:r>
        <w:rPr>
          <w:noProof/>
          <w:color w:val="000000"/>
        </w:rPr>
        <w:t>W 2018 r. dług sektora instytucji rządowych i samorządowych w Rumunii wyniósł 34,7 % PKB. Zarówno w zimowej prognozie Komisji z 2020 r., poszerzonej o zmienne budżetowe, jak i w strategii fiskalnej przewidziano, że dług sektora instytucji rządowych i samorządowych będzie wzrastać do 2021 r., ale utrzyma się poniżej wartości referencyjnej określonej w Traktacie. W strategii fiskalnej przewidziano, że dług sektora instytucji rządowych i samorządowych wzrośnie do 37,8 % PKB w 2021 r. Komisja prognozuje jeszcze większy wzrost, do poziomu 41,9 % PKB w 2021 r. Kryterium długu określone w TFUE jest zatem spełnione.</w:t>
      </w:r>
    </w:p>
    <w:p>
      <w:pPr>
        <w:pStyle w:val="ManualConsidrant"/>
        <w:rPr>
          <w:noProof/>
          <w:highlight w:val="yellow"/>
        </w:rPr>
      </w:pPr>
      <w:r>
        <w:rPr>
          <w:noProof/>
        </w:rPr>
        <w:t>(9)</w:t>
      </w:r>
      <w:r>
        <w:rPr>
          <w:noProof/>
        </w:rPr>
        <w:tab/>
        <w:t xml:space="preserve">Zgodnie z wymogami art. 126 ust. 3 TFUE Komisja przeanalizowała też wszystkie istotne czynniki w sprawozdaniu sporządzonym na podstawie art. 126 ust. 3 TFUE. Zgodnie z art. 2 ust. 4 </w:t>
      </w:r>
      <w:r>
        <w:rPr>
          <w:noProof/>
          <w:color w:val="000000"/>
        </w:rPr>
        <w:t>rozporządzenia</w:t>
      </w:r>
      <w:r>
        <w:rPr>
          <w:noProof/>
        </w:rPr>
        <w:t xml:space="preserve"> (WE) nr 1467/97, jeśli relacja długu publicznego do PKB nie przekracza wartości referencyjnej, odpowiednie czynniki uwzględnia się przy podejmowaniu kroków prowadzących do decyzji w sprawie istnienia nadmiernego deficytu. W ocenie zgodności z kryterium deficytu uwzględniono odpowiednie czynniki, w szczególności brak skutecznych działań </w:t>
      </w:r>
      <w:r>
        <w:rPr>
          <w:noProof/>
        </w:rPr>
        <w:lastRenderedPageBreak/>
        <w:t>w odpowiedzi na zalecenie Rady w ramach procedury znaczącego odchylenia od 2017 r., ograniczone postępy Rumunii w zakresie reform strukturalnych i wysokie ryzyko dla stabilności finansów publicznych Rumunii w perspektywie średnio- i długoterminowej. Czynniki te nie wpłynęły na wniosek, zgodnie z którym określone w TFUE kryterium deficytu nie jest spełnione,</w:t>
      </w:r>
    </w:p>
    <w:p>
      <w:pPr>
        <w:pStyle w:val="Formuledadoption"/>
        <w:rPr>
          <w:noProof/>
        </w:rPr>
      </w:pPr>
      <w:r>
        <w:rPr>
          <w:noProof/>
        </w:rPr>
        <w:t>PRZYJMUJE NINIEJSZĄ DECYZJĘ:</w:t>
      </w:r>
    </w:p>
    <w:p>
      <w:pPr>
        <w:pStyle w:val="Titrearticle"/>
        <w:rPr>
          <w:noProof/>
          <w:color w:val="000000"/>
        </w:rPr>
      </w:pPr>
      <w:r>
        <w:rPr>
          <w:noProof/>
          <w:color w:val="000000"/>
        </w:rPr>
        <w:t>Artykuł 1</w:t>
      </w:r>
    </w:p>
    <w:p>
      <w:pPr>
        <w:rPr>
          <w:noProof/>
          <w:color w:val="000000"/>
        </w:rPr>
      </w:pPr>
      <w:r>
        <w:rPr>
          <w:noProof/>
          <w:color w:val="000000"/>
        </w:rPr>
        <w:t>Z ogólnej oceny wynika, że w Rumunii istnieje nadmierny deficyt wynikający z niespełnienia kryterium deficytu.</w:t>
      </w:r>
    </w:p>
    <w:p>
      <w:pPr>
        <w:pStyle w:val="Titrearticle"/>
        <w:rPr>
          <w:noProof/>
          <w:color w:val="000000"/>
        </w:rPr>
      </w:pPr>
      <w:r>
        <w:rPr>
          <w:noProof/>
          <w:color w:val="000000"/>
        </w:rPr>
        <w:t>Artykuł 2</w:t>
      </w:r>
    </w:p>
    <w:p>
      <w:pPr>
        <w:rPr>
          <w:noProof/>
          <w:color w:val="000000"/>
        </w:rPr>
      </w:pPr>
      <w:r>
        <w:rPr>
          <w:noProof/>
          <w:color w:val="000000"/>
        </w:rPr>
        <w:t>Niniejsza decyzja skierowana jest do</w:t>
      </w:r>
      <w:r>
        <w:rPr>
          <w:noProof/>
        </w:rPr>
        <w:t xml:space="preserve"> Rumunii</w:t>
      </w:r>
      <w:r>
        <w:rPr>
          <w:noProof/>
          <w:color w:val="000000"/>
        </w:rPr>
        <w:t>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Dz.U. L 209 z 2.8.1997, s. 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Dz.U. L 145 z 10.6.2009, s. 1.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Wszystkie dokumenty w sprawie procedury nadmiernego deficytu dotyczące Rumunii można znaleźć pod adresem: https://ec.europa.eu/info/business-economy-euro/economic-and-fiscal-policy-coordination/eu-economic-governance-monitoring-prevention-correction/stability-and-growth-pact/corrective-arm-excessive-deficit-procedure/closed-excessive-deficit-procedures/romania_en#ongoing-procedure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4"/>
  </w:num>
  <w:num w:numId="17">
    <w:abstractNumId w:val="12"/>
  </w:num>
  <w:num w:numId="18">
    <w:abstractNumId w:val="3"/>
  </w:num>
  <w:num w:numId="19">
    <w:abstractNumId w:val="5"/>
  </w:num>
  <w:num w:numId="20">
    <w:abstractNumId w:val="1"/>
  </w:num>
  <w:num w:numId="21">
    <w:abstractNumId w:val="11"/>
  </w:num>
  <w:num w:numId="22">
    <w:abstractNumId w:val="0"/>
  </w:num>
  <w:num w:numId="23">
    <w:abstractNumId w:val="6"/>
  </w:num>
  <w:num w:numId="24">
    <w:abstractNumId w:val="8"/>
  </w:num>
  <w:num w:numId="25">
    <w:abstractNumId w:val="9"/>
  </w:num>
  <w:num w:numId="26">
    <w:abstractNumId w:val="2"/>
  </w:num>
  <w:num w:numId="27">
    <w:abstractNumId w:val="7"/>
  </w:num>
  <w:num w:numId="2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3-09 15:07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B8B6C4D-418B-46B1-94C2-D00439AAB3F9"/>
    <w:docVar w:name="LW_COVERPAGE_TYPE" w:val="1"/>
    <w:docVar w:name="LW_CROSSREFERENCE" w:val="&lt;UNUSED&gt;"/>
    <w:docVar w:name="LW_DocType" w:val="COM"/>
    <w:docVar w:name="LW_EMISSION" w:val="4.3.2020"/>
    <w:docVar w:name="LW_EMISSION_ISODATE" w:val="2020-03-04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38"/>
    <w:docVar w:name="LW_REF.II.NEW.CP_YEAR" w:val="2020"/>
    <w:docVar w:name="LW_REF.INST.NEW" w:val="COM"/>
    <w:docVar w:name="LW_REF.INST.NEW_ADOPTED" w:val="final"/>
    <w:docVar w:name="LW_REF.INST.NEW_TEXT" w:val="(2020) 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TATUT.CP" w:val="Wniosek"/>
    <w:docVar w:name="LW_SUPERTITRE" w:val="&lt;UNUSED&gt;"/>
    <w:docVar w:name="LW_TITRE.OBJ.CP" w:val="w sprawie istnienia nadmiernego deficytu w Rumunii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</w:style>
  <w:style w:type="paragraph" w:styleId="ListBullet">
    <w:name w:val="List Bullet"/>
    <w:basedOn w:val="Normal"/>
    <w:uiPriority w:val="99"/>
    <w:pPr>
      <w:tabs>
        <w:tab w:val="num" w:pos="709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pPr>
      <w:tabs>
        <w:tab w:val="num" w:pos="643"/>
        <w:tab w:val="num" w:pos="709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pPr>
      <w:tabs>
        <w:tab w:val="num" w:pos="709"/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pPr>
      <w:tabs>
        <w:tab w:val="num" w:pos="709"/>
        <w:tab w:val="num" w:pos="1209"/>
      </w:tabs>
      <w:ind w:left="1209" w:hanging="360"/>
      <w:contextualSpacing/>
    </w:pPr>
  </w:style>
  <w:style w:type="paragraph" w:styleId="ListNumber">
    <w:name w:val="List Number"/>
    <w:basedOn w:val="Normal"/>
    <w:uiPriority w:val="99"/>
    <w:pPr>
      <w:tabs>
        <w:tab w:val="num" w:pos="709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pPr>
      <w:tabs>
        <w:tab w:val="num" w:pos="643"/>
        <w:tab w:val="num" w:pos="709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pPr>
      <w:tabs>
        <w:tab w:val="num" w:pos="709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pPr>
      <w:tabs>
        <w:tab w:val="num" w:pos="709"/>
        <w:tab w:val="num" w:pos="1209"/>
      </w:tabs>
      <w:ind w:left="1209" w:hanging="360"/>
      <w:contextualSpacing/>
    </w:p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b/>
      <w:lang w:val="pl-PL" w:eastAsia="en-US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  <w:lang w:val="pl-PL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</w:style>
  <w:style w:type="paragraph" w:styleId="ListBullet">
    <w:name w:val="List Bullet"/>
    <w:basedOn w:val="Normal"/>
    <w:uiPriority w:val="99"/>
    <w:pPr>
      <w:tabs>
        <w:tab w:val="num" w:pos="709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pPr>
      <w:tabs>
        <w:tab w:val="num" w:pos="643"/>
        <w:tab w:val="num" w:pos="709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pPr>
      <w:tabs>
        <w:tab w:val="num" w:pos="709"/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pPr>
      <w:tabs>
        <w:tab w:val="num" w:pos="709"/>
        <w:tab w:val="num" w:pos="1209"/>
      </w:tabs>
      <w:ind w:left="1209" w:hanging="360"/>
      <w:contextualSpacing/>
    </w:pPr>
  </w:style>
  <w:style w:type="paragraph" w:styleId="ListNumber">
    <w:name w:val="List Number"/>
    <w:basedOn w:val="Normal"/>
    <w:uiPriority w:val="99"/>
    <w:pPr>
      <w:tabs>
        <w:tab w:val="num" w:pos="709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pPr>
      <w:tabs>
        <w:tab w:val="num" w:pos="643"/>
        <w:tab w:val="num" w:pos="709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pPr>
      <w:tabs>
        <w:tab w:val="num" w:pos="709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pPr>
      <w:tabs>
        <w:tab w:val="num" w:pos="709"/>
        <w:tab w:val="num" w:pos="1209"/>
      </w:tabs>
      <w:ind w:left="1209" w:hanging="360"/>
      <w:contextualSpacing/>
    </w:p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b/>
      <w:lang w:val="pl-PL" w:eastAsia="en-US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  <w:lang w:val="pl-PL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976A-E681-4101-BB4D-35ABE298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4</Pages>
  <Words>891</Words>
  <Characters>5248</Characters>
  <Application>Microsoft Office Word</Application>
  <DocSecurity>0</DocSecurity>
  <Lines>97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6109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https://ec.europa.eu/info/business-economy-euro/economic-and-fiscal-policy-coordination/eu-economic-governance-monitoring-prevention-correction/stability-and-growth-pact/corrective-arm-excessive-deficit-procedure/closed-excessive-deficit-procedures/italy_en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21</cp:revision>
  <dcterms:created xsi:type="dcterms:W3CDTF">2020-03-06T12:46:00Z</dcterms:created>
  <dcterms:modified xsi:type="dcterms:W3CDTF">2020-03-09T14:07:00Z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5.8.64.0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5.8.2, Build 20120919</vt:lpwstr>
  </property>
  <property fmtid="{D5CDD505-2E9C-101B-9397-08002B2CF9AE}" pid="6" name="LWTemplateID">
    <vt:lpwstr>SJ-019</vt:lpwstr>
  </property>
  <property fmtid="{D5CDD505-2E9C-101B-9397-08002B2CF9AE}" pid="7" name="Level of sensitivity">
    <vt:lpwstr>Standard treatment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QCStatus">
    <vt:lpwstr>Green (DQC version 03)</vt:lpwstr>
  </property>
</Properties>
</file>