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alt="BC677255-52D2-41D6-BDFB-FE3729BDF181" style="width:450.35pt;height:307.7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1"/>
        <w:spacing w:line="360" w:lineRule="auto"/>
        <w:rPr>
          <w:noProof/>
          <w:sz w:val="28"/>
          <w:szCs w:val="28"/>
        </w:rPr>
      </w:pPr>
      <w:bookmarkStart w:id="1" w:name="_Toc33623799"/>
      <w:bookmarkStart w:id="2" w:name="_GoBack"/>
      <w:bookmarkEnd w:id="2"/>
      <w:r>
        <w:rPr>
          <w:noProof/>
          <w:sz w:val="28"/>
          <w:szCs w:val="28"/>
        </w:rPr>
        <w:lastRenderedPageBreak/>
        <w:t>ÚVOD</w:t>
      </w:r>
      <w:bookmarkEnd w:id="1"/>
    </w:p>
    <w:p>
      <w:pPr>
        <w:spacing w:line="360" w:lineRule="auto"/>
        <w:rPr>
          <w:noProof/>
        </w:rPr>
      </w:pPr>
    </w:p>
    <w:p>
      <w:pPr>
        <w:spacing w:line="360" w:lineRule="auto"/>
        <w:jc w:val="both"/>
        <w:rPr>
          <w:noProof/>
        </w:rPr>
      </w:pPr>
      <w:r>
        <w:rPr>
          <w:noProof/>
        </w:rPr>
        <w:t>Táto správa obsahuje informácie o vykonávaní ročného pracovného programu na rok 2017 (RPP 2017) v rámci tretieho programu v oblasti zdravia na roky 2014 – 2020 stanoveného nariadením Európskeho parlamentu a Rady (EÚ) č. 282/2014</w:t>
      </w:r>
      <w:r>
        <w:rPr>
          <w:rStyle w:val="FootnoteReference"/>
          <w:rFonts w:cs="Times New Roman"/>
          <w:noProof/>
        </w:rPr>
        <w:footnoteReference w:id="2"/>
      </w:r>
      <w:r>
        <w:rPr>
          <w:noProof/>
        </w:rPr>
        <w:t>. V súlade s článkom 13 uvedeného nariadenia musí Komisia podávať výboru pre program v oblasti zdravia</w:t>
      </w:r>
      <w:r>
        <w:rPr>
          <w:rStyle w:val="FootnoteReference"/>
          <w:rFonts w:cs="Times New Roman"/>
          <w:noProof/>
        </w:rPr>
        <w:footnoteReference w:id="3"/>
      </w:r>
      <w:r>
        <w:rPr>
          <w:noProof/>
        </w:rPr>
        <w:t xml:space="preserve"> správy o vykonávaní všetkých činností financovaných z programu a zároveň pravidelne informovať Európsky parlament a Radu. Touto správou je splnená požiadavka informovať obe inštitúcie o rozpočte na rok 2017 a spôsoboch jeho využitia.</w:t>
      </w:r>
    </w:p>
    <w:p>
      <w:pPr>
        <w:spacing w:line="360" w:lineRule="auto"/>
        <w:jc w:val="both"/>
        <w:rPr>
          <w:noProof/>
        </w:rPr>
      </w:pPr>
      <w:r>
        <w:rPr>
          <w:noProof/>
        </w:rPr>
        <w:t>V pracovnom dokumente útvarov Komisie, ktorý je súčasťou tejto správy, sa uvádzajú hlavné akcie spolufinancované v rámci tretieho programu v oblasti zdravia, ktorých konečné výsledky boli zverejnené v roku 2017. Zároveň obsahuje informácie o akciách realizovaných v rámci hlavných tematických priorít, ktoré boli zahrnuté do následných rozhodnutí o financovaní (podpora zdravia a prevencia neprenosných chorôb vrátane chorôb spôsobených fajčením a podpory výživy a mentálneho zdravia, ďalej ochrana pred cezhraničnými ohrozeniami zdravia, bezpečnosť pacientov, hodnotenie zdravotníckych technológií a výsledky grantov na prevádzku). Dokument obsahuje aj prehľadné tabuľky s podrobnosťami o všetkých spolufinancovaných činnostiach a zmluvách.</w:t>
      </w:r>
    </w:p>
    <w:p>
      <w:pPr>
        <w:spacing w:line="360" w:lineRule="auto"/>
        <w:jc w:val="both"/>
        <w:rPr>
          <w:noProof/>
        </w:rPr>
      </w:pPr>
      <w:r>
        <w:rPr>
          <w:noProof/>
        </w:rPr>
        <w:t>V rámci RPP 2017 sa zaviedlo šesť jednotných akcií spolufinancovaných EÚ sumou 20 229 410,14 eur: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eastAsiaTheme="minorHAnsi"/>
          <w:noProof/>
        </w:rPr>
      </w:pPr>
      <w:r>
        <w:rPr>
          <w:rFonts w:ascii="Times New Roman" w:hAnsi="Times New Roman"/>
          <w:noProof/>
        </w:rPr>
        <w:t>jednotná akcia „Rovnosť v európskom zdravotníctve“ (JAHEE),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eastAsiaTheme="minorHAnsi"/>
          <w:noProof/>
        </w:rPr>
      </w:pPr>
      <w:r>
        <w:rPr>
          <w:rFonts w:ascii="Times New Roman" w:hAnsi="Times New Roman"/>
          <w:noProof/>
        </w:rPr>
        <w:t>európska jednotná akcia v oblasti očkovania (JAV),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eastAsiaTheme="minorHAnsi"/>
          <w:noProof/>
        </w:rPr>
      </w:pPr>
      <w:r>
        <w:rPr>
          <w:rFonts w:ascii="Times New Roman" w:hAnsi="Times New Roman"/>
          <w:noProof/>
        </w:rPr>
        <w:t>jednotná akcia na podporu siete elektronického zdravotníctva (eHealth),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eastAsiaTheme="minorHAnsi"/>
          <w:noProof/>
        </w:rPr>
      </w:pPr>
      <w:r>
        <w:rPr>
          <w:rFonts w:ascii="Times New Roman" w:hAnsi="Times New Roman"/>
          <w:noProof/>
        </w:rPr>
        <w:t>jednotná akcia „Informácie na prijatie opatrení“ (InfAct),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ascii="Times New Roman" w:eastAsiaTheme="minorHAnsi" w:hAnsi="Times New Roman"/>
          <w:noProof/>
        </w:rPr>
      </w:pPr>
      <w:r>
        <w:rPr>
          <w:rFonts w:ascii="Times New Roman" w:hAnsi="Times New Roman"/>
          <w:noProof/>
        </w:rPr>
        <w:t>jednotná akcia „Inovatívne partnerstvo pre opatrenia na boj proti rakovine“ (iPAAC) a</w:t>
      </w:r>
    </w:p>
    <w:p>
      <w:pPr>
        <w:pStyle w:val="ListParagraph"/>
        <w:numPr>
          <w:ilvl w:val="0"/>
          <w:numId w:val="69"/>
        </w:numPr>
        <w:spacing w:line="360" w:lineRule="auto"/>
        <w:jc w:val="both"/>
        <w:rPr>
          <w:rFonts w:eastAsiaTheme="minorHAnsi"/>
          <w:noProof/>
        </w:rPr>
      </w:pPr>
      <w:r>
        <w:rPr>
          <w:rFonts w:ascii="Times New Roman" w:hAnsi="Times New Roman"/>
          <w:noProof/>
        </w:rPr>
        <w:t>jednotná akcia „Pripravenosť a opatrenia v miestach vstupu“ (tzv. Healthy Gateways).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Týmito jednotnými, ale aj inými akciami financovanými v roku 2017 sa sledovalo hneď niekoľko cieľov programu v oblasti zdravia.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Nové jednotné akcie iPAAC a JAHEE zamerané na prevenciu rakoviny, resp. nerovnosti v oblasti zdravia, sa zaoberajú dôležitými determinantmi zdravia, ako sú tabak, výživa a alkohol, ale aj dostupnosťou skríningových programov a liečby a podpory v liečbe rakoviny, t. j. podporujú cieľ 1 (</w:t>
      </w:r>
      <w:r>
        <w:rPr>
          <w:i/>
          <w:noProof/>
        </w:rPr>
        <w:t>Podpora zdravia a prevencia chorôb</w:t>
      </w:r>
      <w:r>
        <w:rPr>
          <w:noProof/>
        </w:rPr>
        <w:t>).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V rámci cieľa 2 (</w:t>
      </w:r>
      <w:r>
        <w:rPr>
          <w:i/>
          <w:noProof/>
        </w:rPr>
        <w:t>Chrániť občanov Únie pred závažnými cezhraničnými ohrozeniami zdravia</w:t>
      </w:r>
      <w:r>
        <w:rPr>
          <w:noProof/>
        </w:rPr>
        <w:t>) bolo v roku 2017 primárnym zámerom riešenie otázky váhavosti v očkovaní a zlepšenie pripravenosti a schopnosti reakcie v boji proti zdravotným rizikám na vstupných a výstupných bodoch EÚ (prístavy, letiská a pozemné hraničné priechody).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V rámci cieľa 3 (</w:t>
      </w:r>
      <w:r>
        <w:rPr>
          <w:i/>
          <w:noProof/>
        </w:rPr>
        <w:t>Prispievať k inovačným, účinným a udržateľným zdravotným systémom</w:t>
      </w:r>
      <w:r>
        <w:rPr>
          <w:noProof/>
        </w:rPr>
        <w:t>) boli spustené dve dôležité jednotné akcie (jedna v oblasti elektronického zdravotníctva a druhá v oblasti získavania informácií potrebných na prijatie opatrení) a využitý priamy grant na urýchlenie spolupráce s Radou Európy v oblasti farmaceutických výrobkov.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V spolupráci s GR GROW sa začala prvá komunikačná a informačná kampaň o novom nariadení (EÚ) 2017/745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týkajúcom sa zdravotníckych pomôcok s cieľom podporiť cieľ 4 programu v oblasti zdravotníctva (</w:t>
      </w:r>
      <w:r>
        <w:rPr>
          <w:i/>
          <w:noProof/>
        </w:rPr>
        <w:t>Uľahčiť prístup občanov Únie k lepšej a bezpečnejšej zdravotnej starostlivosti</w:t>
      </w:r>
      <w:r>
        <w:rPr>
          <w:noProof/>
        </w:rPr>
        <w:t>).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Výkonná agentúra pre spotrebiteľov, zdravie, poľnohospodárstvo a potraviny (Chafea) uverejnila v roku 2017 druhú výzvu na predkladanie návrhov k rámcovej dohode o partnerstve v prípade grantov na prevádzku pre mimovládne organizácie na roky 2018 – 2021.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Komisia a Chafea zodpovedajú za zverejňovanie výsledkov programu širokej verejnosti prostredníctvom vhodných komunikačných a informačných činností. Pri rozširovaní výsledkov spolufinancovaných akcií a hľadaní synergických účinkov s inými programami financovania EÚ je vítaná aj pomoc členských štátov a tretích krajín zapojených do programu. V spolupráci so sieťou národných kontaktných miest</w:t>
      </w:r>
      <w:r>
        <w:rPr>
          <w:rStyle w:val="FootnoteReference"/>
          <w:rFonts w:cs="Times New Roman"/>
          <w:noProof/>
        </w:rPr>
        <w:footnoteReference w:id="5"/>
      </w:r>
      <w:r>
        <w:rPr>
          <w:noProof/>
        </w:rPr>
        <w:t xml:space="preserve"> môžu napríklad zorganizovať národné informačné dni.</w:t>
      </w:r>
    </w:p>
    <w:p>
      <w:pPr>
        <w:spacing w:line="360" w:lineRule="auto"/>
        <w:jc w:val="both"/>
        <w:rPr>
          <w:noProof/>
        </w:rPr>
      </w:pPr>
      <w:r>
        <w:rPr>
          <w:noProof/>
        </w:rPr>
        <w:t>Okrem týchto iniciatív Komisia zabezpečuje aj monitorovanie vykonávania tretieho programu v oblasti zdravia. V roku 2017 sa pristúpilo k dvom hodnoteniam: k „štúdii so zberom údajov“, ktorej cieľom je informovať o možnostiach vyplývajúcich pre politiku v oblasti zdravia z viacročného finančného rámca 2021 – 2027 a k druhému externému hodnoteniu Chafea.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br w:type="page"/>
      </w:r>
    </w:p>
    <w:sdt>
      <w:sdtPr>
        <w:rPr>
          <w:rFonts w:eastAsiaTheme="minorHAnsi" w:cstheme="minorBidi"/>
          <w:b w:val="0"/>
          <w:noProof/>
          <w:sz w:val="22"/>
          <w:szCs w:val="22"/>
        </w:rPr>
        <w:id w:val="-1708712095"/>
        <w:docPartObj>
          <w:docPartGallery w:val="Table of Contents"/>
          <w:docPartUnique/>
        </w:docPartObj>
      </w:sdtPr>
      <w:sdtEndPr>
        <w:rPr>
          <w:bCs/>
        </w:rPr>
      </w:sdtEndPr>
      <w:sdtContent>
        <w:p>
          <w:pPr>
            <w:pStyle w:val="TOCHeading"/>
            <w:spacing w:line="360" w:lineRule="auto"/>
            <w:rPr>
              <w:noProof/>
            </w:rPr>
          </w:pPr>
          <w:r>
            <w:rPr>
              <w:noProof/>
            </w:rPr>
            <w:t>Obsah</w:t>
          </w:r>
        </w:p>
        <w:p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3799" w:history="1">
            <w:r>
              <w:rPr>
                <w:rStyle w:val="Hyperlink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0" w:history="1">
            <w:r>
              <w:rPr>
                <w:rStyle w:val="Hyperlink"/>
              </w:rPr>
              <w:t>NAJVÝZNAMNEJŠIE UDALOSTI ROKA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1" w:history="1">
            <w:r>
              <w:rPr>
                <w:rStyle w:val="Hyperlink"/>
              </w:rPr>
              <w:t>PLNENIE ROZPOČTU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2" w:history="1">
            <w:r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ab/>
            </w:r>
            <w:r>
              <w:rPr>
                <w:rStyle w:val="Hyperlink"/>
              </w:rPr>
              <w:t>Priority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3" w:history="1">
            <w:r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ab/>
            </w:r>
            <w:r>
              <w:rPr>
                <w:rStyle w:val="Hyperlink"/>
              </w:rPr>
              <w:t>Plnenie rozpočtu na prevádzku podľa mechanizmu financovania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4" w:history="1">
            <w:r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sk-SK"/>
              </w:rPr>
              <w:tab/>
            </w:r>
            <w:r>
              <w:rPr>
                <w:rStyle w:val="Hyperlink"/>
              </w:rPr>
              <w:t>Prijímatelia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eastAsia="sk-SK"/>
            </w:rPr>
          </w:pPr>
          <w:hyperlink w:anchor="_Toc33623805" w:history="1">
            <w:r>
              <w:rPr>
                <w:rStyle w:val="Hyperlink"/>
              </w:rPr>
              <w:t>ĎALŠIE HLAVNÉ CHARAKTERISTIKY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_Toc33623805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>
      <w:pPr>
        <w:spacing w:line="360" w:lineRule="auto"/>
        <w:rPr>
          <w:rFonts w:eastAsia="Times New Roman" w:cs="Times New Roman"/>
          <w:b/>
          <w:bCs/>
          <w:smallCaps/>
          <w:noProof/>
          <w:sz w:val="32"/>
          <w:szCs w:val="24"/>
        </w:rPr>
      </w:pPr>
      <w:r>
        <w:rPr>
          <w:noProof/>
        </w:rPr>
        <w:br w:type="page"/>
      </w:r>
    </w:p>
    <w:p>
      <w:pPr>
        <w:pStyle w:val="Heading1"/>
        <w:spacing w:line="360" w:lineRule="auto"/>
        <w:rPr>
          <w:noProof/>
          <w:sz w:val="28"/>
        </w:rPr>
      </w:pPr>
      <w:bookmarkStart w:id="3" w:name="_Toc33623800"/>
      <w:r>
        <w:rPr>
          <w:noProof/>
          <w:sz w:val="28"/>
        </w:rPr>
        <w:t>NAJVÝZNAMNEJŠIE UDALOSTI ROKA</w:t>
      </w:r>
      <w:bookmarkEnd w:id="3"/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color w:val="00000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color w:val="000000"/>
        </w:rPr>
      </w:pPr>
      <w:r>
        <w:rPr>
          <w:noProof/>
        </w:rPr>
        <w:t>RPP 2017 bol v širšom zmysle zameraný na štyri konkrétne ciele programu v oblasti zdravia. Začlenením šiestich jednotných akcií, na ktoré bolo uvoľnených viac ako 20 miliónov eur z príspevku EÚ, sa zvýšil záujem príslušných orgánov členských štátov a iných krajín zapojiť sa do programu a spolupracovať v kľúčových oblastiach politiky.</w:t>
      </w:r>
    </w:p>
    <w:p>
      <w:pPr>
        <w:autoSpaceDE w:val="0"/>
        <w:autoSpaceDN w:val="0"/>
        <w:adjustRightInd w:val="0"/>
        <w:spacing w:before="240" w:after="0" w:line="360" w:lineRule="auto"/>
        <w:jc w:val="both"/>
        <w:rPr>
          <w:noProof/>
          <w:color w:val="000000"/>
        </w:rPr>
      </w:pPr>
      <w:r>
        <w:rPr>
          <w:noProof/>
        </w:rPr>
        <w:t xml:space="preserve">Spustením </w:t>
      </w:r>
      <w:r>
        <w:rPr>
          <w:b/>
          <w:noProof/>
        </w:rPr>
        <w:t>jednotnej akcie v oblasti očkovania</w:t>
      </w:r>
      <w:r>
        <w:rPr>
          <w:noProof/>
        </w:rPr>
        <w:t xml:space="preserve"> (EU-JAV)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sa doplnilo a podporilo oznámenie Komisie o chorobách, ktorým sa dá predchádzať očkovaním</w:t>
      </w:r>
      <w:r>
        <w:rPr>
          <w:noProof/>
          <w:vertAlign w:val="superscript"/>
        </w:rPr>
        <w:footnoteReference w:id="7"/>
      </w:r>
      <w:r>
        <w:rPr>
          <w:noProof/>
        </w:rPr>
        <w:t>, odporúčanie Rady o posilnenej spolupráci v boji proti chorobám, ktorým sa dá predchádzať očkovaním</w:t>
      </w:r>
      <w:r>
        <w:rPr>
          <w:noProof/>
          <w:vertAlign w:val="superscript"/>
        </w:rPr>
        <w:footnoteReference w:id="8"/>
      </w:r>
      <w:r>
        <w:rPr>
          <w:noProof/>
        </w:rPr>
        <w:t>, ako aj iniciatíva „Spoločné obstarávanie zdravotníckych protiopatrení“.</w:t>
      </w:r>
      <w:r>
        <w:rPr>
          <w:noProof/>
          <w:vertAlign w:val="superscript"/>
        </w:rPr>
        <w:footnoteReference w:id="9"/>
      </w:r>
    </w:p>
    <w:p>
      <w:pPr>
        <w:widowControl w:val="0"/>
        <w:spacing w:before="120" w:after="120" w:line="360" w:lineRule="auto"/>
        <w:jc w:val="both"/>
        <w:rPr>
          <w:rFonts w:eastAsia="Times New Roman" w:cs="Times New Roman"/>
          <w:noProof/>
          <w:u w:val="single"/>
        </w:rPr>
      </w:pPr>
      <w:r>
        <w:rPr>
          <w:noProof/>
          <w:u w:val="single"/>
        </w:rPr>
        <w:t>Súvislosti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</w:rPr>
      </w:pPr>
      <w:r>
        <w:rPr>
          <w:noProof/>
        </w:rPr>
        <w:t>Očkovanie je hlavným nástrojom v primárnej prevencii prenosných ochorení a nákladovo najefektívnejším opatrením na ochranu verejného zdravia. Vďaka rozšírenému očkovaniu došlo k eradikácii kiahní, Európa je bez detskej obrny a podarilo sa eliminovať mnohé ďalšie nákazlivé a pre niektorých aj smrteľné choroby.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</w:rPr>
      </w:pPr>
      <w:r>
        <w:rPr>
          <w:noProof/>
        </w:rPr>
        <w:t>Napriek týmto úspechom dnes niekoľko krajín EÚ a s ňou susediacich krajín čelí z dôvodu nízkej miery zaočkovanosti bezprecedentným prípadom vypuknutia chorôb, ktorým sa dá predchádzať očkovaním. Úrady verejného zdravotníctva sa stretávajú s nerovnakým prístupom k očkovacím látkam a poklesom dôvery verejnosti v ich bezpečnosť a považujú to za hlavný problém, ktorý treba riešiť.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Cieľ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</w:rPr>
      </w:pPr>
      <w:r>
        <w:rPr>
          <w:noProof/>
        </w:rPr>
        <w:t>V spolupráci s francúzskou organizáciou INSERM a 23 krajinami (z toho 20 členských štátov EÚ) je cieľom jednotnej akcie v oblasti očkovania vypracovať konkrétne nástroje, ktorými sa posilní schopnosť jednotlivých krajín Európy reagovať na výzvy súvisiace s očkovaním a tým zlepšiť kvalitu zdravia obyvateľstva.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Prostriedky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</w:rPr>
      </w:pPr>
      <w:r>
        <w:rPr>
          <w:noProof/>
        </w:rPr>
        <w:t>Táto jednotná akcia sa v súčasnosti realizuje v týchto oblastiach: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rFonts w:eastAsia="Arial"/>
          <w:noProof/>
        </w:rPr>
      </w:pPr>
      <w:r>
        <w:rPr>
          <w:rFonts w:ascii="Times New Roman" w:hAnsi="Times New Roman"/>
          <w:noProof/>
        </w:rPr>
        <w:t>umožnenie trvalej spolupráce príslušných orgánov členských štátov,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rFonts w:eastAsia="Arial"/>
          <w:noProof/>
        </w:rPr>
      </w:pPr>
      <w:r>
        <w:rPr>
          <w:rFonts w:ascii="Times New Roman" w:hAnsi="Times New Roman"/>
          <w:noProof/>
        </w:rPr>
        <w:t>stanovenie základných princípov prognózy očkovacích potrieb,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vytvorenie koncepcie a prototypu dátového úložiska na výmenu údajov/informácií o ponuke a dopyte po očkovacích látkach v EÚ medzi príslušnými zainteresovanými stranami,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rFonts w:eastAsia="Arial"/>
          <w:noProof/>
        </w:rPr>
      </w:pPr>
      <w:r>
        <w:rPr>
          <w:rFonts w:ascii="Times New Roman" w:hAnsi="Times New Roman"/>
          <w:noProof/>
        </w:rPr>
        <w:t>stanovenie spoločných štádií a kritérií určovania priorít vo výskume a vývoji očkovacích látok,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rFonts w:eastAsia="Arial"/>
          <w:noProof/>
        </w:rPr>
      </w:pPr>
      <w:r>
        <w:rPr>
          <w:rFonts w:ascii="Times New Roman" w:hAnsi="Times New Roman"/>
          <w:noProof/>
        </w:rPr>
        <w:t>vytvorenie koncepcie a prototypu rámca na určovanie priorít vo výskume a vývoji očkovacích látok,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rFonts w:eastAsia="Arial"/>
          <w:noProof/>
        </w:rPr>
      </w:pPr>
      <w:r>
        <w:rPr>
          <w:rFonts w:ascii="Times New Roman" w:hAnsi="Times New Roman"/>
          <w:noProof/>
        </w:rPr>
        <w:t>stanovenie štrukturálnych, technických a právnych špecifikácií pre požiadavky na údaje o očkovacej látke v elektronických registroch/databázach/informačných systémoch o imunizácii,</w:t>
      </w:r>
    </w:p>
    <w:p>
      <w:pPr>
        <w:pStyle w:val="ListParagraph"/>
        <w:widowControl w:val="0"/>
        <w:numPr>
          <w:ilvl w:val="0"/>
          <w:numId w:val="70"/>
        </w:numPr>
        <w:spacing w:before="120" w:after="12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poskytnutie rámca spolupráce pri budovaní dôvery, a to počnúc výskumom až po najlepšie postupy a samotnú implementáciu.</w:t>
      </w:r>
    </w:p>
    <w:p>
      <w:pPr>
        <w:pStyle w:val="NormalWeb"/>
        <w:shd w:val="clear" w:color="auto" w:fill="FFFFFF"/>
        <w:spacing w:after="0" w:line="360" w:lineRule="auto"/>
        <w:ind w:left="720"/>
        <w:jc w:val="both"/>
        <w:rPr>
          <w:rFonts w:eastAsia="Times New Roman"/>
          <w:noProof/>
          <w:sz w:val="22"/>
          <w:szCs w:val="22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  <w:r>
        <w:rPr>
          <w:noProof/>
        </w:rPr>
        <w:t xml:space="preserve">V rámci </w:t>
      </w:r>
      <w:r>
        <w:rPr>
          <w:b/>
          <w:noProof/>
        </w:rPr>
        <w:t>jednotnej akcie „Rovnosť v európskom zdravotníctve“</w:t>
      </w:r>
      <w:r>
        <w:rPr>
          <w:noProof/>
        </w:rPr>
        <w:t xml:space="preserve"> (JAHEE)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sa spojilo 25 členských štátov EÚ, aby zlepšili kvalitu zdravia a dobré životné podmienky európskych občanov a dosiahli väčšiu rovnosť výsledkov zdravotnej starostlivosti vo všetkých vrstvách spoločnosti.</w:t>
      </w:r>
    </w:p>
    <w:p>
      <w:pPr>
        <w:widowControl w:val="0"/>
        <w:spacing w:before="120" w:after="120" w:line="360" w:lineRule="auto"/>
        <w:jc w:val="both"/>
        <w:rPr>
          <w:rFonts w:eastAsia="Times New Roman" w:cs="Times New Roman"/>
          <w:noProof/>
          <w:u w:val="single"/>
        </w:rPr>
      </w:pPr>
      <w:r>
        <w:rPr>
          <w:noProof/>
          <w:u w:val="single"/>
        </w:rPr>
        <w:t>Súvislosti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  <w:r>
        <w:rPr>
          <w:noProof/>
        </w:rPr>
        <w:t>Dôsledky nerovností v oblasti zdravia v jednotlivých krajinách Európy i medzi nimi sú všeobecne známe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a ich znižovanie je prierezovou programovou prioritou v EÚ</w:t>
      </w:r>
      <w:r>
        <w:rPr>
          <w:rStyle w:val="FootnoteReference"/>
          <w:noProof/>
        </w:rPr>
        <w:footnoteReference w:id="12"/>
      </w:r>
      <w:r>
        <w:rPr>
          <w:noProof/>
        </w:rPr>
        <w:t>, ale aj v mnohých iných krajinách. Napriek rastúcej informovanosti a obavám z dôsledku nerovností v oblasti zdravia sú politické reakcie v Európe veľmi odlišné.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Cieľ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  <w:r>
        <w:rPr>
          <w:noProof/>
        </w:rPr>
        <w:t>Táto jednotná akcia sa v súčasnosti realizuje v týchto oblastiach: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zlepšenie plánovania a tvorby politík riešenia nerovností v oblasti zdravia na európskej, celoštátnej, regionálnej a miestnej úrovni,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vykonávanie akcií, ktoré poskytujú najlepšiu príležitosť na riešenie nerovností v oblasti zdravia v každej zo zapojených krajín,</w:t>
      </w:r>
    </w:p>
    <w:p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posilnenie kooperačného prístupu k riešeniam nerovností v oblasti zdravia a uľahčenie výmeny poznatkov a vzájomného učenia sa medzi zapojenými krajinami (prístup výmeny poznatkov a učenia),</w:t>
      </w:r>
    </w:p>
    <w:p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</w:rPr>
        <w:t>uľahčenie výmeny najlepších postupov medzi zapojenými krajinami.</w:t>
      </w:r>
    </w:p>
    <w:p>
      <w:pPr>
        <w:keepNext/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Prostriedky</w:t>
      </w:r>
    </w:p>
    <w:p>
      <w:pPr>
        <w:pStyle w:val="NormalWeb"/>
        <w:keepNext/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Aby sa dosiahli ciele jednotnej akcie, zapojené krajiny sú v nej podporované</w:t>
      </w:r>
      <w:r>
        <w:rPr>
          <w:noProof/>
        </w:rPr>
        <w:t>: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pri monitorovaní nerovností v oblasti zdravia vypracovaním a využívaním zdravotných ukazovateľov hodnotenia a určovania priorít zdravotnej politiky, ktoré sú prispôsobené podmienkam v danej krajine a dlhodobo udržateľné,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pri identifikácií potrieb národných stratégií, politík a modelov osvedčených postupov v záujme dosiahnutia prostredia, ktoré je zdravé pre život, a to vrátane poradenstva v prospech týchto riešení, poskytovaného zákonodarcom a zainteresovaným stranám,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pri znižovaní nerovností v oblasti zdravia, pokiaľ ide o prístup k službám zdravotnej starostlivosti a sociálnym službám vypracovaním stratégií, politík a programov prispôsobených potrebám na celoštátnej, regionálnej a miestnej úrovni,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pri zvyšovaní potenciálu zapojených krajín vyvinúť a použiť prístup „Zdravie a rovnosť vo všetkých politikách“.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  <w:r>
        <w:rPr>
          <w:noProof/>
        </w:rPr>
        <w:t xml:space="preserve">V rámci 3. cieľa programu v oblasti zdravia (prispievať k inovačným, účinným a udržateľným zdravotným systémom) sa podporila </w:t>
      </w:r>
      <w:r>
        <w:rPr>
          <w:b/>
          <w:noProof/>
        </w:rPr>
        <w:t>spolupráca s Radou Európy v oblasti farmaceutických výrobkov</w:t>
      </w:r>
      <w:r>
        <w:rPr>
          <w:noProof/>
        </w:rPr>
        <w:t xml:space="preserve"> podpísaním dohody o trojročnom priamom grante s príspevkom EÚ vo výške 3 300 000 eur.</w:t>
      </w:r>
    </w:p>
    <w:p>
      <w:pPr>
        <w:widowControl w:val="0"/>
        <w:spacing w:before="120" w:after="120" w:line="360" w:lineRule="auto"/>
        <w:jc w:val="both"/>
        <w:rPr>
          <w:rFonts w:eastAsia="Times New Roman" w:cs="Times New Roman"/>
          <w:noProof/>
          <w:u w:val="single"/>
        </w:rPr>
      </w:pPr>
      <w:r>
        <w:rPr>
          <w:noProof/>
          <w:u w:val="single"/>
        </w:rPr>
        <w:t>Súvislosti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Smernicami 2001/83/ES o liekoch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a 2001/82/ES o veterinárnych liekoch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sa pre zabezpečenie kvality liekov v Európskom hospodárskom priestore (EHP) stal kľúčovým Európsky liekopis</w:t>
      </w:r>
      <w:r>
        <w:rPr>
          <w:rStyle w:val="FootnoteReference"/>
          <w:noProof/>
        </w:rPr>
        <w:footnoteReference w:id="15"/>
      </w:r>
      <w:r>
        <w:rPr>
          <w:noProof/>
        </w:rPr>
        <w:t>. Európska únia je v súlade s rozhodnutím Rady 94/358/ES</w:t>
      </w:r>
      <w:r>
        <w:rPr>
          <w:rStyle w:val="FootnoteReference"/>
          <w:noProof/>
        </w:rPr>
        <w:footnoteReference w:id="16"/>
      </w:r>
      <w:r>
        <w:rPr>
          <w:noProof/>
        </w:rPr>
        <w:t xml:space="preserve"> zmluvnou stranou „Dohovoru o vypracovaní Európskeho liekopisu“ Rady Európy. Funkcie sekretariátu Európskeho liekopisu zabezpečuje Európske riaditeľstvo Rady Európy pre kvalitu liekov a zdravotnej starostlivosti</w:t>
      </w:r>
      <w:r>
        <w:rPr>
          <w:rStyle w:val="FootnoteReference"/>
          <w:noProof/>
        </w:rPr>
        <w:footnoteReference w:id="17"/>
      </w:r>
      <w:r>
        <w:rPr>
          <w:noProof/>
        </w:rPr>
        <w:t>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Cieľ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noProof/>
        </w:rPr>
      </w:pPr>
      <w:r>
        <w:rPr>
          <w:noProof/>
        </w:rPr>
        <w:t>Ciele tejto akcie sú: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zaručiť používanie harmonizovaných noriem kvality a referenčných materiálov pre biologické látky v súlade s úsilím EÚ venovaným ochrane zvierat,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zaručiť adekvátny a účinný dohľad nad kvalitou liekov predávaných v Európe a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zachovať a ďalej zdokonaľovať harmonizovanú identifikáciu liekov v Európe a vo svete.</w:t>
      </w:r>
    </w:p>
    <w:p>
      <w:pPr>
        <w:keepNext/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Prostriedky</w:t>
      </w:r>
    </w:p>
    <w:p>
      <w:pPr>
        <w:keepNext/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Touto akciou sa podporujú: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program biologickej normalizácie sprístupnením nových metód kontroly kvality biologických látok, ako aj referenčných noriem potrebných na uplatnenie metód hodnotenia kvality v Európskom liekopise.</w:t>
      </w:r>
    </w:p>
    <w:p>
      <w:pPr>
        <w:pStyle w:val="NormalWeb"/>
        <w:shd w:val="clear" w:color="auto" w:fill="FFFFFF"/>
        <w:spacing w:after="0" w:line="360" w:lineRule="auto"/>
        <w:ind w:left="720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 xml:space="preserve">V rámci programu, ktorý trvá od roku 2018 do roku 2020, budú vypracované práve takéto referenčné normy. </w:t>
      </w:r>
      <w:r>
        <w:rPr>
          <w:noProof/>
        </w:rPr>
        <w:t>Tie sú nevyhnutné preto, že súbor v minulosti zavedených noriem je už zastaraný, prípadne si ich vyžadujú nové/revidované monografie Európskeho liekopisu</w:t>
      </w:r>
      <w:r>
        <w:rPr>
          <w:rStyle w:val="FootnoteReference"/>
          <w:noProof/>
          <w:sz w:val="22"/>
          <w:szCs w:val="22"/>
        </w:rPr>
        <w:footnoteReference w:id="18"/>
      </w:r>
      <w:r>
        <w:rPr>
          <w:noProof/>
        </w:rPr>
        <w:t>.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noProof/>
        </w:rPr>
      </w:pPr>
      <w:r>
        <w:rPr>
          <w:noProof/>
          <w:sz w:val="22"/>
          <w:szCs w:val="22"/>
        </w:rPr>
        <w:t>Úradne určené laboratóriá na kontrolu liekov pri plnení úloh monitorovania kvality liekov na európskom trhu cez sieť takýchto laboratórií zriadenej na tento účel.</w:t>
      </w:r>
    </w:p>
    <w:p>
      <w:pPr>
        <w:pStyle w:val="NormalWeb"/>
        <w:shd w:val="clear" w:color="auto" w:fill="FFFFFF"/>
        <w:spacing w:after="0" w:line="360" w:lineRule="auto"/>
        <w:ind w:left="720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V rokoch 2018 až 2020 sa sieť úradných laboratórií zameriava na nové povolené lieky, lieky s komplexným zložením alebo postupom výroby, lieky vyrobené použitím novej technológie výroby alebo kontroly, ako aj na lieky, pri ktorých sa predtým v metodike testovania objavili ťažkosti.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noProof/>
        </w:rPr>
      </w:pPr>
      <w:r>
        <w:rPr>
          <w:noProof/>
          <w:sz w:val="22"/>
          <w:szCs w:val="22"/>
        </w:rPr>
        <w:t>Realizácia systému riadenia kvality všetkými laboratóriami, podpora deľby práce, poznatkov, vybavenia a nákladov na dohľad nad liekmi.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noProof/>
        </w:rPr>
      </w:pPr>
      <w:r>
        <w:rPr>
          <w:noProof/>
          <w:sz w:val="22"/>
          <w:szCs w:val="22"/>
        </w:rPr>
        <w:t>Úloha úradne určených laboratórií na kontrolu liekov odhaľovať falšované lieky v zmysle právnych predpisov EÚ (smerníc 2001/83/ES a 2001/82/ES).</w:t>
      </w:r>
    </w:p>
    <w:p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„Terminologický“ projekt na uľahčenie harmonizovanej identifikácie liekov vo svete, primárne na účely sledovania bezpečnosti liekov. Správou databázy štandardných termínov, ktorá obsahuje harmonizované termíny a definície (týkajúce sa farmaceutických dávkovacích foriem, ciest a spôsobov podávania lieku, jeho balenia a prezentácie), sa vďaka tejto akcii zintenzívni sledovanie bezpečnosti lieku po uvoľnení do obehu, ako aj globálne monitorovanie jeho predpokladaných nežiaducich účinkov.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</w:p>
    <w:p>
      <w:pPr>
        <w:spacing w:line="360" w:lineRule="auto"/>
        <w:jc w:val="both"/>
        <w:rPr>
          <w:noProof/>
        </w:rPr>
      </w:pPr>
      <w:r>
        <w:rPr>
          <w:noProof/>
        </w:rPr>
        <w:t xml:space="preserve">V rámci 4. cieľa programu v oblasti zdravia (uľahčiť prístup občanov Únie k lepšej a bezpečnejšej zdravotnej starostlivosti) bola v spolupráci s GR GROW spustená </w:t>
      </w:r>
      <w:r>
        <w:rPr>
          <w:b/>
          <w:noProof/>
        </w:rPr>
        <w:t>komunikačná a informačná kampaň o novom nariadení (EÚ) 2017/745 týkajúcom sa zdravotníckych pomôcok</w:t>
      </w:r>
      <w:r>
        <w:rPr>
          <w:noProof/>
        </w:rPr>
        <w:t>. Trojročná kampaň je zameraná na fázu príprav na presadzovanie dodržiavania spomínaného nariadenia o zdravotníckych pomôckach a v rokoch 2017 – 2019 disponovala sumou 1 600 000 eur.</w:t>
      </w:r>
    </w:p>
    <w:p>
      <w:pPr>
        <w:keepNext/>
        <w:spacing w:line="360" w:lineRule="auto"/>
        <w:jc w:val="both"/>
        <w:rPr>
          <w:rFonts w:eastAsia="Times New Roman" w:cs="Times New Roman"/>
          <w:noProof/>
          <w:u w:val="single"/>
        </w:rPr>
      </w:pPr>
      <w:r>
        <w:rPr>
          <w:noProof/>
          <w:u w:val="single"/>
        </w:rPr>
        <w:t>Súvislosti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 xml:space="preserve">Kampaň vznikla v nadväznosti na prijatie dvoch nových nariadení v apríli 2017 – nariadenia (EÚ) 2017/745 o zdravotníckych pomôckach a nariadenia (EÚ) 2017/746 o zdravotníckych pomôckach </w:t>
      </w:r>
      <w:r>
        <w:rPr>
          <w:i/>
          <w:iCs/>
          <w:noProof/>
        </w:rPr>
        <w:t>in vitro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. Cieľom kampane je zabezpečiť, aby všetky strany, a zvlášť výrobcovia, vedeli o zmenách, nových požiadavkách a lehotách platných v nových nariadeniach. Nariadenie o zdravotníckych pomôckach sa začne uplatňovať v máji 2020 a o diagnostických metódach </w:t>
      </w:r>
      <w:r>
        <w:rPr>
          <w:i/>
          <w:iCs/>
          <w:noProof/>
        </w:rPr>
        <w:t>in vitro</w:t>
      </w:r>
      <w:r>
        <w:rPr>
          <w:noProof/>
        </w:rPr>
        <w:t xml:space="preserve"> v máji 2022, no existujú viaceré prechodné ustanovenia týkajúce sa skoršieho vykonávania, ktorým musia všetky zainteresované strany správne porozumieť.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Prijatie týchto nariadení svedčí o zámere EÚ zabezpečiť, aby boli zdravotnícke pomôcky na trhu bezpečnejšie tak pre pacientov, ako aj zdravotníckych pracovníkov. Informačná a komunikačná kampaň je v súlade s prioritami „Zamestnanosť, rast a investície“ a „Vnútorný trh“, ktoré si stanovila Európska komisia pod vedením Jeana-Clauda Junckera.</w:t>
      </w:r>
    </w:p>
    <w:p>
      <w:pPr>
        <w:widowControl w:val="0"/>
        <w:spacing w:before="120" w:after="120" w:line="360" w:lineRule="auto"/>
        <w:jc w:val="both"/>
        <w:rPr>
          <w:rFonts w:eastAsia="Arial" w:cs="Times New Roman"/>
          <w:noProof/>
          <w:u w:val="single"/>
        </w:rPr>
      </w:pPr>
      <w:r>
        <w:rPr>
          <w:noProof/>
          <w:u w:val="single"/>
        </w:rPr>
        <w:t>Cieľ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Cieľom komunikačnej iniciatívy je zabrániť sa narušeniu trhu so zdravotníckymi pomôckami po posledných legislatívnych zmenách. Všetci aktéri, ktorých sa zmeny zavedené novými nariadeniami týkajú, musia byť o nich informovaní. Ide tak o výrobcov z EÚ či zo sveta, ako aj dovozcov, distribútorov, autorizovaných zástupcov, notifikované osoby, firmy ponúkajúce repasovanie pomôcok na jedno použitie, zdravotnícke inštitúcie, zdravotnícky personál a príslušné orgány.</w:t>
      </w:r>
    </w:p>
    <w:p>
      <w:pPr>
        <w:spacing w:line="360" w:lineRule="auto"/>
        <w:jc w:val="both"/>
        <w:rPr>
          <w:rFonts w:eastAsia="Times New Roman" w:cs="Times New Roman"/>
          <w:noProof/>
          <w:u w:val="single"/>
        </w:rPr>
      </w:pPr>
      <w:r>
        <w:rPr>
          <w:noProof/>
          <w:u w:val="single"/>
        </w:rPr>
        <w:t>Prostriedky</w:t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Kampaň je zameraná na viaceré ciele, okrem iného aj na: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vypracovanie komunikačnej stratégie pre kampaň,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zriadenie databázy aktérov pôsobiacich v rámci kampane vrátane príslušných orgánov, profesijných a obchodných organizácií, ale aj združení pacientov,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pomoc pre vybrané kľúčové zainteresované strany s prípravou konferencií o nových nariadeniach týkajúcich sa zdravotníckych pomôcok [</w:t>
      </w:r>
      <w:r>
        <w:rPr>
          <w:noProof/>
        </w:rPr>
        <w:t>nariadenie (EÚ) 2017/745 a nariadenie (EÚ) 2017/746]</w:t>
      </w:r>
      <w:r>
        <w:rPr>
          <w:noProof/>
          <w:sz w:val="22"/>
          <w:szCs w:val="22"/>
        </w:rPr>
        <w:t>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prípravu informačných materiálov prispôsobených potrebám každého z aktérov,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prípravu bulletinu venovaného informačnej kampani vychádzajúceho dvakrát ročne,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  <w:sz w:val="22"/>
          <w:szCs w:val="22"/>
        </w:rPr>
      </w:pPr>
      <w:r>
        <w:rPr>
          <w:noProof/>
          <w:sz w:val="22"/>
          <w:szCs w:val="22"/>
        </w:rPr>
        <w:t>prípravu mediálneho balíčka doplneného o mapovanie médií a špecifické mediálne balíčky,</w:t>
      </w:r>
    </w:p>
    <w:p>
      <w:pPr>
        <w:pStyle w:val="NormalWeb"/>
        <w:numPr>
          <w:ilvl w:val="0"/>
          <w:numId w:val="60"/>
        </w:numPr>
        <w:shd w:val="clear" w:color="auto" w:fill="FFFFFF"/>
        <w:spacing w:after="0" w:line="360" w:lineRule="auto"/>
        <w:jc w:val="both"/>
        <w:rPr>
          <w:rFonts w:eastAsia="Times New Roman"/>
          <w:noProof/>
        </w:rPr>
      </w:pPr>
      <w:r>
        <w:rPr>
          <w:noProof/>
          <w:sz w:val="22"/>
          <w:szCs w:val="22"/>
        </w:rPr>
        <w:t>organizáciu online seminárov a/alebo online školení.</w:t>
      </w:r>
      <w:r>
        <w:rPr>
          <w:noProof/>
          <w:sz w:val="22"/>
          <w:szCs w:val="22"/>
        </w:rPr>
        <w:br w:type="page"/>
      </w:r>
    </w:p>
    <w:p>
      <w:pPr>
        <w:pStyle w:val="Heading1"/>
        <w:spacing w:line="360" w:lineRule="auto"/>
        <w:rPr>
          <w:noProof/>
          <w:sz w:val="28"/>
          <w:szCs w:val="28"/>
        </w:rPr>
      </w:pPr>
      <w:bookmarkStart w:id="4" w:name="_Toc33623801"/>
      <w:r>
        <w:rPr>
          <w:noProof/>
          <w:sz w:val="28"/>
          <w:szCs w:val="28"/>
        </w:rPr>
        <w:t>PLNENIE ROZPOČTU</w:t>
      </w:r>
      <w:bookmarkEnd w:id="4"/>
    </w:p>
    <w:p>
      <w:pPr>
        <w:spacing w:line="360" w:lineRule="auto"/>
        <w:jc w:val="both"/>
        <w:rPr>
          <w:noProof/>
        </w:rPr>
      </w:pP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Celkový rozpočet tretieho programu v oblasti zdravia na roky 2014 – 2020 predstavuje 449,4 milióna EUR. Táto suma zahŕňa 30 miliónov EUR na prevádzkové náklady Výkonnej agentúry pre spotrebiteľov, zdravie, potraviny a poľnohospodárstvo (Chafea), ktorú Komisia poverila riadením programu v oblasti zdravia na roky 2014 – 2020. Agentúra Chafea poskytuje Komisii technickú, vedeckú a administratívnu pomoc pri vykonávaní programu v oblasti zdravia od roku 2005</w:t>
      </w:r>
      <w:r>
        <w:rPr>
          <w:rStyle w:val="FootnoteReference"/>
          <w:rFonts w:cs="Times New Roman"/>
          <w:noProof/>
        </w:rPr>
        <w:footnoteReference w:id="20"/>
      </w:r>
      <w:r>
        <w:rPr>
          <w:noProof/>
        </w:rPr>
        <w:t>. Každoročne vyhlasuje výzvy na predkladanie návrhov, koordinuje hodnotenie predložených návrhov, prerokúva, podpisuje a spravuje dohody o grante a informuje o výsledkoch činností. Zodpovedá aj za mnohé postupy verejného obstarávania.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V pracovnom pláne na rok 2017</w:t>
      </w:r>
      <w:r>
        <w:rPr>
          <w:rStyle w:val="FootnoteReference"/>
          <w:rFonts w:cs="Times New Roman"/>
          <w:noProof/>
        </w:rPr>
        <w:footnoteReference w:id="21"/>
      </w:r>
      <w:r>
        <w:rPr>
          <w:noProof/>
        </w:rPr>
        <w:t xml:space="preserve"> sa uvádza rozpočet vo výške 61 904 085 EUR, rozdelený podľa oblastí takto:</w:t>
      </w:r>
    </w:p>
    <w:p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prevádzkové výdavky: 60 404 085 EUR, čo zodpovedá rozpočtovému riadku 17 03 01 tretieho akčného programu Únie v oblasti zdravia (2014 – 2020) („</w:t>
      </w:r>
      <w:r>
        <w:rPr>
          <w:rFonts w:ascii="Times New Roman" w:hAnsi="Times New Roman"/>
          <w:i/>
          <w:iCs/>
          <w:noProof/>
        </w:rPr>
        <w:t>Podpora inovácií v oblasti zdravia, zvyšovanie udržateľnosti systémov zdravotnej starostlivosti a ochrana občanov Únie pred závažnými cezhraničnými ohrozeniami zdravia</w:t>
      </w:r>
      <w:r>
        <w:rPr>
          <w:rFonts w:ascii="Times New Roman" w:hAnsi="Times New Roman"/>
          <w:noProof/>
        </w:rPr>
        <w:t>“),</w:t>
      </w:r>
    </w:p>
    <w:p>
      <w:pPr>
        <w:pStyle w:val="ListParagraph"/>
        <w:numPr>
          <w:ilvl w:val="0"/>
          <w:numId w:val="57"/>
        </w:numPr>
        <w:spacing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administratívne výdavky: 1 500 000 EUR, čo zodpovedá výdavkom na podporu k rozpočtovému riadku 17 01 04 02 tretieho akčného programu Únie v oblasti zdravia (2014 – 2020).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 xml:space="preserve">Celkový prevádzkový rozpočet predstavuje </w:t>
      </w:r>
      <w:r>
        <w:rPr>
          <w:b/>
          <w:noProof/>
        </w:rPr>
        <w:t>60 404 085</w:t>
      </w:r>
      <w:r>
        <w:rPr>
          <w:noProof/>
        </w:rPr>
        <w:t xml:space="preserve"> EUR vrátane 1 574 508 EUR z prostriedkov EZVO/EHP.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Z toho bolo v rámci ročného pracovného programu na rok 2017 vyčlenených 60 386 800 EUR. Chafea zabezpečila 46 764 719,17 EUR z tohto rozpočtu, pričom GR SANTE naň vyčlenilo 13 622 080,83 EUR, z ktorých sa financovala časť obstarávania a iné akcie. Z celkovo vyčlenených prostriedkov sa využili rozpočtové prostriedky vo výške 60 063 178,12 EUR, pričom sa nevyužili prostriedky vo výške 323 621,88 EUR.</w:t>
      </w:r>
    </w:p>
    <w:p>
      <w:pPr>
        <w:pStyle w:val="ManualHeading2"/>
        <w:rPr>
          <w:noProof/>
        </w:rPr>
      </w:pPr>
      <w:bookmarkStart w:id="5" w:name="_Toc33623802"/>
      <w:r>
        <w:t>1.</w:t>
      </w:r>
      <w:r>
        <w:tab/>
      </w:r>
      <w:r>
        <w:rPr>
          <w:noProof/>
        </w:rPr>
        <w:t>Priority</w:t>
      </w:r>
      <w:bookmarkEnd w:id="5"/>
    </w:p>
    <w:p>
      <w:pPr>
        <w:spacing w:before="100" w:beforeAutospacing="1" w:after="100" w:afterAutospacing="1"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V roku 2017 bolo celkové plnenie prevádzkového rozpočtu (60 063 178,12 EUR) rozdelené medzi štyri špecifické ciele programu takto:</w:t>
      </w:r>
    </w:p>
    <w:p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i/>
          <w:noProof/>
        </w:rPr>
      </w:pPr>
      <w:r>
        <w:rPr>
          <w:b/>
          <w:bCs/>
          <w:noProof/>
        </w:rPr>
        <w:t>podpora zdravia</w:t>
      </w:r>
      <w:r>
        <w:rPr>
          <w:noProof/>
        </w:rPr>
        <w:t xml:space="preserve"> – 22 282 477,74 EUR</w:t>
      </w:r>
      <w:r>
        <w:rPr>
          <w:b/>
          <w:i/>
          <w:noProof/>
        </w:rPr>
        <w:t xml:space="preserve"> (37 % prevádzkového rozpočtu) </w:t>
      </w:r>
      <w:r>
        <w:rPr>
          <w:noProof/>
        </w:rPr>
        <w:t>na prevenciu chorôb a posilnenie prostredí priaznivých pre zdravý životný štýl pri zohľadnení zásady „zdravie vo všetkých politikách“;</w:t>
      </w:r>
    </w:p>
    <w:p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i/>
          <w:noProof/>
        </w:rPr>
      </w:pPr>
      <w:r>
        <w:rPr>
          <w:b/>
          <w:bCs/>
          <w:noProof/>
        </w:rPr>
        <w:t>ohrozenia zdravia</w:t>
      </w:r>
      <w:r>
        <w:rPr>
          <w:noProof/>
        </w:rPr>
        <w:t xml:space="preserve"> – 7 198 549,97 EUR </w:t>
      </w:r>
      <w:r>
        <w:rPr>
          <w:b/>
          <w:i/>
          <w:noProof/>
        </w:rPr>
        <w:t>(12 % prevádzkového rozpočtu)</w:t>
      </w:r>
      <w:r>
        <w:rPr>
          <w:noProof/>
        </w:rPr>
        <w:t xml:space="preserve"> na ochranu občanov Únie pred závažnými cezhraničnými ohrozeniami zdravia;</w:t>
      </w:r>
    </w:p>
    <w:p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i/>
          <w:noProof/>
        </w:rPr>
      </w:pPr>
      <w:r>
        <w:rPr>
          <w:b/>
          <w:bCs/>
          <w:noProof/>
        </w:rPr>
        <w:t>systémy zdravotnej starostlivosti</w:t>
      </w:r>
      <w:r>
        <w:rPr>
          <w:noProof/>
        </w:rPr>
        <w:t xml:space="preserve"> – 18 059 351,37 EUR</w:t>
      </w:r>
      <w:r>
        <w:rPr>
          <w:b/>
          <w:i/>
          <w:noProof/>
        </w:rPr>
        <w:t xml:space="preserve"> (30 % prevádzkového rozpočtu)</w:t>
      </w:r>
      <w:r>
        <w:rPr>
          <w:noProof/>
        </w:rPr>
        <w:t xml:space="preserve"> na podporu inovačných, efektívnych a udržateľných systémov zdravotnej starostlivosti;</w:t>
      </w:r>
    </w:p>
    <w:p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i/>
          <w:noProof/>
        </w:rPr>
      </w:pPr>
      <w:r>
        <w:rPr>
          <w:b/>
          <w:bCs/>
          <w:noProof/>
        </w:rPr>
        <w:t>lepšia a bezpečnejšia zdravotná starostlivosť</w:t>
      </w:r>
      <w:r>
        <w:rPr>
          <w:noProof/>
        </w:rPr>
        <w:t xml:space="preserve"> – 8 560 567,66 EUR</w:t>
      </w:r>
      <w:r>
        <w:rPr>
          <w:b/>
          <w:i/>
          <w:noProof/>
        </w:rPr>
        <w:t xml:space="preserve"> (14 % prevádzkového rozpočtu)</w:t>
      </w:r>
      <w:r>
        <w:rPr>
          <w:noProof/>
        </w:rPr>
        <w:t xml:space="preserve"> na uľahčenie prístupu občanov Únie k lepšej a bezpečnejšej zdravotnej starostlivosti.</w:t>
      </w:r>
    </w:p>
    <w:p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i/>
          <w:noProof/>
        </w:rPr>
      </w:pPr>
      <w:r>
        <w:rPr>
          <w:noProof/>
        </w:rPr>
        <w:t xml:space="preserve">Okrem toho sa na </w:t>
      </w:r>
      <w:r>
        <w:rPr>
          <w:b/>
          <w:bCs/>
          <w:noProof/>
        </w:rPr>
        <w:t>horizontálne činnosti</w:t>
      </w:r>
      <w:r>
        <w:rPr>
          <w:noProof/>
        </w:rPr>
        <w:t xml:space="preserve"> (IT, komunikácia) a prierezové akcie vynaložilo 3 962 231,38 EUR</w:t>
      </w:r>
      <w:r>
        <w:rPr>
          <w:b/>
          <w:i/>
          <w:noProof/>
        </w:rPr>
        <w:t xml:space="preserve"> (7 % prevádzkového rozpočtu)</w:t>
      </w:r>
      <w:r>
        <w:rPr>
          <w:noProof/>
        </w:rPr>
        <w:t>.</w:t>
      </w:r>
    </w:p>
    <w:p>
      <w:pPr>
        <w:keepNext/>
        <w:spacing w:before="120" w:after="120" w:line="360" w:lineRule="auto"/>
        <w:jc w:val="center"/>
        <w:rPr>
          <w:rFonts w:cs="Times New Roman"/>
          <w:b/>
          <w:noProof/>
        </w:rPr>
      </w:pPr>
      <w:r>
        <w:rPr>
          <w:b/>
          <w:noProof/>
        </w:rPr>
        <w:t>Graf 1: Prevádzkový rozpočet podľa cieľa tretieho programu v oblasti zdravia v roku 2017</w:t>
      </w:r>
    </w:p>
    <w:p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576072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rPr>
          <w:rFonts w:eastAsia="Times New Roman" w:cs="Times New Roman"/>
          <w:noProof/>
        </w:rPr>
      </w:pPr>
      <w:r>
        <w:rPr>
          <w:noProof/>
        </w:rPr>
        <w:t>V tomto grafe sú informácie o prostriedkoch z programu v oblasti zdravia investovaných ako príspevok EÚ formou rôznych tematických priorít v roku 2017.</w:t>
      </w:r>
    </w:p>
    <w:p>
      <w:pPr>
        <w:keepNext/>
        <w:spacing w:before="120" w:after="120" w:line="360" w:lineRule="auto"/>
        <w:jc w:val="center"/>
        <w:rPr>
          <w:rFonts w:cs="Times New Roman"/>
          <w:b/>
          <w:noProof/>
        </w:rPr>
      </w:pPr>
      <w:r>
        <w:rPr>
          <w:b/>
          <w:noProof/>
        </w:rPr>
        <w:t>Graf 2: Prevádzkový rozpočet podľa tematickej priority v roku 2017</w:t>
      </w:r>
      <w:r>
        <w:rPr>
          <w:noProof/>
          <w:lang w:val="en-GB" w:eastAsia="en-GB"/>
        </w:rPr>
        <w:drawing>
          <wp:inline distT="0" distB="0" distL="0" distR="0">
            <wp:extent cx="5760720" cy="22530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eastAsia="Times New Roman" w:cs="Times New Roman"/>
          <w:noProof/>
        </w:rPr>
      </w:pPr>
    </w:p>
    <w:p>
      <w:pPr>
        <w:spacing w:line="360" w:lineRule="auto"/>
        <w:jc w:val="both"/>
        <w:rPr>
          <w:rFonts w:eastAsia="Times New Roman" w:cs="Times New Roman"/>
          <w:noProof/>
        </w:rPr>
      </w:pPr>
      <w:r>
        <w:rPr>
          <w:noProof/>
        </w:rPr>
        <w:t>Aby sa dosiahli stanovené ciele, program sa vykonáva prostredníctvom širokej škály nástrojov financovania. Sú to: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granty na projekty vrátane osobitných dohôd o grantoch na európske referenčné siete pre jediného prijímateľa,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granty na prevádzku s cieľom podporiť mimovládne organizácie,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akcie spolufinancované orgánmi členských štátov (tzv. jednotné akcie),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dohody o priamych grantoch uzavreté s medzinárodnými organizáciami,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verejné obstarávanie a</w:t>
      </w:r>
    </w:p>
    <w:p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iné akcie, ako je podpora vedeckých výborov, administratívne dohody so Spoločným výskumným centrom, rozpočet subdelegovaný na Eurostat a prierezové akcie, napr. granty na konferencie predsedníctva.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Akcie, ktoré budú financované, sa vyberali na základe súťažných kritérií a postupov obstarávania. Výnimkou z tohto pravidla boli jednotné akcie, dohody o priamych grantoch a konferencie organizované predsedníctvami Rady z dôvodu osobitných pravidiel, či napríklad monopolného postavenia. Pokiaľ ide o jednotné akcie, za kvalitu spolufinancovaných akcií ručí daná organizácia zodpovedná za postup partnerského preskúmania, vďaka čomu externí hodnotitelia, odborní referenti z GR SANTE a zástupcovia agentúry Chafea uplatňujú kritériá obstarávania v rámci RPP.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Administratívne prostriedky zahŕňali napr. výdavky na štúdie (vrátane externého hodnotenia zo strany agentúry Chafea a posúdenia vplyvu programu v oblasti zdravia), stretnutia odborníkov, náklady na informácie a publikácie, preklady, ako aj technickú a administratívnu pomoc pre systémy IT.</w:t>
      </w:r>
      <w:r>
        <w:rPr>
          <w:noProof/>
        </w:rPr>
        <w:br w:type="page"/>
      </w:r>
    </w:p>
    <w:p>
      <w:pPr>
        <w:pStyle w:val="ManualHeading2"/>
        <w:rPr>
          <w:noProof/>
        </w:rPr>
      </w:pPr>
      <w:bookmarkStart w:id="6" w:name="_Toc33623803"/>
      <w:r>
        <w:t>2.</w:t>
      </w:r>
      <w:r>
        <w:tab/>
      </w:r>
      <w:r>
        <w:rPr>
          <w:noProof/>
        </w:rPr>
        <w:t>Plnenie rozpočtu na prevádzku podľa mechanizmu financovania</w:t>
      </w:r>
      <w:bookmarkEnd w:id="6"/>
    </w:p>
    <w:tbl>
      <w:tblPr>
        <w:tblStyle w:val="TableGrid"/>
        <w:tblW w:w="9464" w:type="dxa"/>
        <w:tblLook w:val="0000" w:firstRow="0" w:lastRow="0" w:firstColumn="0" w:lastColumn="0" w:noHBand="0" w:noVBand="0"/>
      </w:tblPr>
      <w:tblGrid>
        <w:gridCol w:w="4361"/>
        <w:gridCol w:w="2551"/>
        <w:gridCol w:w="2552"/>
      </w:tblGrid>
      <w:tr>
        <w:trPr>
          <w:trHeight w:val="715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Typ mechanizmu financovania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Plnenie (v EUR)</w:t>
            </w:r>
          </w:p>
        </w:tc>
        <w:tc>
          <w:tcPr>
            <w:tcW w:w="2552" w:type="dxa"/>
            <w:noWrap/>
          </w:tcPr>
          <w:p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Podiel mechanizmu na celkovom plnení rozpočtu </w:t>
            </w:r>
          </w:p>
        </w:tc>
      </w:tr>
      <w:tr>
        <w:trPr>
          <w:trHeight w:val="272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Výzvy na predkladanie návrhov: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10 316 224,31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17,18 %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Cs/>
                <w:noProof/>
              </w:rPr>
            </w:pPr>
            <w:r>
              <w:rPr>
                <w:noProof/>
              </w:rPr>
              <w:t>Granty na projekty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 xml:space="preserve">0 % 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Cs/>
                <w:noProof/>
              </w:rPr>
            </w:pPr>
            <w:r>
              <w:rPr>
                <w:noProof/>
              </w:rPr>
              <w:t>Dohody o osobitnom grante na akcie európskych referenčných sietí (ERS) v medziach rámcových dohôd o partnerstve podľa cieľa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4 504 311,91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7,50 %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Cs/>
                <w:noProof/>
              </w:rPr>
            </w:pPr>
            <w:r>
              <w:rPr>
                <w:noProof/>
              </w:rPr>
              <w:t>Granty na prevádzku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5 811 912,40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9,68 %</w:t>
            </w:r>
          </w:p>
        </w:tc>
      </w:tr>
      <w:tr>
        <w:trPr>
          <w:trHeight w:val="376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Granty na jednotné akcie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20 229 410,14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33,68 %</w:t>
            </w:r>
          </w:p>
        </w:tc>
      </w:tr>
      <w:tr>
        <w:trPr>
          <w:trHeight w:val="517"/>
        </w:trPr>
        <w:tc>
          <w:tcPr>
            <w:tcW w:w="4361" w:type="dxa"/>
            <w:noWrap/>
          </w:tcPr>
          <w:p>
            <w:pPr>
              <w:spacing w:line="36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Granty na konferencie pre členské štáty predsedajúce EÚ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210 059,00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0,35 %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Dohody o priamych grantoch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noProof/>
                <w:color w:val="000000"/>
              </w:rPr>
            </w:pPr>
            <w:r>
              <w:rPr>
                <w:b/>
                <w:noProof/>
              </w:rPr>
              <w:t>9 300 000,00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15,48 %</w:t>
            </w:r>
          </w:p>
        </w:tc>
      </w:tr>
      <w:tr>
        <w:trPr>
          <w:trHeight w:val="631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Verejné obstarávanie (zmluvy o poskytovaní služieb), ocenenia a horizontálne opatrenia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14 580 482,75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24,28 %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i/>
                <w:noProof/>
              </w:rPr>
            </w:pPr>
            <w:r>
              <w:rPr>
                <w:b/>
                <w:bCs/>
                <w:i/>
                <w:noProof/>
              </w:rPr>
              <w:t>spravované agentúrou CHAFEA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5 863 073,68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9,76 %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i/>
                <w:noProof/>
              </w:rPr>
            </w:pPr>
            <w:r>
              <w:rPr>
                <w:b/>
                <w:bCs/>
                <w:i/>
                <w:noProof/>
              </w:rPr>
              <w:t>spravované GR SANTE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8 717 409,07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14,51 %</w:t>
            </w:r>
          </w:p>
        </w:tc>
      </w:tr>
      <w:tr>
        <w:trPr>
          <w:trHeight w:val="425"/>
        </w:trPr>
        <w:tc>
          <w:tcPr>
            <w:tcW w:w="4361" w:type="dxa"/>
            <w:noWrap/>
          </w:tcPr>
          <w:p>
            <w:pPr>
              <w:spacing w:line="36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Iné akcie a prierezové akcie okrem konferencií organizovaných predsedníckou krajinou</w:t>
            </w:r>
          </w:p>
        </w:tc>
        <w:tc>
          <w:tcPr>
            <w:tcW w:w="2551" w:type="dxa"/>
            <w:noWrap/>
          </w:tcPr>
          <w:p>
            <w:pPr>
              <w:tabs>
                <w:tab w:val="center" w:pos="1167"/>
                <w:tab w:val="right" w:pos="2335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  <w:t>5 427 001,92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spacing w:line="360" w:lineRule="auto"/>
              <w:jc w:val="right"/>
              <w:rPr>
                <w:b/>
                <w:noProof/>
              </w:rPr>
            </w:pPr>
            <w:r>
              <w:rPr>
                <w:noProof/>
              </w:rPr>
              <w:t>9,04 %</w:t>
            </w:r>
          </w:p>
        </w:tc>
      </w:tr>
      <w:tr>
        <w:trPr>
          <w:trHeight w:val="275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</w:rPr>
              <w:t>spravované agentúrou CHAFEA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663 836,33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1,11 %</w:t>
            </w:r>
          </w:p>
        </w:tc>
      </w:tr>
      <w:tr>
        <w:trPr>
          <w:trHeight w:val="337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</w:rPr>
              <w:t>spravované GR SANTE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4 763 165,59</w:t>
            </w:r>
          </w:p>
          <w:p>
            <w:pPr>
              <w:spacing w:line="360" w:lineRule="auto"/>
              <w:jc w:val="right"/>
              <w:rPr>
                <w:bCs/>
                <w:noProof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>
            <w:pPr>
              <w:spacing w:line="360" w:lineRule="auto"/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7,93 %</w:t>
            </w:r>
          </w:p>
        </w:tc>
      </w:tr>
      <w:tr>
        <w:trPr>
          <w:trHeight w:val="34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Plnenie rozpočtu v rámci RPP 2017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60 063 178,12</w:t>
            </w:r>
          </w:p>
        </w:tc>
        <w:tc>
          <w:tcPr>
            <w:tcW w:w="2552" w:type="dxa"/>
            <w:shd w:val="clear" w:color="auto" w:fill="auto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99,46 %</w:t>
            </w:r>
          </w:p>
        </w:tc>
      </w:tr>
      <w:tr>
        <w:trPr>
          <w:trHeight w:val="410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Celkový dostupný rozpočet na RPP 2017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ind w:left="-108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60 386 800,00</w:t>
            </w:r>
          </w:p>
        </w:tc>
        <w:tc>
          <w:tcPr>
            <w:tcW w:w="2552" w:type="dxa"/>
            <w:noWrap/>
          </w:tcPr>
          <w:p>
            <w:pPr>
              <w:spacing w:line="360" w:lineRule="auto"/>
              <w:jc w:val="right"/>
              <w:rPr>
                <w:noProof/>
              </w:rPr>
            </w:pPr>
          </w:p>
        </w:tc>
      </w:tr>
      <w:tr>
        <w:trPr>
          <w:trHeight w:val="255"/>
        </w:trPr>
        <w:tc>
          <w:tcPr>
            <w:tcW w:w="4361" w:type="dxa"/>
            <w:noWrap/>
          </w:tcPr>
          <w:p>
            <w:pPr>
              <w:spacing w:line="360" w:lineRule="auto"/>
              <w:jc w:val="both"/>
              <w:rPr>
                <w:bCs/>
                <w:noProof/>
              </w:rPr>
            </w:pPr>
            <w:r>
              <w:rPr>
                <w:b/>
                <w:bCs/>
                <w:noProof/>
              </w:rPr>
              <w:t>Nevyužité prostriedky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323 621,88</w:t>
            </w:r>
          </w:p>
        </w:tc>
        <w:tc>
          <w:tcPr>
            <w:tcW w:w="2552" w:type="dxa"/>
            <w:noWrap/>
          </w:tcPr>
          <w:p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w:t>0,54 %</w:t>
            </w:r>
          </w:p>
        </w:tc>
      </w:tr>
      <w:tr>
        <w:trPr>
          <w:trHeight w:val="517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</w:rPr>
              <w:t>agentúrou CHAFEA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ab/>
              <w:t>182 115,71</w:t>
            </w:r>
          </w:p>
        </w:tc>
        <w:tc>
          <w:tcPr>
            <w:tcW w:w="2552" w:type="dxa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56,27 %</w:t>
            </w:r>
          </w:p>
        </w:tc>
      </w:tr>
      <w:tr>
        <w:trPr>
          <w:trHeight w:val="246"/>
        </w:trPr>
        <w:tc>
          <w:tcPr>
            <w:tcW w:w="4361" w:type="dxa"/>
            <w:noWrap/>
          </w:tcPr>
          <w:p>
            <w:pPr>
              <w:spacing w:line="360" w:lineRule="auto"/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</w:rPr>
              <w:t xml:space="preserve"> GR SANTE</w:t>
            </w:r>
          </w:p>
        </w:tc>
        <w:tc>
          <w:tcPr>
            <w:tcW w:w="2551" w:type="dxa"/>
            <w:noWrap/>
          </w:tcPr>
          <w:p>
            <w:pPr>
              <w:spacing w:line="360" w:lineRule="auto"/>
              <w:jc w:val="right"/>
              <w:rPr>
                <w:noProof/>
                <w:color w:val="000000"/>
              </w:rPr>
            </w:pPr>
            <w:r>
              <w:rPr>
                <w:noProof/>
              </w:rPr>
              <w:t>141 506,17</w:t>
            </w:r>
          </w:p>
        </w:tc>
        <w:tc>
          <w:tcPr>
            <w:tcW w:w="2552" w:type="dxa"/>
            <w:noWrap/>
          </w:tcPr>
          <w:p>
            <w:pPr>
              <w:tabs>
                <w:tab w:val="decimal" w:pos="792"/>
              </w:tabs>
              <w:spacing w:line="360" w:lineRule="auto"/>
              <w:jc w:val="right"/>
              <w:rPr>
                <w:bCs/>
                <w:noProof/>
              </w:rPr>
            </w:pPr>
            <w:r>
              <w:rPr>
                <w:noProof/>
              </w:rPr>
              <w:t>43,73 %</w:t>
            </w:r>
          </w:p>
        </w:tc>
      </w:tr>
    </w:tbl>
    <w:p>
      <w:pPr>
        <w:rPr>
          <w:rFonts w:cs="Times New Roman"/>
          <w:noProof/>
        </w:rPr>
      </w:pPr>
      <w:r>
        <w:rPr>
          <w:noProof/>
        </w:rPr>
        <w:br w:type="page"/>
      </w:r>
    </w:p>
    <w:p>
      <w:pPr>
        <w:pStyle w:val="ManualHeading2"/>
        <w:rPr>
          <w:noProof/>
        </w:rPr>
      </w:pPr>
      <w:bookmarkStart w:id="7" w:name="_Toc33623804"/>
      <w:r>
        <w:t>3.</w:t>
      </w:r>
      <w:r>
        <w:tab/>
      </w:r>
      <w:r>
        <w:rPr>
          <w:noProof/>
        </w:rPr>
        <w:t>Prijímatelia</w:t>
      </w:r>
      <w:bookmarkEnd w:id="7"/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V roku 2017 podpísali GR SANTE a Chafea viac ako 238 rôznych grantov a zmlúv s rozličnými prijímateľmi a poskytovateľmi služieb: vládne a akademické inštitúcie, mimovládne organizácie, súkromné spoločnosti a jednotliví experti</w:t>
      </w:r>
      <w:r>
        <w:rPr>
          <w:rStyle w:val="FootnoteReference"/>
          <w:rFonts w:cs="Times New Roman"/>
          <w:noProof/>
        </w:rPr>
        <w:footnoteReference w:id="22"/>
      </w:r>
      <w:r>
        <w:rPr>
          <w:noProof/>
        </w:rPr>
        <w:t>. K ďalším prijímateľom patria medzinárodné organizácie a útvary EÚ (formou dohôd o priamych grantoch). Celkový počet prijímateľov predstavujúci 450 subjektov bol rozdelený do dvoch hlavných kategórií – súkromné poradenské spoločnosti (obstarávanie) a vládne organizácie (jednotné akcie).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Graf č. 3 zobrazuje prehľad jednotlivých skupín prijímateľov.</w:t>
      </w:r>
    </w:p>
    <w:p>
      <w:pPr>
        <w:spacing w:before="120" w:after="120" w:line="360" w:lineRule="auto"/>
        <w:jc w:val="center"/>
        <w:rPr>
          <w:rFonts w:cs="Times New Roman"/>
          <w:b/>
          <w:noProof/>
        </w:rPr>
      </w:pPr>
      <w:r>
        <w:rPr>
          <w:b/>
          <w:noProof/>
        </w:rPr>
        <w:t>Graf 3: Typy prijímateľov v rámci tretieho programu v oblasti zdravia v roku 2017</w:t>
      </w:r>
    </w:p>
    <w:p>
      <w:pPr>
        <w:spacing w:line="360" w:lineRule="auto"/>
        <w:jc w:val="center"/>
        <w:rPr>
          <w:rFonts w:eastAsia="Calibri" w:cs="Times New Roman"/>
          <w:b/>
          <w:bCs/>
          <w:noProof/>
          <w:kern w:val="32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4641215" cy="2889885"/>
            <wp:effectExtent l="19050" t="19050" r="26035" b="247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8898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noProof/>
        </w:rPr>
      </w:pPr>
      <w:r>
        <w:rPr>
          <w:noProof/>
        </w:rPr>
        <w:br w:type="page"/>
      </w:r>
    </w:p>
    <w:p>
      <w:pPr>
        <w:pStyle w:val="Heading1"/>
        <w:spacing w:line="360" w:lineRule="auto"/>
        <w:rPr>
          <w:noProof/>
          <w:sz w:val="28"/>
        </w:rPr>
      </w:pPr>
      <w:bookmarkStart w:id="8" w:name="_Toc33623805"/>
      <w:r>
        <w:rPr>
          <w:noProof/>
          <w:sz w:val="28"/>
        </w:rPr>
        <w:t>ĎALŠIE HLAVNÉ CHARAKTERISTIKY</w:t>
      </w:r>
      <w:bookmarkEnd w:id="8"/>
    </w:p>
    <w:p>
      <w:pPr>
        <w:spacing w:before="240" w:line="360" w:lineRule="auto"/>
        <w:jc w:val="both"/>
        <w:rPr>
          <w:rFonts w:cs="Times New Roman"/>
          <w:noProof/>
        </w:rPr>
      </w:pPr>
      <w:r>
        <w:rPr>
          <w:noProof/>
        </w:rPr>
        <w:t>Cieľom pracovného programu na rok 2017 bolo prispieť k plneniu priorít Komisie v oblasti zdravia, ktoré boli stanovené v politických usmerneniach predsedu Junckera</w:t>
      </w:r>
      <w:r>
        <w:rPr>
          <w:rStyle w:val="FootnoteReference"/>
          <w:rFonts w:cs="Times New Roman"/>
          <w:noProof/>
        </w:rPr>
        <w:footnoteReference w:id="23"/>
      </w:r>
      <w:r>
        <w:rPr>
          <w:noProof/>
        </w:rPr>
        <w:t xml:space="preserve"> a v poverovacom liste komisára pre zdravie a bezpečnosť potravín</w:t>
      </w:r>
      <w:r>
        <w:rPr>
          <w:rStyle w:val="FootnoteReference"/>
          <w:rFonts w:cs="Times New Roman"/>
          <w:noProof/>
        </w:rPr>
        <w:footnoteReference w:id="24"/>
      </w:r>
      <w:r>
        <w:rPr>
          <w:noProof/>
        </w:rPr>
        <w:t>.</w:t>
      </w:r>
    </w:p>
    <w:p>
      <w:pPr>
        <w:spacing w:before="240" w:line="360" w:lineRule="auto"/>
        <w:jc w:val="both"/>
        <w:rPr>
          <w:rFonts w:cs="Times New Roman"/>
          <w:noProof/>
        </w:rPr>
      </w:pPr>
      <w:r>
        <w:rPr>
          <w:noProof/>
        </w:rPr>
        <w:t>Na podporu kľúčových politických opatrení boli vybrané akcie spolufinancované príslušnými orgánmi členských štátov (šesť jednotných akcií). Tieto jednotné akcie</w:t>
      </w:r>
      <w:r>
        <w:rPr>
          <w:rStyle w:val="FootnoteReference"/>
          <w:rFonts w:cs="Times New Roman"/>
          <w:noProof/>
        </w:rPr>
        <w:footnoteReference w:id="25"/>
      </w:r>
      <w:r>
        <w:rPr>
          <w:noProof/>
        </w:rPr>
        <w:t>, v ktorých bolo spolu 217 prijímateľov vrátane prepojených subjektov, sledovali záujmy členských štátov aktívne sa zapojiť do jednotných akcií na témy kontrola rakoviny, nerovnosti v oblasti zdravia, očkovanie a pripravenosť, elektronické zdravotníctvo a zdravotné informácie.</w:t>
      </w:r>
    </w:p>
    <w:p>
      <w:pPr>
        <w:spacing w:before="240" w:line="360" w:lineRule="auto"/>
        <w:jc w:val="both"/>
        <w:rPr>
          <w:noProof/>
        </w:rPr>
      </w:pPr>
      <w:r>
        <w:rPr>
          <w:noProof/>
        </w:rPr>
        <w:t>Po prijatí stratégie šírenia informácií o 3. programe v oblasti zdravia (v júni 2017) a výročného plánu šírenia informácií v tom istom roku sa Chafea a GR SANTE dohodli na používaní vylepšenej metódy plánovania a prípravy informačných činností. Chafea na podporu tohto cieľa vypracovala: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zdokonalenú verziu databázy projektov, ktorá zainteresovaným stranám umožňuje organizovaný prístup k výstupom projektu,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súbor vizuálnych materiálov zobrazujúcich rôzne témy, ktorým sa program v oblasti zdravia venuje,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online návody (videá na jej webových stránkach, ktoré radia žiadateľom a prijímateľom),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pravidelné správy na internete či sociálnych médiách, ktoré zainteresované strany informujú o aktivitách a výsledkoch v rámci projektu,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zástupcovia Chafea sa zúčastnili aj na Dni Európy v Luxembursku, ktorý spoluorganizovalo GR SANTE.</w:t>
      </w:r>
    </w:p>
    <w:p>
      <w:pPr>
        <w:spacing w:before="240" w:line="360" w:lineRule="auto"/>
        <w:jc w:val="both"/>
        <w:rPr>
          <w:noProof/>
        </w:rPr>
      </w:pPr>
      <w:r>
        <w:rPr>
          <w:noProof/>
        </w:rPr>
        <w:t>So zameraním na kľúčové komunikačné priority určené GR SANTE a nad rámec niekoľkých ďalších podujatí Chafea pripravila: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pracovný seminár o registroch zriedkavých chorôb a stánok na marcovej výstave v španielskom Madride, ktorý prilákal 160 účastníkov,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pracovný seminár a stánok v rámci májovej Medzinárodnej konferencie o integrovanej starostlivosti v írskom Dubline (211 účastníkov),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septembrové zasadnutie zoskupenia pod názvom „Migrácia a zdravie: spôsoby integrácie“ v belgickom Bruseli,</w:t>
      </w:r>
    </w:p>
    <w:p>
      <w:pPr>
        <w:pStyle w:val="ListParagraph"/>
        <w:numPr>
          <w:ilvl w:val="0"/>
          <w:numId w:val="60"/>
        </w:numPr>
        <w:spacing w:before="240" w:line="360" w:lineRule="auto"/>
        <w:jc w:val="both"/>
        <w:rPr>
          <w:noProof/>
        </w:rPr>
      </w:pPr>
      <w:r>
        <w:rPr>
          <w:rFonts w:ascii="Times New Roman" w:hAnsi="Times New Roman"/>
          <w:noProof/>
        </w:rPr>
        <w:t>októbrové zasadnutie zoskupenia na tému neprenosných chorôb v dánskom Odense.</w:t>
      </w:r>
    </w:p>
    <w:p>
      <w:pPr>
        <w:spacing w:line="360" w:lineRule="auto"/>
        <w:jc w:val="both"/>
        <w:rPr>
          <w:rFonts w:cs="Times New Roman"/>
          <w:noProof/>
        </w:rPr>
      </w:pPr>
      <w:r>
        <w:rPr>
          <w:noProof/>
        </w:rPr>
        <w:t>Pokiaľ ide o monitorovanie vykonávania programu, Chafea v spolupráci s externými expertmi preskúmala granty na prevádzku pridelené v medziach rámcových partnerských dohôd v rokoch 2014 – 2017.</w:t>
      </w:r>
    </w:p>
    <w:p>
      <w:pPr>
        <w:spacing w:before="240" w:line="360" w:lineRule="auto"/>
        <w:jc w:val="both"/>
        <w:rPr>
          <w:noProof/>
        </w:rPr>
      </w:pPr>
      <w:r>
        <w:rPr>
          <w:noProof/>
        </w:rPr>
        <w:t>Z výsledkov preskúmania vyplýva, že ciele stanovené v rámcových partnerských dohodách boli v súlade s cieľmi programu v oblasti zdravia, ako aj s cieľmi politiky EÚ v oblasti verejného zdravia, že organizáciám prijímateľov sa s miernymi odchýlkami podarilo vykonať viacročné pracovné programy stanovené v dohodách a že na tento účel boli vypracované kvalitné správy a nástroje. Preskúmaním sa zistilo aj niekoľko oblastí možných zlepšení: administratívne postupy, prepojenie výberu mimovládnych organizácií s prioritami programu a rámec monitorovania.</w:t>
      </w:r>
    </w:p>
    <w:p>
      <w:pPr>
        <w:spacing w:line="360" w:lineRule="auto"/>
        <w:jc w:val="both"/>
        <w:rPr>
          <w:rFonts w:cs="Times New Roman"/>
          <w:noProof/>
          <w:sz w:val="36"/>
          <w:highlight w:val="yellow"/>
        </w:rPr>
      </w:pPr>
      <w:r>
        <w:rPr>
          <w:noProof/>
        </w:rPr>
        <w:t>Viac informácií o výsledkoch preskúmania rámcových partnerských dohôd nájdete v databáze programu v oblasti zdravia</w:t>
      </w:r>
      <w:r>
        <w:rPr>
          <w:rStyle w:val="FootnoteReference"/>
          <w:noProof/>
        </w:rPr>
        <w:footnoteReference w:id="26"/>
      </w:r>
      <w:r>
        <w:rPr>
          <w:noProof/>
        </w:rPr>
        <w:t>.</w:t>
      </w:r>
    </w:p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993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292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Nariadenie Európskeho parlamentu a Rady (EÚ) č. 282/2014 z 11. marca 2014 o ustanovení tretieho akčného programu pre Úniu v oblasti zdravia (2014 – 2020), ktorým sa zrušuje rozhodnutie č. 1350/2007/ES (Ú. v. EÚ L 86, 21. 3.2014, s. 1).</w:t>
      </w:r>
    </w:p>
  </w:footnote>
  <w:footnote w:id="3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16"/>
            <w:szCs w:val="16"/>
          </w:rPr>
          <w:t>https://eur-lex.europa.eu/legal-content/EN/TXT/PDF/?uri=CELEX:32014R0282&amp;from=EN</w:t>
        </w:r>
      </w:hyperlink>
      <w:r>
        <w:rPr>
          <w:rFonts w:ascii="Times New Roman" w:hAnsi="Times New Roman"/>
          <w:sz w:val="16"/>
          <w:szCs w:val="16"/>
        </w:rPr>
        <w:t>, kapitola V, článok 17.</w:t>
      </w:r>
    </w:p>
  </w:footnote>
  <w:footnote w:id="4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Nariadenie Európskeho parlamentu a Rady (EÚ) 2017/745 z 5. apríla 2017 o zdravotníckych pomôckach, zmene smernice 2001/83/ES, nariadenia (ES) č. 178/2002 a nariadenia (ES) č. 1223/2009 a o zrušení smerníc Rady 90/385/EHS a 93/42/EHS </w:t>
      </w:r>
      <w:r>
        <w:rPr>
          <w:rFonts w:ascii="Times New Roman" w:hAnsi="Times New Roman"/>
          <w:i/>
          <w:sz w:val="16"/>
          <w:szCs w:val="16"/>
        </w:rPr>
        <w:t>(</w:t>
      </w:r>
      <w:r>
        <w:rPr>
          <w:rStyle w:val="Emphasis"/>
          <w:rFonts w:ascii="Times New Roman" w:hAnsi="Times New Roman"/>
          <w:i w:val="0"/>
          <w:sz w:val="16"/>
          <w:szCs w:val="16"/>
        </w:rPr>
        <w:t>Ú. v. EÚ L 117, 5.5.2017, s. 1).</w:t>
      </w:r>
    </w:p>
  </w:footnote>
  <w:footnote w:id="5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Národnými kontaktnými miestami (NKM) sú národní experti na program v oblasti zdravia v jednotlivých členských štátoch a zapojených krajinách. Zástupcov NKM menujú ministri zdravotníctva príslušnej krajiny. Osobitnou úlohou NKM je pomáhať výkonnej agentúre pre spotrebiteľov, zdravie, poľnohospodárstvo a potraviny (Chafea): s vykonávaním programu v oblasti zdravia na vnútroštátnej úrovni, rozširovaním informácií o výsledkoch programu v oblasti zdravia, ako aj s informovaním o dosahu programu v príslušnej krajine, v ktorej pôsobia.</w:t>
      </w:r>
    </w:p>
  </w:footnote>
  <w:footnote w:id="6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  <w:sz w:val="16"/>
            <w:szCs w:val="16"/>
          </w:rPr>
          <w:t>https://eu-jav.com/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7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Oznámenie Komisie Európskemu parlamentu, Rade, Európskemu hospodárskemu a sociálnemu výboru a Výboru regiónov: Posilnená spolupráca v boji proti chorobám, ktorým sa dá predchádzať očkovaním, COM(2018) 245 final z 26. 4. 2018.</w:t>
      </w:r>
    </w:p>
  </w:footnote>
  <w:footnote w:id="8">
    <w:p>
      <w:pPr>
        <w:pStyle w:val="FootnoteText"/>
        <w:spacing w:after="0"/>
        <w:contextualSpacing/>
        <w:rPr>
          <w:rFonts w:ascii="Times New Roman" w:eastAsia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Odporúčanie Rady zo 7. decembra 2018 o posilnenej spolupráci v boji proti chorobám, ktorým sa predchádzať očkovaním (</w:t>
      </w:r>
      <w:r>
        <w:rPr>
          <w:rFonts w:ascii="Times New Roman" w:hAnsi="Times New Roman"/>
          <w:iCs/>
          <w:sz w:val="16"/>
          <w:szCs w:val="16"/>
        </w:rPr>
        <w:t>Ú. v. EÚ C 466, 28.12.2018, s. 1).</w:t>
      </w:r>
    </w:p>
  </w:footnote>
  <w:footnote w:id="9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https://ec.europa.eu/health/preparedness_response/joint_procurement_sk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10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ascii="Times New Roman" w:hAnsi="Times New Roman"/>
            <w:sz w:val="16"/>
            <w:szCs w:val="16"/>
          </w:rPr>
          <w:t>https://jahee.iss.it/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11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Nerovnosti v oblasti zdravia v EÚ, Marmotova správa (</w:t>
      </w:r>
      <w:r>
        <w:rPr>
          <w:rFonts w:ascii="Times New Roman" w:hAnsi="Times New Roman"/>
          <w:i/>
          <w:iCs/>
          <w:sz w:val="16"/>
          <w:szCs w:val="16"/>
        </w:rPr>
        <w:t>Health inequalities in the EU, Marmot report</w:t>
      </w:r>
      <w:r>
        <w:rPr>
          <w:rFonts w:ascii="Times New Roman" w:hAnsi="Times New Roman"/>
          <w:sz w:val="16"/>
          <w:szCs w:val="16"/>
        </w:rPr>
        <w:t xml:space="preserve">): </w:t>
      </w:r>
      <w:hyperlink r:id="rId5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https://ec.europa.eu/health/sites/health/files/social_determinants/docs/healthinequalitiesineu_2013_en.pdf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12">
    <w:p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Style w:val="FootnoteReference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 Znižovanie nerovností v oblasti zdravia je jednou z priorít Európskeho fondu regionálneho rozvoja (EFRR) na roky 2014 – 2020.</w:t>
      </w:r>
    </w:p>
  </w:footnote>
  <w:footnote w:id="13">
    <w:p>
      <w:pPr>
        <w:pStyle w:val="NormalWeb"/>
        <w:spacing w:after="0"/>
        <w:rPr>
          <w:rFonts w:eastAsia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Smernica Európskeho parlamentu a Rady 2001/83/ES zo 6. novembra 2001, ktorou sa ustanovuje zákonník Spoločenstva o humánnych liekoch (</w:t>
      </w:r>
      <w:r>
        <w:rPr>
          <w:iCs/>
          <w:sz w:val="16"/>
          <w:szCs w:val="16"/>
        </w:rPr>
        <w:t>Ú. v. ES L 311, 28.11.2001, s. 67).</w:t>
      </w:r>
    </w:p>
  </w:footnote>
  <w:footnote w:id="14">
    <w:p>
      <w:pPr>
        <w:pStyle w:val="NormalWeb"/>
        <w:spacing w:after="0"/>
        <w:rPr>
          <w:rFonts w:eastAsia="Times New Roman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Smernica Európskeho parlamentu a Rady 2001/82/ES zo 6. novembra 2001, ktorou sa ustanovuje Zákonník Spoločenstva o veterinárnych liekoch (</w:t>
      </w:r>
      <w:r>
        <w:rPr>
          <w:iCs/>
          <w:sz w:val="16"/>
          <w:szCs w:val="16"/>
        </w:rPr>
        <w:t>Ú. v. ES L 311, 28.11.2001, s. 1).</w:t>
      </w:r>
    </w:p>
  </w:footnote>
  <w:footnote w:id="15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https://www.edqm.eu/en/european-pharmacopoeia-ph-eur-9th-edition.</w:t>
      </w:r>
    </w:p>
  </w:footnote>
  <w:footnote w:id="16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Rozhodnutie Rady 94/358/ES zo 16. júna 1994, ktorým sa v mene Európskeho spoločenstva prijíma Dohovor o vypracovaní Európskeho liekopisu (Ú. v. ES L 158, 25.6.1994, s. 17).</w:t>
      </w:r>
    </w:p>
  </w:footnote>
  <w:footnote w:id="17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Európske</w:t>
      </w:r>
      <w:r>
        <w:rPr>
          <w:rFonts w:ascii="Times New Roman" w:hAnsi="Times New Roman"/>
          <w:color w:val="222222"/>
          <w:sz w:val="16"/>
          <w:szCs w:val="16"/>
        </w:rPr>
        <w:t xml:space="preserve"> riaditeľstvo pre kvalitu liekov a zdravotnej starostlivosti je riaditeľstvom Rady Európy,</w:t>
      </w:r>
      <w:r>
        <w:rPr>
          <w:rFonts w:ascii="Times New Roman" w:hAnsi="Times New Roman"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16"/>
            <w:szCs w:val="16"/>
          </w:rPr>
          <w:t>https://www.edqm.eu/</w:t>
        </w:r>
      </w:hyperlink>
      <w:r>
        <w:rPr>
          <w:rFonts w:ascii="Times New Roman" w:hAnsi="Times New Roman"/>
          <w:color w:val="222222"/>
          <w:sz w:val="16"/>
          <w:szCs w:val="16"/>
        </w:rPr>
        <w:t>.</w:t>
      </w:r>
    </w:p>
  </w:footnote>
  <w:footnote w:id="18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Osobitný dôraz sa kladie na vypracovanie takých metód, ktorými sa nahradia, obmedzia a zjemnia pokusy na zvieratách používané na účely kontroly kvality biologických látok v súlade so smernicou Európskeho parlamentu a Rady 2010/63/EÚ z 22. septembra 2010 o ochrane zvierat používaných na vedecké účely (</w:t>
      </w:r>
      <w:r>
        <w:rPr>
          <w:rFonts w:ascii="Times New Roman" w:hAnsi="Times New Roman"/>
          <w:iCs/>
          <w:sz w:val="16"/>
          <w:szCs w:val="16"/>
        </w:rPr>
        <w:t>Ú. v. EÚ L 276, 20.10.2010, s. 33)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9">
    <w:p>
      <w:pPr>
        <w:pStyle w:val="FootnoteText"/>
        <w:spacing w:after="0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Nariadenie Európskeho parlamentu a Rady (EÚ) 2017/746 z 5. apríla 2017 o diagnostických zdravotníckych pomôckach </w:t>
      </w:r>
      <w:r>
        <w:rPr>
          <w:rFonts w:ascii="Times New Roman" w:hAnsi="Times New Roman"/>
          <w:i/>
          <w:iCs/>
          <w:sz w:val="16"/>
          <w:szCs w:val="16"/>
        </w:rPr>
        <w:t>in vitro</w:t>
      </w:r>
      <w:r>
        <w:rPr>
          <w:rFonts w:ascii="Times New Roman" w:hAnsi="Times New Roman"/>
          <w:sz w:val="16"/>
          <w:szCs w:val="16"/>
        </w:rPr>
        <w:t xml:space="preserve"> a o zrušení smernice 98/79/ES a rozhodnutia Komisie 2010/227/EÚ (Ú. v. EÚ L 117, 5.5.2017, s. 176).</w:t>
      </w:r>
    </w:p>
  </w:footnote>
  <w:footnote w:id="20">
    <w:p>
      <w:pPr>
        <w:pStyle w:val="FootnoteTex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Vykonávacie rozhodnutie Komisie 2013/770/EÚ zo 17. decembra 2013, ktorým sa zriaďuje Výkonná agentúra pre spotrebiteľov, zdravie a potraviny a zrušuje rozhodnutie 2004/858/ES (Ú. v. EÚ L 341, 18.12.2013, s. 69). </w:t>
      </w:r>
    </w:p>
  </w:footnote>
  <w:footnote w:id="21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Vykonávacie rozhodnutie Komisie z 26. 1. 2017 o prijatí pracovného programu na rok 2017 v rámci tretieho akčného programu pre Úniu v oblasti zdravia (2014 – 2020) a finančného príspevku EÚ k Rámcovému dohovoru Svetovej zdravotníckej organizácie o kontrole tabaku, ktoré slúži ako rozhodnutie o financovaní, C(2017) 316 final: </w:t>
      </w:r>
      <w:hyperlink r:id="rId7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https://ec.europa.eu/health/sites/health/files/programme/docs/wp2017_en.pdf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22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V čiastkovom súčte (pozostávajúcom z 238 subjektov) nie sú zahrnuté zmluvy s jednotlivými expertmi zúčastňujúcimi sa na zasadnutiach vedeckých výborov, hodnotiteľmi výziev na predkladanie návrhov a pod.</w:t>
      </w:r>
    </w:p>
  </w:footnote>
  <w:footnote w:id="23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https://ec.europa.eu/commission/publications/president-junckers-political-guidelines_sk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24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16"/>
            <w:szCs w:val="16"/>
          </w:rPr>
          <w:t>https://ec.europa.eu/info/departments/health-and-food-safety/what-we-do-health-and-food-safety_en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  <w:footnote w:id="25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V roku 2017 prebehlo šesť jednotných akcií, do ktorých sa zapojilo 160 nominovaných príslušných orgánov, ktoré oslovili celkom 217 prijímateľov po zarátaní prepojených subjektov. V roku 2017 sa do jednotnej akcie zapojilo v priemere 36 partnerov.</w:t>
      </w:r>
    </w:p>
  </w:footnote>
  <w:footnote w:id="26">
    <w:p>
      <w:pPr>
        <w:pStyle w:val="FootnoteText"/>
        <w:spacing w:after="0"/>
        <w:contextualSpacing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16"/>
            <w:szCs w:val="16"/>
          </w:rPr>
          <w:t>https://webgate.ec.europa.eu/chafea_pdb/health/search?context=HOME&amp;texttosearch=operating+grant</w:t>
        </w:r>
      </w:hyperlink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68"/>
    </w:tblGrid>
    <w:tr>
      <w:trPr>
        <w:trHeight w:val="426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>
          <w:pPr>
            <w:widowControl w:val="0"/>
            <w:autoSpaceDE w:val="0"/>
            <w:autoSpaceDN w:val="0"/>
            <w:spacing w:after="0"/>
            <w:ind w:right="8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>
    <w:pPr>
      <w:pStyle w:val="Header"/>
    </w:pPr>
    <w:r>
      <w:object w:dxaOrig="9072" w:dyaOrig="12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5.1pt;height:620.85pt" o:ole="">
          <v:imagedata r:id="rId1" o:title=""/>
        </v:shape>
        <o:OLEObject Type="Embed" ProgID="Word.Document.12" ShapeID="_x0000_i1026" DrawAspect="Content" ObjectID="_1644841664" r:id="rId2">
          <o:FieldCodes>\s</o:FieldCodes>
        </o:OLEObject>
      </w:obje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09AA6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6FC64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2A06A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F36B9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88CFC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F8CFF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1F638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0329818"/>
    <w:name w:val="0,4131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DC5A10"/>
    <w:multiLevelType w:val="hybridMultilevel"/>
    <w:tmpl w:val="CB40E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91BA6"/>
    <w:multiLevelType w:val="hybridMultilevel"/>
    <w:tmpl w:val="CAFE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F4D7F"/>
    <w:multiLevelType w:val="hybridMultilevel"/>
    <w:tmpl w:val="2054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33D9C"/>
    <w:multiLevelType w:val="hybridMultilevel"/>
    <w:tmpl w:val="93C6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00D85"/>
    <w:multiLevelType w:val="hybridMultilevel"/>
    <w:tmpl w:val="B16C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F713B"/>
    <w:multiLevelType w:val="hybridMultilevel"/>
    <w:tmpl w:val="4CDC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8323A3"/>
    <w:multiLevelType w:val="hybridMultilevel"/>
    <w:tmpl w:val="CBA8620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8F2C54"/>
    <w:multiLevelType w:val="multilevel"/>
    <w:tmpl w:val="ADE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062B06"/>
    <w:multiLevelType w:val="multilevel"/>
    <w:tmpl w:val="7592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A741B3C"/>
    <w:multiLevelType w:val="hybridMultilevel"/>
    <w:tmpl w:val="91B68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C78B8"/>
    <w:multiLevelType w:val="multilevel"/>
    <w:tmpl w:val="2ED4F4D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>
    <w:nsid w:val="1C5D40E1"/>
    <w:multiLevelType w:val="hybridMultilevel"/>
    <w:tmpl w:val="722C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4922DC"/>
    <w:multiLevelType w:val="hybridMultilevel"/>
    <w:tmpl w:val="6048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20986"/>
    <w:multiLevelType w:val="hybridMultilevel"/>
    <w:tmpl w:val="373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572347F"/>
    <w:multiLevelType w:val="hybridMultilevel"/>
    <w:tmpl w:val="5E94D74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A412D5"/>
    <w:multiLevelType w:val="hybridMultilevel"/>
    <w:tmpl w:val="E5E4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CA8C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132B5D"/>
    <w:multiLevelType w:val="hybridMultilevel"/>
    <w:tmpl w:val="6A6C2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419EC"/>
    <w:multiLevelType w:val="hybridMultilevel"/>
    <w:tmpl w:val="3234604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2A0967B8"/>
    <w:multiLevelType w:val="multilevel"/>
    <w:tmpl w:val="5178F13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2."/>
      <w:lvlJc w:val="left"/>
      <w:pPr>
        <w:ind w:left="86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2C656211"/>
    <w:multiLevelType w:val="hybridMultilevel"/>
    <w:tmpl w:val="AECA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1">
    <w:nsid w:val="2F6E5929"/>
    <w:multiLevelType w:val="hybridMultilevel"/>
    <w:tmpl w:val="62B6553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32327534"/>
    <w:multiLevelType w:val="hybridMultilevel"/>
    <w:tmpl w:val="4DE8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545D84"/>
    <w:multiLevelType w:val="hybridMultilevel"/>
    <w:tmpl w:val="D304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44427"/>
    <w:multiLevelType w:val="hybridMultilevel"/>
    <w:tmpl w:val="C210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D2CF2"/>
    <w:multiLevelType w:val="multilevel"/>
    <w:tmpl w:val="0AACA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C54519"/>
    <w:multiLevelType w:val="multilevel"/>
    <w:tmpl w:val="19F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2F02C9E"/>
    <w:multiLevelType w:val="hybridMultilevel"/>
    <w:tmpl w:val="B82C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F2058A"/>
    <w:multiLevelType w:val="hybridMultilevel"/>
    <w:tmpl w:val="5C06B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>
    <w:nsid w:val="44DA2072"/>
    <w:multiLevelType w:val="hybridMultilevel"/>
    <w:tmpl w:val="E39C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3">
    <w:nsid w:val="4CD07F4B"/>
    <w:multiLevelType w:val="hybridMultilevel"/>
    <w:tmpl w:val="49BE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4A5F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1B54209"/>
    <w:multiLevelType w:val="hybridMultilevel"/>
    <w:tmpl w:val="145C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391591"/>
    <w:multiLevelType w:val="multilevel"/>
    <w:tmpl w:val="C830590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0">
    <w:nsid w:val="5C4B6584"/>
    <w:multiLevelType w:val="multilevel"/>
    <w:tmpl w:val="9B3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0945F34"/>
    <w:multiLevelType w:val="hybridMultilevel"/>
    <w:tmpl w:val="309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2135A7"/>
    <w:multiLevelType w:val="hybridMultilevel"/>
    <w:tmpl w:val="487E84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A12FA4"/>
    <w:multiLevelType w:val="multilevel"/>
    <w:tmpl w:val="E9B68C2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860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5">
    <w:nsid w:val="663977AF"/>
    <w:multiLevelType w:val="hybridMultilevel"/>
    <w:tmpl w:val="789A437E"/>
    <w:name w:val="0,8244091"/>
    <w:lvl w:ilvl="0" w:tplc="1F86C70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0D2527"/>
    <w:multiLevelType w:val="hybridMultilevel"/>
    <w:tmpl w:val="B134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8">
    <w:nsid w:val="6AB15973"/>
    <w:multiLevelType w:val="multilevel"/>
    <w:tmpl w:val="0AF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447D2"/>
    <w:multiLevelType w:val="hybridMultilevel"/>
    <w:tmpl w:val="933E1D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316D9"/>
    <w:multiLevelType w:val="hybridMultilevel"/>
    <w:tmpl w:val="77D6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3E6E66"/>
    <w:multiLevelType w:val="hybridMultilevel"/>
    <w:tmpl w:val="1BCA743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2">
    <w:nsid w:val="7C27490B"/>
    <w:multiLevelType w:val="hybridMultilevel"/>
    <w:tmpl w:val="C00A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4">
    <w:nsid w:val="7FAC2CE0"/>
    <w:multiLevelType w:val="hybridMultilevel"/>
    <w:tmpl w:val="98BE33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37"/>
  </w:num>
  <w:num w:numId="4">
    <w:abstractNumId w:val="57"/>
  </w:num>
  <w:num w:numId="5">
    <w:abstractNumId w:val="30"/>
  </w:num>
  <w:num w:numId="6">
    <w:abstractNumId w:val="40"/>
  </w:num>
  <w:num w:numId="7">
    <w:abstractNumId w:val="22"/>
  </w:num>
  <w:num w:numId="8">
    <w:abstractNumId w:val="42"/>
  </w:num>
  <w:num w:numId="9">
    <w:abstractNumId w:val="48"/>
  </w:num>
  <w:num w:numId="10">
    <w:abstractNumId w:val="49"/>
  </w:num>
  <w:num w:numId="11">
    <w:abstractNumId w:val="29"/>
  </w:num>
  <w:num w:numId="12">
    <w:abstractNumId w:val="47"/>
  </w:num>
  <w:num w:numId="13">
    <w:abstractNumId w:val="63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55"/>
  </w:num>
  <w:num w:numId="19">
    <w:abstractNumId w:val="46"/>
  </w:num>
  <w:num w:numId="20">
    <w:abstractNumId w:val="18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58"/>
  </w:num>
  <w:num w:numId="26">
    <w:abstractNumId w:val="21"/>
  </w:num>
  <w:num w:numId="27">
    <w:abstractNumId w:val="9"/>
  </w:num>
  <w:num w:numId="28">
    <w:abstractNumId w:val="61"/>
  </w:num>
  <w:num w:numId="29">
    <w:abstractNumId w:val="25"/>
  </w:num>
  <w:num w:numId="30">
    <w:abstractNumId w:val="32"/>
  </w:num>
  <w:num w:numId="31">
    <w:abstractNumId w:val="26"/>
  </w:num>
  <w:num w:numId="32">
    <w:abstractNumId w:val="8"/>
  </w:num>
  <w:num w:numId="33">
    <w:abstractNumId w:val="31"/>
  </w:num>
  <w:num w:numId="34">
    <w:abstractNumId w:val="17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0"/>
  </w:num>
  <w:num w:numId="40">
    <w:abstractNumId w:val="12"/>
  </w:num>
  <w:num w:numId="41">
    <w:abstractNumId w:val="35"/>
  </w:num>
  <w:num w:numId="42">
    <w:abstractNumId w:val="16"/>
  </w:num>
  <w:num w:numId="43">
    <w:abstractNumId w:val="27"/>
  </w:num>
  <w:num w:numId="44">
    <w:abstractNumId w:val="2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8"/>
  </w:num>
  <w:num w:numId="48">
    <w:abstractNumId w:val="15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</w:num>
  <w:num w:numId="51">
    <w:abstractNumId w:val="41"/>
  </w:num>
  <w:num w:numId="52">
    <w:abstractNumId w:val="19"/>
  </w:num>
  <w:num w:numId="53">
    <w:abstractNumId w:val="56"/>
  </w:num>
  <w:num w:numId="54">
    <w:abstractNumId w:val="33"/>
  </w:num>
  <w:num w:numId="55">
    <w:abstractNumId w:val="45"/>
  </w:num>
  <w:num w:numId="56">
    <w:abstractNumId w:val="38"/>
  </w:num>
  <w:num w:numId="57">
    <w:abstractNumId w:val="62"/>
  </w:num>
  <w:num w:numId="58">
    <w:abstractNumId w:val="34"/>
  </w:num>
  <w:num w:numId="59">
    <w:abstractNumId w:val="13"/>
  </w:num>
  <w:num w:numId="60">
    <w:abstractNumId w:val="24"/>
  </w:num>
  <w:num w:numId="61">
    <w:abstractNumId w:val="60"/>
  </w:num>
  <w:num w:numId="62">
    <w:abstractNumId w:val="39"/>
  </w:num>
  <w:num w:numId="63">
    <w:abstractNumId w:val="44"/>
  </w:num>
  <w:num w:numId="64">
    <w:abstractNumId w:val="43"/>
  </w:num>
  <w:num w:numId="65">
    <w:abstractNumId w:val="11"/>
  </w:num>
  <w:num w:numId="66">
    <w:abstractNumId w:val="64"/>
  </w:num>
  <w:num w:numId="67">
    <w:abstractNumId w:val="53"/>
  </w:num>
  <w:num w:numId="68">
    <w:abstractNumId w:val="59"/>
  </w:num>
  <w:num w:numId="69">
    <w:abstractNumId w:val="23"/>
  </w:num>
  <w:num w:numId="7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BC677255-52D2-41D6-BDFB-FE3729BDF181"/>
    <w:docVar w:name="LW_COVERPAGE_TYPE" w:val="1"/>
    <w:docVar w:name="LW_CROSSREFERENCE" w:val="{SWD(2020) 52 final}"/>
    <w:docVar w:name="LW_DocType" w:val="NORMAL"/>
    <w:docVar w:name="LW_EMISSION" w:val="10. 3. 2020"/>
    <w:docVar w:name="LW_EMISSION_ISODATE" w:val="2020-03-10"/>
    <w:docVar w:name="LW_EMISSION_LOCATION" w:val="BRX"/>
    <w:docVar w:name="LW_EMISSION_PREFIX" w:val="V Bruseli"/>
    <w:docVar w:name="LW_EMISSION_SUFFIX" w:val=" 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8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o vykonávaní tretieho ak\u269?ného plánu EÚ v oblasti zdravia za rok 2017"/>
    <w:docVar w:name="LW_TYPE.DOC.CP" w:val="SPRÁVA KOMISIE EURÓPSKEMU PARLAMENTU A R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12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5"/>
      </w:numPr>
      <w:spacing w:after="240" w:line="240" w:lineRule="auto"/>
      <w:jc w:val="both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eastAsia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40"/>
        <w:tab w:val="right" w:leader="dot" w:pos="9063"/>
      </w:tabs>
    </w:pPr>
    <w:rPr>
      <w:rFonts w:eastAsia="Calibri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ind w:left="44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880"/>
        <w:tab w:val="right" w:leader="dot" w:pos="9063"/>
      </w:tabs>
      <w:spacing w:after="100"/>
      <w:ind w:left="142"/>
    </w:pPr>
    <w:rPr>
      <w:rFonts w:eastAsia="Arial Unicode MS" w:cs="Times New Roman"/>
      <w:noProof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 w:cs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unhideWhenUsed/>
    <w:rPr>
      <w:color w:val="800080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semiHidden/>
    <w:unhideWhenUsed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Appel note de bas de p,BVI fnr,Footnote Refernece,Fußnotenzeichen_Raxen,callout,Footnote Reference Number,SUPERS,Footnote reference number,note TESI,fr,o"/>
    <w:uiPriority w:val="99"/>
    <w:unhideWhenUsed/>
    <w:rPr>
      <w:vertAlign w:val="superscript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cs="Times New Roman"/>
      <w:sz w:val="24"/>
    </w:rPr>
  </w:style>
  <w:style w:type="paragraph" w:customStyle="1" w:styleId="Text1">
    <w:name w:val="Text 1"/>
    <w:basedOn w:val="Normal"/>
    <w:link w:val="Text1Char1"/>
    <w:pPr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eastAsia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eastAsia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eastAsia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eastAsia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eastAsia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eastAsia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eastAsia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eastAsia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eastAsia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eastAsia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eastAsia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eastAsia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pPr>
      <w:numPr>
        <w:numId w:val="14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pPr>
      <w:numPr>
        <w:numId w:val="15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pPr>
      <w:numPr>
        <w:numId w:val="16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pPr>
      <w:numPr>
        <w:numId w:val="17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ListDash">
    <w:name w:val="List Dash"/>
    <w:basedOn w:val="Normal"/>
    <w:pPr>
      <w:numPr>
        <w:numId w:val="18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NoList"/>
    <w:pPr>
      <w:numPr>
        <w:numId w:val="19"/>
      </w:numPr>
    </w:pPr>
  </w:style>
  <w:style w:type="character" w:styleId="PageNumber">
    <w:name w:val="page number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pPr>
      <w:numPr>
        <w:numId w:val="21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pPr>
      <w:numPr>
        <w:numId w:val="22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pPr>
      <w:numPr>
        <w:numId w:val="23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pPr>
      <w:numPr>
        <w:numId w:val="24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TypedudocumentChar">
    <w:name w:val="Type du document Char"/>
    <w:link w:val="Typedudocument"/>
    <w:rPr>
      <w:rFonts w:ascii="Times New Roman" w:eastAsia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Calibri" w:hAnsi="Tahoma" w:cs="Tahoma"/>
      <w:shd w:val="clear" w:color="auto" w:fill="000080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eastAsia="Times New Roman" w:cs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paragraph" w:styleId="NormalWeb">
    <w:name w:val="Normal (Web)"/>
    <w:basedOn w:val="Normal"/>
    <w:uiPriority w:val="99"/>
    <w:unhideWhenUsed/>
    <w:rPr>
      <w:rFonts w:eastAsia="Calibri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1111111">
    <w:name w:val="1 / 1.1 / 1.1.11"/>
    <w:basedOn w:val="NoList"/>
    <w:next w:val="111111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</w:style>
  <w:style w:type="table" w:styleId="LightList-Accent4">
    <w:name w:val="Light List Accent 4"/>
    <w:basedOn w:val="TableNormal"/>
    <w:uiPriority w:val="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footnotedefaultstyleChar">
    <w:name w:val="footnote default style Char"/>
    <w:basedOn w:val="DefaultParagraphFont"/>
    <w:link w:val="footnotedefaultstyle"/>
    <w:locked/>
    <w:rPr>
      <w:rFonts w:ascii="Verdana" w:hAnsi="Verdana"/>
    </w:rPr>
  </w:style>
  <w:style w:type="paragraph" w:customStyle="1" w:styleId="footnotedefaultstyle">
    <w:name w:val="footnote default style"/>
    <w:basedOn w:val="Normal"/>
    <w:link w:val="footnotedefaultstyleChar"/>
    <w:pPr>
      <w:spacing w:after="0" w:line="240" w:lineRule="auto"/>
      <w:ind w:left="357" w:hanging="357"/>
      <w:jc w:val="both"/>
    </w:pPr>
    <w:rPr>
      <w:rFonts w:ascii="Verdana" w:hAnsi="Verdana"/>
    </w:rPr>
  </w:style>
  <w:style w:type="paragraph" w:customStyle="1" w:styleId="rtejustify">
    <w:name w:val="rtejustify"/>
    <w:basedOn w:val="Normal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emission0">
    <w:name w:val="emission"/>
    <w:basedOn w:val="Normal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customStyle="1" w:styleId="rfrenceinstitutionnelle0">
    <w:name w:val="rfrenceinstitutionnelle"/>
    <w:basedOn w:val="Normal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Text1Char1">
    <w:name w:val="Text 1 Char1"/>
    <w:basedOn w:val="DefaultParagraphFont"/>
    <w:link w:val="Text1"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12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35"/>
      </w:numPr>
      <w:spacing w:after="240" w:line="240" w:lineRule="auto"/>
      <w:jc w:val="both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eastAsia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40"/>
        <w:tab w:val="right" w:leader="dot" w:pos="9063"/>
      </w:tabs>
    </w:pPr>
    <w:rPr>
      <w:rFonts w:eastAsia="Calibri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ind w:left="44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880"/>
        <w:tab w:val="right" w:leader="dot" w:pos="9063"/>
      </w:tabs>
      <w:spacing w:after="100"/>
      <w:ind w:left="142"/>
    </w:pPr>
    <w:rPr>
      <w:rFonts w:eastAsia="Arial Unicode MS" w:cs="Times New Roman"/>
      <w:noProof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 w:cs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 w:cs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 w:cs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 w:cs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 w:cs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unhideWhenUsed/>
    <w:rPr>
      <w:color w:val="800080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semiHidden/>
    <w:unhideWhenUsed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Appel note de bas de p,BVI fnr,Footnote Refernece,Fußnotenzeichen_Raxen,callout,Footnote Reference Number,SUPERS,Footnote reference number,note TESI,fr,o"/>
    <w:uiPriority w:val="99"/>
    <w:unhideWhenUsed/>
    <w:rPr>
      <w:vertAlign w:val="superscript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cs="Times New Roman"/>
      <w:sz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cs="Times New Roman"/>
      <w:sz w:val="24"/>
    </w:rPr>
  </w:style>
  <w:style w:type="paragraph" w:customStyle="1" w:styleId="Text1">
    <w:name w:val="Text 1"/>
    <w:basedOn w:val="Normal"/>
    <w:link w:val="Text1Char1"/>
    <w:pPr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eastAsia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eastAsia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eastAsia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eastAsia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eastAsia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eastAsia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eastAsia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</w:pPr>
    <w:rPr>
      <w:rFonts w:eastAsia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2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8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9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0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1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2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eastAsia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3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eastAsia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eastAsia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eastAsia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eastAsia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eastAsia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link w:val="TypedudocumentChar"/>
    <w:pPr>
      <w:spacing w:before="360"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eastAsia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eastAsia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eastAsia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eastAsia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eastAsia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pPr>
      <w:numPr>
        <w:numId w:val="14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pPr>
      <w:numPr>
        <w:numId w:val="15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pPr>
      <w:numPr>
        <w:numId w:val="16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pPr>
      <w:numPr>
        <w:numId w:val="17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ListDash">
    <w:name w:val="List Dash"/>
    <w:basedOn w:val="Normal"/>
    <w:pPr>
      <w:numPr>
        <w:numId w:val="18"/>
      </w:num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NoList"/>
    <w:pPr>
      <w:numPr>
        <w:numId w:val="19"/>
      </w:numPr>
    </w:pPr>
  </w:style>
  <w:style w:type="character" w:styleId="PageNumber">
    <w:name w:val="page number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pPr>
      <w:numPr>
        <w:numId w:val="21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pPr>
      <w:numPr>
        <w:numId w:val="22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pPr>
      <w:numPr>
        <w:numId w:val="23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pPr>
      <w:numPr>
        <w:numId w:val="24"/>
      </w:numPr>
      <w:spacing w:before="120"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TypedudocumentChar">
    <w:name w:val="Type du document Char"/>
    <w:link w:val="Typedudocument"/>
    <w:rPr>
      <w:rFonts w:ascii="Times New Roman" w:eastAsia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Calibri" w:hAnsi="Tahoma" w:cs="Tahoma"/>
      <w:shd w:val="clear" w:color="auto" w:fill="000080"/>
    </w:rPr>
  </w:style>
  <w:style w:type="paragraph" w:customStyle="1" w:styleId="EntInstit">
    <w:name w:val="EntInstit"/>
    <w:basedOn w:val="NormalConseil"/>
    <w:pPr>
      <w:jc w:val="right"/>
    </w:pPr>
    <w:rPr>
      <w:b/>
    </w:rPr>
  </w:style>
  <w:style w:type="paragraph" w:customStyle="1" w:styleId="NormalConseil">
    <w:name w:val="NormalConseil"/>
    <w:basedOn w:val="Normal"/>
    <w:pPr>
      <w:spacing w:after="0" w:line="240" w:lineRule="auto"/>
    </w:pPr>
    <w:rPr>
      <w:rFonts w:eastAsia="Times New Roman" w:cs="Times New Roman"/>
      <w:sz w:val="24"/>
      <w:szCs w:val="20"/>
      <w:lang w:eastAsia="fr-BE"/>
    </w:rPr>
  </w:style>
  <w:style w:type="paragraph" w:customStyle="1" w:styleId="EntRefer">
    <w:name w:val="EntRefer"/>
    <w:basedOn w:val="NormalConseil"/>
    <w:rPr>
      <w:b/>
    </w:rPr>
  </w:style>
  <w:style w:type="paragraph" w:customStyle="1" w:styleId="EntEmet">
    <w:name w:val="EntEmet"/>
    <w:basedOn w:val="NormalConsei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pPr>
      <w:tabs>
        <w:tab w:val="center" w:pos="4820"/>
        <w:tab w:val="center" w:pos="7371"/>
        <w:tab w:val="right" w:pos="9639"/>
      </w:tabs>
    </w:pPr>
  </w:style>
  <w:style w:type="paragraph" w:styleId="NormalWeb">
    <w:name w:val="Normal (Web)"/>
    <w:basedOn w:val="Normal"/>
    <w:uiPriority w:val="99"/>
    <w:unhideWhenUsed/>
    <w:rPr>
      <w:rFonts w:eastAsia="Calibri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</w:style>
  <w:style w:type="numbering" w:customStyle="1" w:styleId="1111111">
    <w:name w:val="1 / 1.1 / 1.1.11"/>
    <w:basedOn w:val="NoList"/>
    <w:next w:val="111111"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</w:style>
  <w:style w:type="table" w:styleId="LightList-Accent4">
    <w:name w:val="Light List Accent 4"/>
    <w:basedOn w:val="TableNormal"/>
    <w:uiPriority w:val="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footnotedefaultstyleChar">
    <w:name w:val="footnote default style Char"/>
    <w:basedOn w:val="DefaultParagraphFont"/>
    <w:link w:val="footnotedefaultstyle"/>
    <w:locked/>
    <w:rPr>
      <w:rFonts w:ascii="Verdana" w:hAnsi="Verdana"/>
    </w:rPr>
  </w:style>
  <w:style w:type="paragraph" w:customStyle="1" w:styleId="footnotedefaultstyle">
    <w:name w:val="footnote default style"/>
    <w:basedOn w:val="Normal"/>
    <w:link w:val="footnotedefaultstyleChar"/>
    <w:pPr>
      <w:spacing w:after="0" w:line="240" w:lineRule="auto"/>
      <w:ind w:left="357" w:hanging="357"/>
      <w:jc w:val="both"/>
    </w:pPr>
    <w:rPr>
      <w:rFonts w:ascii="Verdana" w:hAnsi="Verdana"/>
    </w:rPr>
  </w:style>
  <w:style w:type="paragraph" w:customStyle="1" w:styleId="rtejustify">
    <w:name w:val="rtejustify"/>
    <w:basedOn w:val="Normal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cs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b/>
      <w:sz w:val="32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emission0">
    <w:name w:val="emission"/>
    <w:basedOn w:val="Normal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customStyle="1" w:styleId="rfrenceinstitutionnelle0">
    <w:name w:val="rfrenceinstitutionnelle"/>
    <w:basedOn w:val="Normal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Text1Char1">
    <w:name w:val="Text 1 Char1"/>
    <w:basedOn w:val="DefaultParagraphFont"/>
    <w:link w:val="Text1"/>
    <w:locked/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Marking">
    <w:name w:val="SecurityMarking"/>
    <w:basedOn w:val="Normal"/>
    <w:pPr>
      <w:spacing w:after="0"/>
      <w:ind w:left="5103"/>
    </w:pPr>
    <w:rPr>
      <w:rFonts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90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2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92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ublications/president-junckers-political-guidelines_sk" TargetMode="External"/><Relationship Id="rId3" Type="http://schemas.openxmlformats.org/officeDocument/2006/relationships/hyperlink" Target="https://ec.europa.eu/health/preparedness_response/joint_procurement_sk" TargetMode="External"/><Relationship Id="rId7" Type="http://schemas.openxmlformats.org/officeDocument/2006/relationships/hyperlink" Target="https://ec.europa.eu/health/sites/health/files/programme/docs/wp2017_en.pdf" TargetMode="External"/><Relationship Id="rId2" Type="http://schemas.openxmlformats.org/officeDocument/2006/relationships/hyperlink" Target="https://eu-jav.com/" TargetMode="External"/><Relationship Id="rId1" Type="http://schemas.openxmlformats.org/officeDocument/2006/relationships/hyperlink" Target="https://eur-lex.europa.eu/legal-content/EN/TXT/PDF/?uri=CELEX:32014R0282&amp;from=EN" TargetMode="External"/><Relationship Id="rId6" Type="http://schemas.openxmlformats.org/officeDocument/2006/relationships/hyperlink" Target="https://www.edqm.eu/" TargetMode="External"/><Relationship Id="rId5" Type="http://schemas.openxmlformats.org/officeDocument/2006/relationships/hyperlink" Target="https://ec.europa.eu/health/sites/health/files/social_determinants/docs/healthinequalitiesineu_2013_en.pdf" TargetMode="External"/><Relationship Id="rId10" Type="http://schemas.openxmlformats.org/officeDocument/2006/relationships/hyperlink" Target="https://webgate.ec.europa.eu/chafea_pdb/health/search?context=HOME&amp;texttosearch=operating+grant" TargetMode="External"/><Relationship Id="rId4" Type="http://schemas.openxmlformats.org/officeDocument/2006/relationships/hyperlink" Target="https://jahee.iss.it/" TargetMode="External"/><Relationship Id="rId9" Type="http://schemas.openxmlformats.org/officeDocument/2006/relationships/hyperlink" Target="https://ec.europa.eu/info/departments/health-and-food-safety/what-we-do-health-and-food-safety_en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80E1-5008-4274-855E-E3A45E4B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3362</Words>
  <Characters>21117</Characters>
  <Application>Microsoft Office Word</Application>
  <DocSecurity>0</DocSecurity>
  <Lines>414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24</cp:revision>
  <cp:lastPrinted>2020-02-11T13:02:00Z</cp:lastPrinted>
  <dcterms:created xsi:type="dcterms:W3CDTF">2020-02-26T13:42:00Z</dcterms:created>
  <dcterms:modified xsi:type="dcterms:W3CDTF">2020-03-04T14:41:00Z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7.0.1, Build 20190916</vt:lpwstr>
  </property>
  <property fmtid="{D5CDD505-2E9C-101B-9397-08002B2CF9AE}" pid="7" name="Created using">
    <vt:lpwstr>LW 6.0.1, Build 20180503</vt:lpwstr>
  </property>
  <property fmtid="{D5CDD505-2E9C-101B-9397-08002B2CF9AE}" pid="8" name="CPTemplateID">
    <vt:lpwstr>CP-006</vt:lpwstr>
  </property>
</Properties>
</file>