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7D591BB-BA81-4D5D-B6B2-1A0D3601473B" style="width:450.8pt;height:434.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Pagedecouverture"/>
        <w:tabs>
          <w:tab w:val="left" w:pos="5152"/>
        </w:tabs>
        <w:rPr>
          <w:noProof/>
        </w:rPr>
      </w:pPr>
      <w:bookmarkStart w:id="1" w:name="_GoBack"/>
      <w:bookmarkEnd w:id="1"/>
    </w:p>
    <w:p>
      <w:pPr>
        <w:pStyle w:val="Heading1"/>
        <w:spacing w:before="0" w:after="120"/>
        <w:rPr>
          <w:noProof/>
        </w:rPr>
      </w:pPr>
      <w:r>
        <w:rPr>
          <w:noProof/>
        </w:rPr>
        <w:t xml:space="preserve">MELLÉKLET </w:t>
      </w:r>
    </w:p>
    <w:p>
      <w:pPr>
        <w:rPr>
          <w:noProof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763"/>
        <w:gridCol w:w="1276"/>
      </w:tblGrid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Fő intézkedések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Dátum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FENNTARTHATÓ TERMÉKPOLITIKAI KERETRENDSZER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b/>
                <w:noProof/>
              </w:rPr>
              <w:t>fenntartható termékpolitikára vonatkozó kezdeményezésre</w:t>
            </w:r>
            <w:r>
              <w:rPr>
                <w:rFonts w:ascii="Times New Roman" w:hAnsi="Times New Roman"/>
                <w:noProof/>
              </w:rPr>
              <w:t xml:space="preserve"> irányuló jogalkotási javaslat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Jogalkotási javaslat a </w:t>
            </w:r>
            <w:r>
              <w:rPr>
                <w:rFonts w:ascii="Times New Roman" w:hAnsi="Times New Roman"/>
                <w:b/>
                <w:noProof/>
              </w:rPr>
              <w:t>fogyasztók szerepvállalásának növeléséről a zöld átállásban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Jogalkotási és nem jogalkotási intézkedések a „</w:t>
            </w:r>
            <w:r>
              <w:rPr>
                <w:rFonts w:ascii="Times New Roman" w:hAnsi="Times New Roman"/>
                <w:b/>
                <w:noProof/>
              </w:rPr>
              <w:t>javításhoz való jog</w:t>
            </w:r>
            <w:r>
              <w:rPr>
                <w:rFonts w:ascii="Times New Roman" w:hAnsi="Times New Roman"/>
                <w:noProof/>
              </w:rPr>
              <w:t xml:space="preserve">” bevezetése érdekében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Jogalkotási javaslat a </w:t>
            </w:r>
            <w:r>
              <w:rPr>
                <w:rFonts w:ascii="Times New Roman" w:hAnsi="Times New Roman"/>
                <w:b/>
                <w:noProof/>
              </w:rPr>
              <w:t>környezetbarát jellegre vonatkozó állítások</w:t>
            </w:r>
            <w:r>
              <w:rPr>
                <w:rFonts w:ascii="Times New Roman" w:hAnsi="Times New Roman"/>
                <w:noProof/>
              </w:rPr>
              <w:t xml:space="preserve"> alátámasztásáról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Kötelező zöld közbeszerzésre vonatkozó kritériumok és célok</w:t>
            </w:r>
            <w:r>
              <w:rPr>
                <w:rFonts w:ascii="Times New Roman" w:hAnsi="Times New Roman"/>
                <w:noProof/>
              </w:rPr>
              <w:t xml:space="preserve"> bevezetése az ágazati jogszabályokba, valamint </w:t>
            </w:r>
            <w:r>
              <w:rPr>
                <w:rFonts w:ascii="Times New Roman" w:hAnsi="Times New Roman"/>
                <w:b/>
                <w:noProof/>
              </w:rPr>
              <w:t>a zöld közbeszerzésre vonatkozó kötelező jelentéstétel fokozatos bevezetése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2021-től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Az </w:t>
            </w:r>
            <w:r>
              <w:rPr>
                <w:rFonts w:ascii="Times New Roman" w:hAnsi="Times New Roman"/>
                <w:b/>
                <w:noProof/>
              </w:rPr>
              <w:t>ipari kibocsátásokról szóló irányelv</w:t>
            </w:r>
            <w:r>
              <w:rPr>
                <w:rFonts w:ascii="Times New Roman" w:hAnsi="Times New Roman"/>
                <w:noProof/>
              </w:rPr>
              <w:t xml:space="preserve"> felülvizsgálata, beleértve a körforgásos gazdaság gyakorlatainak beépítését az elérhető legjobb technikákról szóló, hamarosan elkészülő referenciadokumentumokba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2021-től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Az </w:t>
            </w:r>
            <w:r>
              <w:rPr>
                <w:rFonts w:ascii="Times New Roman" w:hAnsi="Times New Roman"/>
                <w:b/>
                <w:noProof/>
              </w:rPr>
              <w:t>ipari szimbiózisra vonatkozó jelentéstételi és tanúsítási rendszer</w:t>
            </w:r>
            <w:r>
              <w:rPr>
                <w:rFonts w:ascii="Times New Roman" w:hAnsi="Times New Roman"/>
                <w:noProof/>
              </w:rPr>
              <w:t xml:space="preserve"> elindítása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KULCSFONTOSSÁGÚ TERMÉK-ÉRTÉKLÁNCOK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Körforgásos elektronikai kezdeményezés</w:t>
            </w:r>
            <w:r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</w:rPr>
              <w:t>közös töltőmegoldás</w:t>
            </w:r>
            <w:r>
              <w:rPr>
                <w:rFonts w:ascii="Times New Roman" w:hAnsi="Times New Roman"/>
                <w:noProof/>
              </w:rPr>
              <w:t xml:space="preserve"> és </w:t>
            </w:r>
            <w:r>
              <w:rPr>
                <w:rFonts w:ascii="Times New Roman" w:hAnsi="Times New Roman"/>
                <w:b/>
                <w:noProof/>
              </w:rPr>
              <w:t>a régi eszközök visszaszolgáltatását ösztönző jutalmazási rendszerek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2020/2021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Az </w:t>
            </w:r>
            <w:r>
              <w:rPr>
                <w:rFonts w:ascii="Times New Roman" w:hAnsi="Times New Roman"/>
                <w:b/>
                <w:noProof/>
              </w:rPr>
              <w:t>egyes veszélyes anyagok elektromos és elektronikus berendezésekben való alkalmazásának korlátozásáról</w:t>
            </w:r>
            <w:r>
              <w:rPr>
                <w:rFonts w:ascii="Times New Roman" w:hAnsi="Times New Roman"/>
                <w:noProof/>
              </w:rPr>
              <w:t xml:space="preserve"> szóló irányelv felülvizsgálata és iránymutatás a REACH-rendelettel és a környezettudatos tervezésre vonatkozó követelményekkel való kapcsolatának tisztázása érdekében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Javaslat az </w:t>
            </w:r>
            <w:r>
              <w:rPr>
                <w:rFonts w:ascii="Times New Roman" w:hAnsi="Times New Roman"/>
                <w:b/>
                <w:noProof/>
              </w:rPr>
              <w:t>akkumulátorokra vonatkozó új szabályozási keretre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Az </w:t>
            </w:r>
            <w:r>
              <w:rPr>
                <w:rFonts w:ascii="Times New Roman" w:hAnsi="Times New Roman"/>
                <w:b/>
                <w:noProof/>
              </w:rPr>
              <w:t>elhasználódott járművekre</w:t>
            </w:r>
            <w:r>
              <w:rPr>
                <w:rFonts w:ascii="Times New Roman" w:hAnsi="Times New Roman"/>
                <w:noProof/>
              </w:rPr>
              <w:t xml:space="preserve"> vonatkozó szabályok felülvizsgálata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b/>
                <w:noProof/>
              </w:rPr>
              <w:t>hulladékolajok</w:t>
            </w:r>
            <w:r>
              <w:rPr>
                <w:rFonts w:ascii="Times New Roman" w:hAnsi="Times New Roman"/>
                <w:noProof/>
              </w:rPr>
              <w:t xml:space="preserve"> megfelelő kezelésére vonatkozó szabályok felülvizsgálata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Felülvizsgálat </w:t>
            </w:r>
            <w:r>
              <w:rPr>
                <w:rFonts w:ascii="Times New Roman" w:hAnsi="Times New Roman"/>
                <w:b/>
                <w:noProof/>
              </w:rPr>
              <w:t>a csomagolásra vonatkozó alapvető követelmények</w:t>
            </w:r>
            <w:r>
              <w:rPr>
                <w:rFonts w:ascii="Times New Roman" w:hAnsi="Times New Roman"/>
                <w:noProof/>
              </w:rPr>
              <w:t xml:space="preserve"> megerősítése, valamint </w:t>
            </w:r>
            <w:r>
              <w:rPr>
                <w:rFonts w:ascii="Times New Roman" w:hAnsi="Times New Roman"/>
                <w:b/>
                <w:noProof/>
              </w:rPr>
              <w:t>a (túl)csomagolás és a csomagolási hulladék csökkentése</w:t>
            </w:r>
            <w:r>
              <w:rPr>
                <w:rFonts w:ascii="Times New Roman" w:hAnsi="Times New Roman"/>
                <w:noProof/>
              </w:rPr>
              <w:t xml:space="preserve"> érdekében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Az </w:t>
            </w:r>
            <w:r>
              <w:rPr>
                <w:rFonts w:ascii="Times New Roman" w:hAnsi="Times New Roman"/>
                <w:b/>
                <w:noProof/>
              </w:rPr>
              <w:t>újrafeldolgozott műanyagtartalomra</w:t>
            </w:r>
            <w:r>
              <w:rPr>
                <w:rFonts w:ascii="Times New Roman" w:hAnsi="Times New Roman"/>
                <w:noProof/>
              </w:rPr>
              <w:t xml:space="preserve"> és a </w:t>
            </w:r>
            <w:r>
              <w:rPr>
                <w:rFonts w:ascii="Times New Roman" w:hAnsi="Times New Roman"/>
                <w:b/>
                <w:noProof/>
              </w:rPr>
              <w:t>műanyaghulladék csökkentésére</w:t>
            </w:r>
            <w:r>
              <w:rPr>
                <w:rFonts w:ascii="Times New Roman" w:hAnsi="Times New Roman"/>
                <w:noProof/>
              </w:rPr>
              <w:t xml:space="preserve"> vonatkozó kötelező követelmények olyan kulcsfontosságú termékek esetében, mint a csomagolás, az építőanyagok és a járművek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2021/2022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b/>
                <w:noProof/>
              </w:rPr>
              <w:t>szándékosan hozzáadott mikroműanyagok</w:t>
            </w:r>
            <w:r>
              <w:rPr>
                <w:rFonts w:ascii="Times New Roman" w:hAnsi="Times New Roman"/>
                <w:noProof/>
              </w:rPr>
              <w:t xml:space="preserve"> korlátozása, valamint </w:t>
            </w:r>
            <w:r>
              <w:rPr>
                <w:rFonts w:ascii="Times New Roman" w:hAnsi="Times New Roman"/>
                <w:b/>
                <w:noProof/>
              </w:rPr>
              <w:t>a mikroműanyagok nem szándékos kibocsátására</w:t>
            </w:r>
            <w:r>
              <w:rPr>
                <w:rFonts w:ascii="Times New Roman" w:hAnsi="Times New Roman"/>
                <w:noProof/>
              </w:rPr>
              <w:t xml:space="preserve"> vonatkozó intézkedések bevezetése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b/>
                <w:noProof/>
              </w:rPr>
              <w:t>bioalapú és biológiailag lebontható műanyagokra</w:t>
            </w:r>
            <w:r>
              <w:rPr>
                <w:rFonts w:ascii="Times New Roman" w:hAnsi="Times New Roman"/>
                <w:noProof/>
              </w:rPr>
              <w:t xml:space="preserve"> vonatkozó szakpolitikai keret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Uniós textilstratégia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A fenntartható épített környezetre vonatkozó stratégia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rPr>
          <w:trHeight w:val="561"/>
        </w:trP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Kezdeményezés az </w:t>
            </w:r>
            <w:r>
              <w:rPr>
                <w:rFonts w:ascii="Times New Roman" w:hAnsi="Times New Roman"/>
                <w:b/>
                <w:noProof/>
              </w:rPr>
              <w:t>egyszer használatos csomagolások és evőeszközök újrafelhasználható termékekkel történő helyettesítésére az élelmiszeripari szolgáltatásokban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KEVESEBB HULLADÉK, TÖBB ÉRTÉK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Konkrét hulladékáramokra vonatkozó hulladékcsökkentési célkitűzések</w:t>
            </w:r>
            <w:r>
              <w:rPr>
                <w:rFonts w:ascii="Times New Roman" w:hAnsi="Times New Roman"/>
                <w:noProof/>
              </w:rPr>
              <w:t xml:space="preserve"> és egyéb </w:t>
            </w:r>
            <w:r>
              <w:rPr>
                <w:rFonts w:ascii="Times New Roman" w:hAnsi="Times New Roman"/>
                <w:b/>
                <w:noProof/>
              </w:rPr>
              <w:t>hulladékmegelőzési</w:t>
            </w:r>
            <w:r>
              <w:rPr>
                <w:rFonts w:ascii="Times New Roman" w:hAnsi="Times New Roman"/>
                <w:noProof/>
              </w:rPr>
              <w:t xml:space="preserve"> intézkedések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Az </w:t>
            </w:r>
            <w:r>
              <w:rPr>
                <w:rFonts w:ascii="Times New Roman" w:hAnsi="Times New Roman"/>
                <w:b/>
                <w:noProof/>
              </w:rPr>
              <w:t>elkülönített hulladékgyűjtés és a címkézés</w:t>
            </w:r>
            <w:r>
              <w:rPr>
                <w:rFonts w:ascii="Times New Roman" w:hAnsi="Times New Roman"/>
                <w:noProof/>
              </w:rPr>
              <w:t xml:space="preserve"> harmonizált uniós modellje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Az aggodalomra okot adó anyagok</w:t>
            </w:r>
            <w:r>
              <w:rPr>
                <w:rFonts w:ascii="Times New Roman" w:hAnsi="Times New Roman"/>
                <w:noProof/>
              </w:rPr>
              <w:t xml:space="preserve"> újrafeldolgozott anyagokban és az azokból készült árucikkekben való </w:t>
            </w:r>
            <w:r>
              <w:rPr>
                <w:rFonts w:ascii="Times New Roman" w:hAnsi="Times New Roman"/>
                <w:b/>
                <w:noProof/>
              </w:rPr>
              <w:t>előfordulásának nyomon követésére és minimalizálására szolgáló módszerek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Az aggodalomra okot adó anyagok jelenlétére vonatkozó </w:t>
            </w:r>
            <w:r>
              <w:rPr>
                <w:rFonts w:ascii="Times New Roman" w:hAnsi="Times New Roman"/>
                <w:b/>
                <w:noProof/>
              </w:rPr>
              <w:t>harmonizált információs rendszerek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A hulladékstátusz megszűnésére és a melléktermékekre vonatkozó további uniós szintű kritériumok</w:t>
            </w:r>
            <w:r>
              <w:rPr>
                <w:rFonts w:ascii="Times New Roman" w:hAnsi="Times New Roman"/>
                <w:noProof/>
              </w:rPr>
              <w:t xml:space="preserve"> kidolgozásának megvizsgálása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b/>
                <w:noProof/>
              </w:rPr>
              <w:t>hulladékszállításra</w:t>
            </w:r>
            <w:r>
              <w:rPr>
                <w:rFonts w:ascii="Times New Roman" w:hAnsi="Times New Roman"/>
                <w:noProof/>
              </w:rPr>
              <w:t xml:space="preserve"> vonatkozó szabályok felülvizsgálata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 Bold" w:eastAsia="Times New Roman" w:hAnsi="Times New Roman Bold" w:cs="Times New Roman"/>
                <w:b/>
                <w:caps/>
                <w:noProof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caps/>
                <w:noProof/>
              </w:rPr>
              <w:t>A körforgásos gazdaság működőképessé tétele az emberek, a régiók és a városok számára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körforgásos gazdaságra való átállás támogatása a </w:t>
            </w:r>
            <w:r>
              <w:rPr>
                <w:rFonts w:ascii="Times New Roman" w:hAnsi="Times New Roman"/>
                <w:b/>
                <w:noProof/>
              </w:rPr>
              <w:t>készségfejlesztési program</w:t>
            </w:r>
            <w:r>
              <w:rPr>
                <w:rFonts w:ascii="Times New Roman" w:hAnsi="Times New Roman"/>
                <w:noProof/>
              </w:rPr>
              <w:t xml:space="preserve">, a </w:t>
            </w:r>
            <w:r>
              <w:rPr>
                <w:rFonts w:ascii="Times New Roman" w:hAnsi="Times New Roman"/>
                <w:b/>
                <w:noProof/>
              </w:rPr>
              <w:t>szociális gazdaságra vonatkozó, hamarosan elkészülő cselekvési terv</w:t>
            </w:r>
            <w:r>
              <w:rPr>
                <w:rFonts w:ascii="Times New Roman" w:hAnsi="Times New Roman"/>
                <w:noProof/>
              </w:rPr>
              <w:t xml:space="preserve">, a </w:t>
            </w:r>
            <w:r>
              <w:rPr>
                <w:rFonts w:ascii="Times New Roman" w:hAnsi="Times New Roman"/>
                <w:b/>
                <w:noProof/>
              </w:rPr>
              <w:t>készségekről szóló paktum</w:t>
            </w:r>
            <w:r>
              <w:rPr>
                <w:rFonts w:ascii="Times New Roman" w:hAnsi="Times New Roman"/>
                <w:noProof/>
              </w:rPr>
              <w:t xml:space="preserve"> és az </w:t>
            </w:r>
            <w:r>
              <w:rPr>
                <w:rFonts w:ascii="Times New Roman" w:hAnsi="Times New Roman"/>
                <w:b/>
                <w:noProof/>
              </w:rPr>
              <w:t>Európai Szociális Alap Plusz</w:t>
            </w:r>
            <w:r>
              <w:rPr>
                <w:rFonts w:ascii="Times New Roman" w:hAnsi="Times New Roman"/>
                <w:noProof/>
              </w:rPr>
              <w:t xml:space="preserve"> révén.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>A körforgásos gazdaságra való átállás támogatása</w:t>
            </w:r>
            <w:r>
              <w:rPr>
                <w:rFonts w:ascii="Times New Roman" w:hAnsi="Times New Roman"/>
                <w:b/>
                <w:noProof/>
              </w:rPr>
              <w:t xml:space="preserve"> a kohéziós politikai alapok, a Méltányos Átállást Támogató Mechanizmus</w:t>
            </w:r>
            <w:r>
              <w:rPr>
                <w:rFonts w:ascii="Times New Roman" w:hAnsi="Times New Roman"/>
                <w:noProof/>
              </w:rPr>
              <w:t xml:space="preserve"> és </w:t>
            </w:r>
            <w:r>
              <w:rPr>
                <w:rFonts w:ascii="Times New Roman" w:hAnsi="Times New Roman"/>
                <w:b/>
                <w:noProof/>
              </w:rPr>
              <w:t>városi kezdeményezések</w:t>
            </w:r>
            <w:r>
              <w:rPr>
                <w:rFonts w:ascii="Times New Roman" w:hAnsi="Times New Roman"/>
                <w:noProof/>
              </w:rPr>
              <w:t xml:space="preserve"> révén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0"/>
              </w:rPr>
              <w:t>2020-tól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TÖBB TERÜLETET ÉRINTŐ INTÉZKEDÉSEK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mérési, modellezési és szakpolitikai eszközök javítása a </w:t>
            </w:r>
            <w:r>
              <w:rPr>
                <w:rFonts w:ascii="Times New Roman" w:hAnsi="Times New Roman"/>
                <w:b/>
                <w:noProof/>
              </w:rPr>
              <w:t>körforgásos gazdaság és az éghajlatváltozás mérséklése és az ahhoz való alkalmazkodás közötti szinergiák</w:t>
            </w:r>
            <w:r>
              <w:rPr>
                <w:rFonts w:ascii="Times New Roman" w:hAnsi="Times New Roman"/>
                <w:noProof/>
              </w:rPr>
              <w:t xml:space="preserve"> feltárása érdekében uniós és nemzeti szinten egyaránt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b/>
                <w:noProof/>
              </w:rPr>
              <w:t>szén-dioxid-eltávolítás tanúsítására</w:t>
            </w:r>
            <w:r>
              <w:rPr>
                <w:rFonts w:ascii="Times New Roman" w:hAnsi="Times New Roman"/>
                <w:noProof/>
              </w:rPr>
              <w:t xml:space="preserve"> vonatkozó szabályozási keret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körforgásos gazdaság célkitűzéseinek tükrözése a </w:t>
            </w:r>
            <w:r>
              <w:rPr>
                <w:rFonts w:ascii="Times New Roman" w:hAnsi="Times New Roman"/>
                <w:b/>
                <w:noProof/>
              </w:rPr>
              <w:t>környezetvédelem és az energiaügy területén nyújtott állami támogatásokról</w:t>
            </w:r>
            <w:r>
              <w:rPr>
                <w:rFonts w:ascii="Times New Roman" w:hAnsi="Times New Roman"/>
                <w:noProof/>
              </w:rPr>
              <w:t xml:space="preserve"> szóló iránymutatás felülvizsgálata során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körforgásos gazdaság célkitűzéseinek általános érvényesítése a </w:t>
            </w:r>
            <w:r>
              <w:rPr>
                <w:rFonts w:ascii="Times New Roman" w:hAnsi="Times New Roman"/>
                <w:b/>
                <w:noProof/>
              </w:rPr>
              <w:t>nem pénzügyi beszámolásra</w:t>
            </w:r>
            <w:r>
              <w:rPr>
                <w:rFonts w:ascii="Times New Roman" w:hAnsi="Times New Roman"/>
                <w:noProof/>
              </w:rPr>
              <w:t xml:space="preserve"> vonatkozó szabályokkal összefüggésben, valamint </w:t>
            </w:r>
            <w:r>
              <w:rPr>
                <w:rFonts w:ascii="Times New Roman" w:hAnsi="Times New Roman"/>
                <w:b/>
                <w:noProof/>
              </w:rPr>
              <w:t>a fenntartható vállalatirányításra</w:t>
            </w:r>
            <w:r>
              <w:rPr>
                <w:rFonts w:ascii="Times New Roman" w:hAnsi="Times New Roman"/>
                <w:noProof/>
              </w:rPr>
              <w:t xml:space="preserve"> és </w:t>
            </w:r>
            <w:r>
              <w:rPr>
                <w:rFonts w:ascii="Times New Roman" w:hAnsi="Times New Roman"/>
                <w:b/>
                <w:noProof/>
              </w:rPr>
              <w:t>a környezeti számvitelre</w:t>
            </w:r>
            <w:r>
              <w:rPr>
                <w:rFonts w:ascii="Times New Roman" w:hAnsi="Times New Roman"/>
                <w:noProof/>
              </w:rPr>
              <w:t xml:space="preserve"> irányuló kezdeményezések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2020/2021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</w:rPr>
              <w:t>Vezető szerep a globális szintű erőfeszítésekben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0"/>
              </w:rPr>
              <w:t xml:space="preserve">Vezető erőfeszítések a </w:t>
            </w:r>
            <w:r>
              <w:rPr>
                <w:rFonts w:ascii="Times New Roman" w:hAnsi="Times New Roman"/>
                <w:b/>
                <w:noProof/>
                <w:szCs w:val="20"/>
              </w:rPr>
              <w:t>műanyagokról szóló globális megállapodás</w:t>
            </w:r>
            <w:r>
              <w:rPr>
                <w:rFonts w:ascii="Times New Roman" w:hAnsi="Times New Roman"/>
                <w:noProof/>
                <w:szCs w:val="20"/>
              </w:rPr>
              <w:t xml:space="preserve"> elérése érdekében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A körforgásos gazdasággal foglalkozó globális szövetség</w:t>
            </w:r>
            <w:r>
              <w:rPr>
                <w:rFonts w:ascii="Times New Roman" w:hAnsi="Times New Roman"/>
                <w:noProof/>
                <w:szCs w:val="20"/>
              </w:rPr>
              <w:t xml:space="preserve"> létrehozására irányuló javaslat, valamint </w:t>
            </w:r>
            <w:r>
              <w:rPr>
                <w:rFonts w:ascii="Times New Roman" w:hAnsi="Times New Roman"/>
                <w:b/>
                <w:noProof/>
                <w:szCs w:val="20"/>
              </w:rPr>
              <w:t>a természeti erőforrásokkal való gazdálkodásról szóló nemzetközi megállapodást</w:t>
            </w:r>
            <w:r>
              <w:rPr>
                <w:rFonts w:ascii="Times New Roman" w:hAnsi="Times New Roman"/>
                <w:noProof/>
                <w:szCs w:val="20"/>
              </w:rPr>
              <w:t xml:space="preserve"> előkészítő megbeszélések kezdeményezése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2021-től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noProof/>
                <w:szCs w:val="20"/>
              </w:rPr>
              <w:t xml:space="preserve">körforgásos gazdaság célkitűzéseinek érvényesítése a </w:t>
            </w:r>
            <w:r>
              <w:rPr>
                <w:rFonts w:ascii="Times New Roman" w:hAnsi="Times New Roman"/>
                <w:b/>
                <w:noProof/>
                <w:szCs w:val="20"/>
              </w:rPr>
              <w:t>szabadkereskedelmi megállapodásokban</w:t>
            </w:r>
            <w:r>
              <w:rPr>
                <w:rFonts w:ascii="Times New Roman" w:hAnsi="Times New Roman"/>
                <w:noProof/>
                <w:szCs w:val="20"/>
              </w:rPr>
              <w:t xml:space="preserve">, más </w:t>
            </w:r>
            <w:r>
              <w:rPr>
                <w:rFonts w:ascii="Times New Roman" w:hAnsi="Times New Roman"/>
                <w:b/>
                <w:noProof/>
                <w:szCs w:val="20"/>
              </w:rPr>
              <w:t>kétoldalú, regionális és többoldalú</w:t>
            </w:r>
            <w:r>
              <w:rPr>
                <w:rFonts w:ascii="Times New Roman" w:hAnsi="Times New Roman"/>
                <w:noProof/>
                <w:szCs w:val="20"/>
              </w:rPr>
              <w:t xml:space="preserve"> folyamatokban és megállapodásokban, valamint az </w:t>
            </w:r>
            <w:r>
              <w:rPr>
                <w:rFonts w:ascii="Times New Roman" w:hAnsi="Times New Roman"/>
                <w:b/>
                <w:noProof/>
              </w:rPr>
              <w:t>EU külpolitikai finanszírozási eszközeiben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AZ ELŐREHALADÁS NYOMON KÖVETÉSE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 </w:t>
            </w:r>
            <w:r>
              <w:rPr>
                <w:rFonts w:ascii="Times New Roman" w:hAnsi="Times New Roman"/>
                <w:b/>
                <w:noProof/>
              </w:rPr>
              <w:t>körforgásos gazdaság nyomonkövetési keretének</w:t>
            </w:r>
            <w:r>
              <w:rPr>
                <w:rFonts w:ascii="Times New Roman" w:hAnsi="Times New Roman"/>
                <w:noProof/>
              </w:rPr>
              <w:t xml:space="preserve"> aktualizálása az új szakpolitikai prioritások tükrözése és az </w:t>
            </w:r>
            <w:r>
              <w:rPr>
                <w:rFonts w:ascii="Times New Roman" w:hAnsi="Times New Roman"/>
                <w:b/>
                <w:noProof/>
              </w:rPr>
              <w:t>erőforrás-felhasználásra</w:t>
            </w:r>
            <w:r>
              <w:rPr>
                <w:rFonts w:ascii="Times New Roman" w:hAnsi="Times New Roman"/>
                <w:noProof/>
              </w:rPr>
              <w:t xml:space="preserve"> – többek között a </w:t>
            </w:r>
            <w:r>
              <w:rPr>
                <w:rFonts w:ascii="Times New Roman" w:hAnsi="Times New Roman"/>
                <w:b/>
                <w:noProof/>
              </w:rPr>
              <w:t>fogyasztásra és az anyagi lábnyomra – vonatkozó további mutatók</w:t>
            </w:r>
            <w:r>
              <w:rPr>
                <w:rFonts w:ascii="Times New Roman" w:hAnsi="Times New Roman"/>
                <w:noProof/>
              </w:rPr>
              <w:t xml:space="preserve"> kidolgozása érdekében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</w:tbl>
    <w:p>
      <w:pPr>
        <w:jc w:val="both"/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20" w:right="1701" w:bottom="1020" w:left="1587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>
      <w:rPr>
        <w:caps/>
        <w:color w:val="000000" w:themeColor="text1"/>
      </w:rPr>
      <w:fldChar w:fldCharType="begin"/>
    </w:r>
    <w:r>
      <w:rPr>
        <w:caps/>
        <w:color w:val="000000" w:themeColor="text1"/>
      </w:rPr>
      <w:instrText xml:space="preserve"> PAGE   \* MERGEFORMAT </w:instrText>
    </w:r>
    <w:r>
      <w:rPr>
        <w:caps/>
        <w:color w:val="000000" w:themeColor="text1"/>
      </w:rPr>
      <w:fldChar w:fldCharType="separate"/>
    </w:r>
    <w:r>
      <w:rPr>
        <w:caps/>
        <w:noProof/>
        <w:color w:val="000000" w:themeColor="text1"/>
      </w:rPr>
      <w:t>3</w:t>
    </w:r>
    <w:r>
      <w:rPr>
        <w:caps/>
        <w:color w:val="000000" w:themeColor="text1"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2272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1AE"/>
    <w:multiLevelType w:val="hybridMultilevel"/>
    <w:tmpl w:val="C7AE0E3A"/>
    <w:lvl w:ilvl="0" w:tplc="506230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4800"/>
    <w:multiLevelType w:val="hybridMultilevel"/>
    <w:tmpl w:val="666A540C"/>
    <w:lvl w:ilvl="0" w:tplc="60C83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60A1"/>
    <w:multiLevelType w:val="hybridMultilevel"/>
    <w:tmpl w:val="E4E6F362"/>
    <w:lvl w:ilvl="0" w:tplc="51F81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5145E"/>
    <w:multiLevelType w:val="multilevel"/>
    <w:tmpl w:val="B1048310"/>
    <w:name w:val="EurolookHeading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5682"/>
        </w:tabs>
        <w:ind w:left="5682" w:hanging="720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7D591BB-BA81-4D5D-B6B2-1A0D3601473B"/>
    <w:docVar w:name="LW_COVERPAGE_TYPE" w:val="1"/>
    <w:docVar w:name="LW_CROSSREFERENCE" w:val="&lt;UNUSED&gt;"/>
    <w:docVar w:name="LW_DocType" w:val="NORMAL"/>
    <w:docVar w:name="LW_EMISSION" w:val="2020.3.11."/>
    <w:docVar w:name="LW_EMISSION_ISODATE" w:val="2020-03-11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&lt;FMT:Bold&gt;A tisztább és versenyképesebb Európát szolgáló,&lt;/FMT&gt;_x000d__x000b_&lt;FMT:Bold&gt;körforgásos gazdaságra vonatkozó új cselekvési terv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KÖZLEMÉNYE AZ EURÓPAI PARLAMENTNEK, A TANÁCSNAK, AZ EURÓPAI GAZDASÁGI ÉS SZOCIÁLIS BIZOTTSÁGNAK ÉS A RÉGIÓK BIZOTTSÁGÁNAK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96dba3ed-e748-4931-b51f-f9b064bfc02e">Not Started</EC_Collab_Status>
    <Type_x0020_of_x0020_document xmlns="96dba3ed-e748-4931-b51f-f9b064bfc02e">Consolidated ENV/GROW drafts and lists of actions</Type_x0020_of_x0020_document>
    <_Status xmlns="http://schemas.microsoft.com/sharepoint/v3/fields">Not Started</_Status>
    <EC_Collab_DocumentLanguage xmlns="96dba3ed-e748-4931-b51f-f9b064bfc02e">EN</EC_Collab_DocumentLanguage>
    <EC_Collab_Reference xmlns="96dba3ed-e748-4931-b51f-f9b064bfc0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D8106745EEB6B4EAF3B389F7A2713CD" ma:contentTypeVersion="1" ma:contentTypeDescription="Create a new document in this library." ma:contentTypeScope="" ma:versionID="5f070f0e7c33d3b82c58f1deb22126b2">
  <xsd:schema xmlns:xsd="http://www.w3.org/2001/XMLSchema" xmlns:xs="http://www.w3.org/2001/XMLSchema" xmlns:p="http://schemas.microsoft.com/office/2006/metadata/properties" xmlns:ns2="http://schemas.microsoft.com/sharepoint/v3/fields" xmlns:ns3="96dba3ed-e748-4931-b51f-f9b064bfc02e" targetNamespace="http://schemas.microsoft.com/office/2006/metadata/properties" ma:root="true" ma:fieldsID="da4f2777a13e0ba1b47d377874b9d16c" ns2:_="" ns3:_="">
    <xsd:import namespace="http://schemas.microsoft.com/sharepoint/v3/fields"/>
    <xsd:import namespace="96dba3ed-e748-4931-b51f-f9b064bfc02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Type_x0020_of_x0020_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a3ed-e748-4931-b51f-f9b064bfc02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Type_x0020_of_x0020_document" ma:index="16" ma:displayName="Type of document" ma:default="Cross-DG process" ma:format="Dropdown" ma:internalName="Type_x0020_of_x0020_document">
      <xsd:simpleType>
        <xsd:restriction base="dms:Choice">
          <xsd:enumeration value="Cross-DG process"/>
          <xsd:enumeration value="GROW-ENV coordination"/>
          <xsd:enumeration value="Early drafts and lists of actions"/>
          <xsd:enumeration value="Roadmap and public consultation"/>
          <xsd:enumeration value="Early contributions ENV/GROW"/>
          <xsd:enumeration value="Consolidated ENV/GROW drafts and lists of actions"/>
          <xsd:enumeration value="Formal DG con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5D34B3-1E51-4DBE-B71A-A10E1D61E749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dba3ed-e748-4931-b51f-f9b064bfc02e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98A262-ABE6-4090-A3CB-6B48051AC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9032C-9318-4A1E-AAB4-25F199A7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6dba3ed-e748-4931-b51f-f9b064bfc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F6ED5-C619-4966-8EEB-2D087F7B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4706</Characters>
  <Application>Microsoft Office Word</Application>
  <DocSecurity>0</DocSecurity>
  <Lines>127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2020-03-06T20:31:00Z</dcterms:created>
  <dcterms:modified xsi:type="dcterms:W3CDTF">2020-03-11T07:58:00Z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  <property fmtid="{D5CDD505-2E9C-101B-9397-08002B2CF9AE}" pid="11" name="_LW_INVALIDATED__LW_INVALIDATED__LW_INVALIDATED_ContentTypeId">
    <vt:lpwstr>0x010100258AA79CEB83498886A3A08681123250008D8106745EEB6B4EAF3B389F7A2713CD</vt:lpwstr>
  </property>
</Properties>
</file>