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F00CE43-3E33-4D31-9F5F-141EACC6086C" style="width:450.85pt;height:36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numPr>
          <w:ilvl w:val="0"/>
          <w:numId w:val="6"/>
        </w:numPr>
        <w:spacing w:before="240" w:after="240" w:line="240" w:lineRule="auto"/>
        <w:jc w:val="both"/>
        <w:outlineLvl w:val="0"/>
        <w:rPr>
          <w:rFonts w:ascii="Times New Roman" w:eastAsia="Times New Roman" w:hAnsi="Times New Roman" w:cs="Times New Roman"/>
          <w:b/>
          <w:smallCaps/>
          <w:noProof/>
          <w:sz w:val="24"/>
          <w:szCs w:val="24"/>
        </w:rPr>
      </w:pPr>
      <w:bookmarkStart w:id="1" w:name="_Toc7527235"/>
      <w:bookmarkStart w:id="2" w:name="_GoBack"/>
      <w:bookmarkEnd w:id="2"/>
      <w:r>
        <w:rPr>
          <w:rFonts w:ascii="Times New Roman" w:hAnsi="Times New Roman"/>
          <w:b/>
          <w:smallCaps/>
          <w:noProof/>
          <w:sz w:val="24"/>
          <w:szCs w:val="24"/>
        </w:rPr>
        <w:lastRenderedPageBreak/>
        <w:t>Ievads</w:t>
      </w:r>
      <w:bookmarkEnd w:id="1"/>
    </w:p>
    <w:p>
      <w:pPr>
        <w:jc w:val="both"/>
        <w:rPr>
          <w:rFonts w:ascii="Times New Roman" w:hAnsi="Times New Roman" w:cs="Times New Roman"/>
          <w:bCs/>
          <w:noProof/>
          <w:sz w:val="24"/>
          <w:szCs w:val="24"/>
        </w:rPr>
      </w:pPr>
      <w:r>
        <w:rPr>
          <w:rFonts w:ascii="Times New Roman" w:hAnsi="Times New Roman"/>
          <w:noProof/>
          <w:sz w:val="24"/>
          <w:szCs w:val="24"/>
        </w:rPr>
        <w:t xml:space="preserve">Šajā ziņojumā ir apkopots Komisijas izvērtējums par to, kā 2014.–2018. gadā ir īstenota </w:t>
      </w:r>
      <w:r>
        <w:rPr>
          <w:rFonts w:ascii="Times New Roman" w:hAnsi="Times New Roman"/>
          <w:bCs/>
          <w:noProof/>
          <w:sz w:val="24"/>
          <w:szCs w:val="24"/>
        </w:rPr>
        <w:t>Eiropas Investīciju bankai (EIB) piešķirtā ES budžeta garantija attiecībā uz zaudējumiem no EIB finansēšanas darījumiem, ar kuriem atbalsta ieguldījumu projektus ārpus Savienības. Pilnais izvērtējums tika publicēts Komisijas dienestu darba dokumentā 2019. gada septembrī</w:t>
      </w:r>
      <w:r>
        <w:rPr>
          <w:rStyle w:val="FootnoteReference"/>
          <w:rFonts w:ascii="Times New Roman" w:hAnsi="Times New Roman" w:cs="Times New Roman"/>
          <w:bCs/>
          <w:noProof/>
          <w:sz w:val="24"/>
          <w:szCs w:val="24"/>
        </w:rPr>
        <w:footnoteReference w:id="1"/>
      </w:r>
      <w:r>
        <w:rPr>
          <w:rFonts w:ascii="Times New Roman" w:hAnsi="Times New Roman"/>
          <w:bCs/>
          <w:noProof/>
          <w:sz w:val="24"/>
          <w:szCs w:val="24"/>
        </w:rPr>
        <w:t xml:space="preserve">. </w:t>
      </w:r>
    </w:p>
    <w:p>
      <w:pPr>
        <w:jc w:val="both"/>
        <w:rPr>
          <w:rFonts w:ascii="Times New Roman" w:hAnsi="Times New Roman" w:cs="Times New Roman"/>
          <w:bCs/>
          <w:noProof/>
          <w:sz w:val="24"/>
          <w:szCs w:val="24"/>
        </w:rPr>
      </w:pPr>
      <w:r>
        <w:rPr>
          <w:rFonts w:ascii="Times New Roman" w:hAnsi="Times New Roman"/>
          <w:bCs/>
          <w:noProof/>
          <w:sz w:val="24"/>
          <w:szCs w:val="24"/>
        </w:rPr>
        <w:t>ES budžeta garantiju, kā noteikts secīgos Eiropas Parlamenta un Padomes lēmumos, parasti dēvē par EIB ārējo aizdevumu mandātu (turpmāk tekstā “ĀAM”)</w:t>
      </w:r>
      <w:r>
        <w:rPr>
          <w:rStyle w:val="FootnoteReference"/>
          <w:rFonts w:ascii="Times New Roman" w:hAnsi="Times New Roman" w:cs="Times New Roman"/>
          <w:bCs/>
          <w:noProof/>
          <w:sz w:val="24"/>
          <w:szCs w:val="24"/>
        </w:rPr>
        <w:footnoteReference w:id="2"/>
      </w:r>
      <w:r>
        <w:rPr>
          <w:rFonts w:ascii="Times New Roman" w:hAnsi="Times New Roman"/>
          <w:bCs/>
          <w:noProof/>
          <w:sz w:val="24"/>
          <w:szCs w:val="24"/>
        </w:rPr>
        <w:t xml:space="preserve">. Komisijas izvērtējumam ir </w:t>
      </w:r>
      <w:r>
        <w:rPr>
          <w:rFonts w:ascii="Times New Roman" w:hAnsi="Times New Roman"/>
          <w:bCs/>
          <w:i/>
          <w:iCs/>
          <w:noProof/>
          <w:sz w:val="24"/>
          <w:szCs w:val="24"/>
        </w:rPr>
        <w:t>ex post</w:t>
      </w:r>
      <w:r>
        <w:rPr>
          <w:rFonts w:ascii="Times New Roman" w:hAnsi="Times New Roman"/>
          <w:bCs/>
          <w:noProof/>
          <w:sz w:val="24"/>
          <w:szCs w:val="24"/>
        </w:rPr>
        <w:t xml:space="preserve"> raksturs, proti, tas aptver laikposmu no 2014. gada vidus līdz 2018. gada beigām; 2018. gads ir pēdējais gads, par kuru ir pieejami pilnīgi dati. Saskaņā ar Eiropas Parlamenta un Padomes prasībām izvērtējuma mērķis ir sniegt ieguldījumu iespējamam jaunam lēmumam par to EIB finansēšanas darījumu tvērumu, uz ko attiecas ES garantija laikposmā pēc 2020. gada</w:t>
      </w:r>
      <w:r>
        <w:rPr>
          <w:rStyle w:val="FootnoteReference"/>
          <w:rFonts w:ascii="Times New Roman" w:hAnsi="Times New Roman" w:cs="Times New Roman"/>
          <w:bCs/>
          <w:noProof/>
          <w:sz w:val="24"/>
          <w:szCs w:val="24"/>
        </w:rPr>
        <w:footnoteReference w:id="3"/>
      </w:r>
      <w:r>
        <w:rPr>
          <w:rFonts w:ascii="Times New Roman" w:hAnsi="Times New Roman"/>
          <w:bCs/>
          <w:noProof/>
          <w:sz w:val="24"/>
          <w:szCs w:val="24"/>
        </w:rPr>
        <w:t xml:space="preserve">. </w:t>
      </w:r>
    </w:p>
    <w:p>
      <w:pPr>
        <w:jc w:val="both"/>
        <w:rPr>
          <w:rFonts w:ascii="Times New Roman" w:hAnsi="Times New Roman" w:cs="Times New Roman"/>
          <w:bCs/>
          <w:noProof/>
          <w:sz w:val="24"/>
          <w:szCs w:val="24"/>
        </w:rPr>
      </w:pPr>
      <w:r>
        <w:rPr>
          <w:rFonts w:ascii="Times New Roman" w:hAnsi="Times New Roman"/>
          <w:bCs/>
          <w:noProof/>
          <w:sz w:val="24"/>
          <w:szCs w:val="24"/>
        </w:rPr>
        <w:t>Konkrētāk, izvērtējuma mērķis ir palīdzēt izstrādāt turpmākās ES budžeta garantijas Kaimiņattiecību, attīstības sadarbības un starptautiskās sadarbības instrumenta (</w:t>
      </w:r>
      <w:r>
        <w:rPr>
          <w:rFonts w:ascii="Times New Roman" w:hAnsi="Times New Roman"/>
          <w:bCs/>
          <w:i/>
          <w:iCs/>
          <w:noProof/>
          <w:sz w:val="24"/>
          <w:szCs w:val="24"/>
        </w:rPr>
        <w:t>NDICI</w:t>
      </w:r>
      <w:r>
        <w:rPr>
          <w:rFonts w:ascii="Times New Roman" w:hAnsi="Times New Roman"/>
          <w:bCs/>
          <w:noProof/>
          <w:sz w:val="24"/>
          <w:szCs w:val="24"/>
        </w:rPr>
        <w:t>) kontekstā, kuru Komisija ierosināja izveidot 2018. gada jūnijā. Nesen tika sākti trialogi par tiesību akta priekšlikumu</w:t>
      </w:r>
      <w:r>
        <w:rPr>
          <w:rFonts w:ascii="Times New Roman" w:hAnsi="Times New Roman" w:cs="Times New Roman"/>
          <w:bCs/>
          <w:noProof/>
          <w:sz w:val="24"/>
          <w:szCs w:val="24"/>
          <w:vertAlign w:val="superscript"/>
        </w:rPr>
        <w:footnoteReference w:id="4"/>
      </w:r>
      <w:r>
        <w:rPr>
          <w:rFonts w:ascii="Times New Roman" w:hAnsi="Times New Roman"/>
          <w:bCs/>
          <w:noProof/>
          <w:sz w:val="24"/>
          <w:szCs w:val="24"/>
        </w:rPr>
        <w:t>. Minētais izvērtējums ir viens no Komisijas ieguldījumiem Lietpratēju augsta līmeņa grupas par Eiropas finanšu arhitektūru attīstībai</w:t>
      </w:r>
      <w:r>
        <w:rPr>
          <w:rStyle w:val="FootnoteReference"/>
          <w:rFonts w:ascii="Times New Roman" w:hAnsi="Times New Roman" w:cs="Times New Roman"/>
          <w:bCs/>
          <w:noProof/>
          <w:sz w:val="24"/>
          <w:szCs w:val="24"/>
        </w:rPr>
        <w:footnoteReference w:id="5"/>
      </w:r>
      <w:r>
        <w:rPr>
          <w:rFonts w:ascii="Times New Roman" w:hAnsi="Times New Roman"/>
          <w:bCs/>
          <w:noProof/>
          <w:sz w:val="24"/>
          <w:szCs w:val="24"/>
        </w:rPr>
        <w:t xml:space="preserve"> darbā.</w:t>
      </w:r>
    </w:p>
    <w:p>
      <w:pPr>
        <w:jc w:val="both"/>
        <w:rPr>
          <w:rFonts w:ascii="Times New Roman" w:hAnsi="Times New Roman" w:cs="Times New Roman"/>
          <w:bCs/>
          <w:noProof/>
          <w:sz w:val="24"/>
          <w:szCs w:val="24"/>
        </w:rPr>
      </w:pPr>
      <w:r>
        <w:rPr>
          <w:rFonts w:ascii="Times New Roman" w:hAnsi="Times New Roman"/>
          <w:bCs/>
          <w:noProof/>
          <w:sz w:val="24"/>
          <w:szCs w:val="24"/>
        </w:rPr>
        <w:t>Paredzams, ka no 2021. gada ārējo aizdevumu mandāts tiks aizstāts ar plašāku instrumentu, proti, Eiropas Fondu ilgtspējīgai attīstībai plus (EFIA+), nodrošinot ES budžeta garantiju pieejamību EIB, kā arī citām starptautiskajām finanšu iestādēm (SFI) vai attīstības finanšu iestādēm (AFI) atvērtas finanšu arhitektūras kontekstā</w:t>
      </w:r>
      <w:r>
        <w:rPr>
          <w:rFonts w:ascii="Times New Roman" w:hAnsi="Times New Roman" w:cs="Times New Roman"/>
          <w:noProof/>
          <w:sz w:val="24"/>
          <w:szCs w:val="24"/>
          <w:vertAlign w:val="superscript"/>
        </w:rPr>
        <w:footnoteReference w:id="6"/>
      </w:r>
      <w:r>
        <w:rPr>
          <w:rFonts w:ascii="Times New Roman" w:hAnsi="Times New Roman"/>
          <w:noProof/>
          <w:sz w:val="24"/>
          <w:szCs w:val="24"/>
        </w:rPr>
        <w:t>.</w:t>
      </w:r>
    </w:p>
    <w:p>
      <w:pPr>
        <w:jc w:val="both"/>
        <w:rPr>
          <w:rFonts w:ascii="Times New Roman" w:hAnsi="Times New Roman" w:cs="Times New Roman"/>
          <w:bCs/>
          <w:noProof/>
          <w:sz w:val="24"/>
          <w:szCs w:val="24"/>
        </w:rPr>
      </w:pPr>
      <w:r>
        <w:rPr>
          <w:rFonts w:ascii="Times New Roman" w:hAnsi="Times New Roman"/>
          <w:bCs/>
          <w:noProof/>
          <w:sz w:val="24"/>
          <w:szCs w:val="24"/>
        </w:rPr>
        <w:t xml:space="preserve">Izvērtējumā tika aplūkots pašreizējā ĀAM pamatā esošās budžeta garantijas lietderīgums, efektivitāte, nozīmīgums, saskaņotība un ES papildvērtība, salīdzinot ar gaidām, kuras Eiropas Parlaments un Padome sākotnēji pauda ĀAM lēmumā. </w:t>
      </w:r>
    </w:p>
    <w:p>
      <w:pPr>
        <w:jc w:val="both"/>
        <w:rPr>
          <w:rFonts w:ascii="Times New Roman" w:hAnsi="Times New Roman" w:cs="Times New Roman"/>
          <w:bCs/>
          <w:noProof/>
          <w:sz w:val="24"/>
          <w:szCs w:val="24"/>
        </w:rPr>
      </w:pPr>
      <w:r>
        <w:rPr>
          <w:rFonts w:ascii="Times New Roman" w:hAnsi="Times New Roman"/>
          <w:bCs/>
          <w:noProof/>
          <w:sz w:val="24"/>
          <w:szCs w:val="24"/>
        </w:rPr>
        <w:t xml:space="preserve">Ārējo aizdevumu mandāti Eiropas Investīciju bankai ir bijuši Eiropas Ekonomikas kopienas un pēc tam arī Eiropas Savienības ārpolitikas iezīme kopš 1977. gada. ES budžeta garantijas galvenais pamatojums ir šāds: tā uzlabo EIB riska uzņemšanās spēju, ievērojami ierobežojot EIB riska darījumus līdz profilam, kas atbilst EIB vadības struktūru paredzētajiem noteikumiem. Citiem vārdiem sakot, ES garantija palīdz EIB uzsākt ieguldījumu darbības riskantākā vidē ārpus ES, balstoties uz EIB esošo kapitāla un rezervju līmeni, vienlaikus palīdzot tai uzturēt tās AAA kredītreitingu. </w:t>
      </w:r>
    </w:p>
    <w:p>
      <w:pPr>
        <w:jc w:val="both"/>
        <w:rPr>
          <w:rFonts w:ascii="Times New Roman" w:hAnsi="Times New Roman" w:cs="Times New Roman"/>
          <w:bCs/>
          <w:noProof/>
          <w:sz w:val="24"/>
          <w:szCs w:val="24"/>
        </w:rPr>
      </w:pPr>
      <w:r>
        <w:rPr>
          <w:rFonts w:ascii="Times New Roman" w:hAnsi="Times New Roman"/>
          <w:noProof/>
          <w:sz w:val="24"/>
          <w:szCs w:val="24"/>
        </w:rPr>
        <w:t xml:space="preserve">ES garantija tradicionāli tiek piešķirta EIB uz laikposmu, kas sakrīt ar ES daudzgadu finanšu shēmu. Ārējo aizdevumu mandāta septiņu gadu ilgums ir bijis vērtīgs, palīdzot EIB attīstīt cilvēku un materiālās spējas, kas vajadzīgas, lai uzsāktu ieguldījumu darbības ārpus ES, t. i., darbības, kuru sagatavošana parasti ilgst vairāk nekā gadu. </w:t>
      </w:r>
      <w:r>
        <w:rPr>
          <w:rFonts w:ascii="Times New Roman" w:hAnsi="Times New Roman"/>
          <w:bCs/>
          <w:noProof/>
          <w:sz w:val="24"/>
          <w:szCs w:val="24"/>
        </w:rPr>
        <w:t xml:space="preserve">Apmaiņā pret ES garantijas sniegto paredzamību un riska mazināšanu paredzams, ka saskaņā ar ĀAM veiktie finansēšanas darījumi būs vērsti uz tādiem mērķiem un atbildīs tādiem nosacījumiem, kādus noteikuši Eiropas Parlaments un Padome. </w:t>
      </w:r>
    </w:p>
    <w:p>
      <w:pPr>
        <w:jc w:val="both"/>
        <w:rPr>
          <w:rFonts w:ascii="Times New Roman" w:hAnsi="Times New Roman" w:cs="Times New Roman"/>
          <w:bCs/>
          <w:noProof/>
          <w:sz w:val="24"/>
          <w:szCs w:val="24"/>
        </w:rPr>
      </w:pPr>
      <w:r>
        <w:rPr>
          <w:rFonts w:ascii="Times New Roman" w:hAnsi="Times New Roman"/>
          <w:bCs/>
          <w:noProof/>
          <w:sz w:val="24"/>
          <w:szCs w:val="24"/>
        </w:rPr>
        <w:t xml:space="preserve">ĀAM pamatā esošās ES garantijas tvērums atšķiras atkarībā no finansēšanas darījuma veida: uz EIB finansēšanas darījumiem ar publiskā sektora partneriem (parasti infrastruktūras attīstības jomā) attiecas vispārējā garantija, kas aptver darbības riskus, kā arī politiskus riskus. Uz EIB aizdevumiem bankām vai sabiedrībām, uz kurām attiecas valsts garantija un finansējums saskaņā ar ekonomikas noturības iniciatīvas privāto mandātu, kas izveidots </w:t>
      </w:r>
      <w:r>
        <w:rPr>
          <w:rFonts w:ascii="Times New Roman" w:hAnsi="Times New Roman"/>
          <w:bCs/>
          <w:noProof/>
        </w:rPr>
        <w:t xml:space="preserve">pēc ĀAM termiņa vidusposma novērtēšanas 2018. gadā, </w:t>
      </w:r>
      <w:r>
        <w:rPr>
          <w:rFonts w:ascii="Times New Roman" w:hAnsi="Times New Roman"/>
          <w:bCs/>
          <w:noProof/>
          <w:sz w:val="24"/>
          <w:szCs w:val="24"/>
        </w:rPr>
        <w:t>arī attiecas vispārējā garantija. Vispārējā garantija ļauj EIB atcelt riska prēmiju, kas tai citādi būtu jāiekļauj savā procentu likmē</w:t>
      </w:r>
      <w:r>
        <w:rPr>
          <w:rStyle w:val="FootnoteReference"/>
          <w:rFonts w:ascii="Times New Roman" w:hAnsi="Times New Roman" w:cs="Times New Roman"/>
          <w:bCs/>
          <w:noProof/>
          <w:sz w:val="24"/>
          <w:szCs w:val="24"/>
        </w:rPr>
        <w:footnoteReference w:id="7"/>
      </w:r>
      <w:r>
        <w:rPr>
          <w:rFonts w:ascii="Times New Roman" w:hAnsi="Times New Roman"/>
          <w:bCs/>
          <w:noProof/>
          <w:sz w:val="24"/>
          <w:szCs w:val="24"/>
        </w:rPr>
        <w:t>. Tā rezultātā partnervalstis vai to iestādes/uzņēmumi varēja aizņemties no EIB ar ievērojami zemākām izmaksām.</w:t>
      </w:r>
    </w:p>
    <w:p>
      <w:pPr>
        <w:jc w:val="both"/>
        <w:rPr>
          <w:rFonts w:ascii="Times New Roman" w:hAnsi="Times New Roman" w:cs="Times New Roman"/>
          <w:bCs/>
          <w:noProof/>
          <w:sz w:val="24"/>
          <w:szCs w:val="24"/>
        </w:rPr>
      </w:pPr>
      <w:r>
        <w:rPr>
          <w:rFonts w:ascii="Times New Roman" w:hAnsi="Times New Roman"/>
          <w:bCs/>
          <w:noProof/>
          <w:sz w:val="24"/>
          <w:szCs w:val="24"/>
        </w:rPr>
        <w:t>Turpretim uz EIB privātā sektora darbībām bez valsts garantijas attiecas tikai politiska riska garantija</w:t>
      </w:r>
      <w:r>
        <w:rPr>
          <w:rFonts w:ascii="Times New Roman" w:hAnsi="Times New Roman"/>
          <w:b/>
          <w:bCs/>
          <w:noProof/>
          <w:sz w:val="24"/>
          <w:szCs w:val="24"/>
        </w:rPr>
        <w:t xml:space="preserve"> </w:t>
      </w:r>
      <w:r>
        <w:rPr>
          <w:rFonts w:ascii="Times New Roman" w:hAnsi="Times New Roman"/>
          <w:bCs/>
          <w:noProof/>
          <w:sz w:val="24"/>
          <w:szCs w:val="24"/>
        </w:rPr>
        <w:t>no</w:t>
      </w:r>
      <w:r>
        <w:rPr>
          <w:rFonts w:ascii="Times New Roman" w:hAnsi="Times New Roman"/>
          <w:b/>
          <w:bCs/>
          <w:noProof/>
          <w:sz w:val="24"/>
          <w:szCs w:val="24"/>
        </w:rPr>
        <w:t xml:space="preserve"> </w:t>
      </w:r>
      <w:r>
        <w:rPr>
          <w:rFonts w:ascii="Times New Roman" w:hAnsi="Times New Roman"/>
          <w:bCs/>
          <w:noProof/>
          <w:sz w:val="24"/>
          <w:szCs w:val="24"/>
        </w:rPr>
        <w:t>ES, kas aptver konkrētas situācijas, kuras sīkāk definētas garantijas nolīgumā ar EIB: maksājuma neveikšana saistībā ar valūtas nepārvešanu, īpašuma ekspropriāciju, karu, pilsoņu nemieriem vai tiesiskuma neievērošanu, pārkāpjot līgumu. ES sniegtā politiska riska garantija nenodrošina EIB procentu likmes samazināšanu. Tomēr EIB aizdevumu cena joprojām ir klientiem pievilcīga, jo EIB izmaksas par aizņēmumiem no finanšu tirgiem ir zemas.</w:t>
      </w:r>
    </w:p>
    <w:p>
      <w:pPr>
        <w:jc w:val="both"/>
        <w:rPr>
          <w:rFonts w:ascii="Times New Roman" w:hAnsi="Times New Roman" w:cs="Times New Roman"/>
          <w:bCs/>
          <w:noProof/>
          <w:sz w:val="24"/>
          <w:szCs w:val="24"/>
        </w:rPr>
      </w:pPr>
      <w:r>
        <w:rPr>
          <w:rFonts w:ascii="Times New Roman" w:hAnsi="Times New Roman"/>
          <w:bCs/>
          <w:noProof/>
          <w:sz w:val="24"/>
          <w:szCs w:val="24"/>
        </w:rPr>
        <w:t>ES garantija aptver pirmos 65 % no EIB nenokārtotajiem riska darījumiem ĀAM finansēšanas darījumu ietvaros portfeļa līmenī. Tas nozīmē, ka — gadījumā, ja aizņēmējs nepilda saistības attiecībā uz EIB aizdevumu un EIB izmanto ES garantiju, lai kompensētu trūkstošo atmaksu, — ES ir pienākums pilnībā ievērot katru garantijas izmantošanas prasību līdz garantētā portfeļa maksimālajam apjomam 65 % apmērā. EIB nemaksā ES par budžeta garantijas nodrošināšanu un nesaņem nekādu tiešu atlīdzību no ES par minētā mandāta īstenošanu. EIB administratīvās izmaksas ĀAM kontekstā tiek segtas no uzcenojuma, kas iekļauts EIB procentu likmē, saskaņā ar tās standarta aizdevuma cenu politiku.</w:t>
      </w:r>
    </w:p>
    <w:p>
      <w:pPr>
        <w:jc w:val="both"/>
        <w:rPr>
          <w:rFonts w:ascii="Times New Roman" w:hAnsi="Times New Roman" w:cs="Times New Roman"/>
          <w:bCs/>
          <w:noProof/>
          <w:sz w:val="24"/>
          <w:szCs w:val="24"/>
        </w:rPr>
      </w:pPr>
      <w:r>
        <w:rPr>
          <w:rFonts w:ascii="Times New Roman" w:hAnsi="Times New Roman"/>
          <w:bCs/>
          <w:noProof/>
          <w:sz w:val="24"/>
          <w:szCs w:val="24"/>
        </w:rPr>
        <w:t>ĀAM ir viens no instrumentiem, kuru ES izmanto, lai īstenotu ES ārpolitikas prioritātes. ĀAM lēmumā ir minētas vispārīgās ES intereses un Savienības ārējo darbību regulējošie principi, kas noteikti Līgumā. Tajā arī izskaidrots, ka “jaunattīstības valstīs .. EIB finansēšanas darījumi .. veicina Savienības attīstības sadarbības politikas mērķus, jo īpaši — samazināt nabadzību, izmantojot iekļaujošu izaugsmi un ilgtspējīgu ekonomisko, vides un sociālo attīstību”. Pašreizējā ĀAM lēmumā ir definēti vairāki mērķi, kas ir jāatbalsta ar ES budžeta garantiju, proti, vietējā privātā sektora attīstība un sociāli ekonomiskās infrastruktūras attīstība; abi minētie mērķi var būt saistīti ar tādu mērķu veicināšanu kā klimata pārmaiņu mazināšana un pielāgošanās tām, reģionālā integrācija vai ekonomiskā noturība ilgtermiņā.</w:t>
      </w:r>
    </w:p>
    <w:p>
      <w:pPr>
        <w:keepNext/>
        <w:numPr>
          <w:ilvl w:val="0"/>
          <w:numId w:val="6"/>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Izvērtējuma galvenie konstatējumi</w:t>
      </w:r>
    </w:p>
    <w:p>
      <w:pPr>
        <w:jc w:val="both"/>
        <w:rPr>
          <w:rFonts w:ascii="Times New Roman" w:hAnsi="Times New Roman" w:cs="Times New Roman"/>
          <w:bCs/>
          <w:noProof/>
          <w:sz w:val="24"/>
          <w:szCs w:val="24"/>
        </w:rPr>
      </w:pPr>
      <w:r>
        <w:rPr>
          <w:rFonts w:ascii="Times New Roman" w:hAnsi="Times New Roman"/>
          <w:bCs/>
          <w:noProof/>
          <w:sz w:val="24"/>
          <w:szCs w:val="24"/>
        </w:rPr>
        <w:t>Komisijas izvērtējumu ietekmē būtisks ierobežojums, kas ir saistīts ar to, ka ieguldījumu darbību īstenošanai saskaņā ar ĀAM ir vajadzīgi vairāki gadi, jo īpaši attiecībā uz infrastruktūras projektiem. Tāpēc pašlaik ir pieejama ierobežota informācija par finansēto darbību faktiskajiem rezultātiem un ietekmi. E</w:t>
      </w:r>
      <w:r>
        <w:rPr>
          <w:rFonts w:ascii="Times New Roman" w:hAnsi="Times New Roman"/>
          <w:noProof/>
          <w:sz w:val="24"/>
          <w:szCs w:val="24"/>
        </w:rPr>
        <w:t>IB rezultātu novērtēšanas sistēma pagaidām lielā mērā paļaujas uz sākotnējām aplēsēm, un dati par sasniegtajiem rezultātiem tiek saņemti ar ievērojamu laika nobīdi. Tāpēc Komisijas izvērtējumā tika izmantoti galvenokārt pašlaik pieejamie dati par parakstītajām un izmaksātajām finansējuma summām, ņemot vērā konstatējumus, kas izdarīti 2018. gada vidū pabeigtajā ārējā pētījumā</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kā arī dažādu ieinteresēto personu izteiktos novērojumus.</w:t>
      </w:r>
    </w:p>
    <w:p>
      <w:pPr>
        <w:jc w:val="both"/>
        <w:rPr>
          <w:rFonts w:ascii="Times New Roman" w:hAnsi="Times New Roman" w:cs="Times New Roman"/>
          <w:noProof/>
          <w:sz w:val="24"/>
          <w:szCs w:val="24"/>
        </w:rPr>
      </w:pPr>
      <w:r>
        <w:rPr>
          <w:rFonts w:ascii="Times New Roman" w:hAnsi="Times New Roman"/>
          <w:bCs/>
          <w:noProof/>
          <w:sz w:val="24"/>
          <w:szCs w:val="24"/>
        </w:rPr>
        <w:t>Saskaņā ar ĀAM lēmumu pašlaik 64 valstīm ārpus ES ir tiesības darījumiem saņemt EIB finansējumu, ko sedz ES budžeta garantija. EIB ir noslēgusi pamatnolīgumus ar 57 no šīm valstīm un tādējādi pašlaik spēj veikt finansēšanas darījumus šajās valstīs. Izvērtētajā periodā EIB ĀAM ietvaros parakstīja finansēšanas darījumus 38 valstīs, bet pašu riska mehānismu ietvaros</w:t>
      </w:r>
      <w:r>
        <w:rPr>
          <w:rFonts w:ascii="Times New Roman" w:hAnsi="Times New Roman" w:cs="Times New Roman"/>
          <w:noProof/>
          <w:sz w:val="24"/>
          <w:szCs w:val="24"/>
          <w:vertAlign w:val="superscript"/>
        </w:rPr>
        <w:footnoteReference w:id="9"/>
      </w:r>
      <w:r>
        <w:rPr>
          <w:rFonts w:ascii="Times New Roman" w:hAnsi="Times New Roman"/>
          <w:bCs/>
          <w:noProof/>
          <w:sz w:val="24"/>
          <w:szCs w:val="24"/>
        </w:rPr>
        <w:t> — vēl 6 valstīs</w:t>
      </w:r>
      <w:r>
        <w:rPr>
          <w:rFonts w:ascii="Times New Roman" w:hAnsi="Times New Roman"/>
          <w:noProof/>
          <w:sz w:val="24"/>
          <w:szCs w:val="24"/>
        </w:rPr>
        <w:t>. ĀAM ļauj EIB veikt finansēšanas darījumus valstīs, kurās risks ir augstāks, salīdzinot ar valstīm, kurās tā citādi varētu darboties, izmantojot pašu riska mehānismus</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ES budžeta garantijas kopējas maksimālais apjoms EIB ārējo darbību jomā 2014.–2020. gadā ir 32,3 miljardi EUR. </w:t>
      </w:r>
      <w:r>
        <w:rPr>
          <w:rFonts w:ascii="Times New Roman" w:hAnsi="Times New Roman"/>
          <w:bCs/>
          <w:noProof/>
          <w:sz w:val="24"/>
          <w:szCs w:val="24"/>
        </w:rPr>
        <w:t xml:space="preserve">2018. gada beigās kopējie neto parakstītie darījumi EIB finansēšanas darījumos ĀAM ietvaros 2014.–2020. gadam sasniedza 17,6 miljardus EUR, t. i., aptuveni 54 % no kopējās garantijas maksimālā apjoma, kā tika konstatēts termiņa vidusposma novērtēšanā. </w:t>
      </w:r>
      <w:r>
        <w:rPr>
          <w:rFonts w:ascii="Times New Roman" w:hAnsi="Times New Roman"/>
          <w:noProof/>
          <w:sz w:val="24"/>
          <w:szCs w:val="24"/>
        </w:rPr>
        <w:t>Salīdzinājumam (tikai aptuvenam salīdzinājumam atšķirīgās tirgus vides, kā arī ģeopolitiskā un regulatīvā konteksta dēļ) var norādīt, ka 2011. gada beigās, t. i., iepriekšējā ārējā mandāta līdzīgā posmā, izmantošanas rādītājs bija 66 %. Laikposmā no 2014. līdz 2018. gadam ĀAM ietvaros tika finansēti 189 darījumi, kuru vidējais apjoms bija aptuveni 90 miljoni EUR.</w:t>
      </w:r>
    </w:p>
    <w:p>
      <w:pPr>
        <w:jc w:val="both"/>
        <w:rPr>
          <w:rFonts w:ascii="Times New Roman" w:hAnsi="Times New Roman" w:cs="Times New Roman"/>
          <w:noProof/>
          <w:sz w:val="24"/>
          <w:szCs w:val="24"/>
        </w:rPr>
      </w:pPr>
      <w:r>
        <w:rPr>
          <w:rFonts w:ascii="Times New Roman" w:hAnsi="Times New Roman"/>
          <w:noProof/>
          <w:sz w:val="24"/>
          <w:szCs w:val="24"/>
        </w:rPr>
        <w:t>To, ka EIB salīdzinoši ierobežotā mērā ir izmantojusi ĀAM 2014.–2020. gada garantijas maksimālo apjomu, var daļēji saistīt ar notikumiem Turcijā kopš 2016. gada un karu Austrumukrainā kopš 2014. gada</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w:t>
      </w:r>
      <w:r>
        <w:rPr>
          <w:noProof/>
          <w:sz w:val="24"/>
          <w:szCs w:val="24"/>
        </w:rPr>
        <w:t xml:space="preserve"> </w:t>
      </w:r>
      <w:r>
        <w:rPr>
          <w:rFonts w:ascii="Times New Roman" w:hAnsi="Times New Roman"/>
          <w:noProof/>
          <w:sz w:val="24"/>
          <w:szCs w:val="24"/>
        </w:rPr>
        <w:t>Turklāt saskaņā ar pašreizējo ĀAM lēmumu ES kaimiņreģionam (austrumu un dienvidu) piešķirtais garantijas maksimālais apjoms kopumā ir par 6 miljardiem EUR lielāks nekā iepriekšējā mandāta maksimālais apjoms, bet apguves spēju ir samazinājis karš Sīrijā un politiskā nestabilitāte vairākās citās valstīs. Kopā šie ārējie faktori lielā mērā izskaidro to, kāpēc EIB pieejamo garantijas maksimālo apjomu līdz 2018. gada beigām tika izmantojusi mazākā apmērā nekā tajā pašā posmā iepriekšējā ārējā mandāta laikā.</w:t>
      </w:r>
    </w:p>
    <w:p>
      <w:pPr>
        <w:jc w:val="both"/>
        <w:rPr>
          <w:rFonts w:ascii="Times New Roman" w:hAnsi="Times New Roman" w:cs="Times New Roman"/>
          <w:noProof/>
          <w:sz w:val="24"/>
          <w:szCs w:val="24"/>
        </w:rPr>
      </w:pPr>
      <w:r>
        <w:rPr>
          <w:rFonts w:ascii="Times New Roman" w:hAnsi="Times New Roman"/>
          <w:noProof/>
          <w:sz w:val="24"/>
          <w:szCs w:val="24"/>
        </w:rPr>
        <w:t xml:space="preserve">Vēl vienu atbilstošu ES garantijas kvantitatīvo </w:t>
      </w:r>
      <w:r>
        <w:rPr>
          <w:rFonts w:ascii="Times New Roman" w:hAnsi="Times New Roman"/>
          <w:b/>
          <w:bCs/>
          <w:noProof/>
          <w:sz w:val="24"/>
          <w:szCs w:val="24"/>
        </w:rPr>
        <w:t>lietderīguma</w:t>
      </w:r>
      <w:r>
        <w:rPr>
          <w:rFonts w:ascii="Times New Roman" w:hAnsi="Times New Roman"/>
          <w:noProof/>
          <w:sz w:val="24"/>
          <w:szCs w:val="24"/>
        </w:rPr>
        <w:t xml:space="preserve"> rādītāju var iegūt no izmaksu rādītāju analīzes</w:t>
      </w:r>
      <w:r>
        <w:rPr>
          <w:rFonts w:ascii="Times New Roman" w:hAnsi="Times New Roman"/>
          <w:b/>
          <w:noProof/>
          <w:sz w:val="24"/>
          <w:szCs w:val="24"/>
        </w:rPr>
        <w:t xml:space="preserve"> </w:t>
      </w:r>
      <w:r>
        <w:rPr>
          <w:rFonts w:ascii="Times New Roman" w:hAnsi="Times New Roman"/>
          <w:noProof/>
          <w:sz w:val="24"/>
          <w:szCs w:val="24"/>
        </w:rPr>
        <w:t xml:space="preserve">ĀAM ietvaros, proti, tā ir attiecība starp finansējumu, ko EIB faktiski ir izmaksājusi, un summām, kuras parakstītas EIB finansēšanas līgumos ar tās partneriem (atskaitot vēlāk anulētās summas). Tāpat kā garantijas izmantošanas rādītāju analīzē, arī izmaksu analīzē ir jāņem vērā tirgus vides un ģeopolitiskā un regulatīvā konteksta dinamiskās atšķirības. </w:t>
      </w:r>
    </w:p>
    <w:p>
      <w:pPr>
        <w:jc w:val="both"/>
        <w:rPr>
          <w:rFonts w:ascii="Times New Roman" w:hAnsi="Times New Roman" w:cs="Times New Roman"/>
          <w:noProof/>
          <w:sz w:val="24"/>
          <w:szCs w:val="24"/>
        </w:rPr>
      </w:pPr>
      <w:r>
        <w:rPr>
          <w:rFonts w:ascii="Times New Roman" w:hAnsi="Times New Roman"/>
          <w:noProof/>
          <w:sz w:val="24"/>
          <w:szCs w:val="24"/>
        </w:rPr>
        <w:t xml:space="preserve">EIB līdz 2018. gada beigām atbilstoši ĀAM 2014.–2020. gadam izmaksāja 5,8 miljardus EUR jeb 33 % no neto parakstītajiem darījumiem, bet 2011. gada beigās EIB bija izmaksājusi 8,5 miljardus EUR jeb 44 % no parakstīto summu neto apjoma saskaņā ar tās ārējo mandātu 2007.–2013. gadam. </w:t>
      </w:r>
    </w:p>
    <w:p>
      <w:pPr>
        <w:jc w:val="both"/>
        <w:rPr>
          <w:rFonts w:ascii="Times New Roman" w:hAnsi="Times New Roman" w:cs="Times New Roman"/>
          <w:noProof/>
          <w:sz w:val="24"/>
          <w:szCs w:val="24"/>
        </w:rPr>
      </w:pPr>
      <w:r>
        <w:rPr>
          <w:rFonts w:ascii="Times New Roman" w:hAnsi="Times New Roman"/>
          <w:noProof/>
          <w:sz w:val="24"/>
          <w:szCs w:val="24"/>
        </w:rPr>
        <w:t>Izmaksu lēnāko tempu atbilstoši ĀAM 2014.–2020. gadam, salīdzinot ar iepriekšējo mandātu, šķiet, var izskaidrot galvenokārt ar ārējiem faktoriem, piemēram, ar vāju tiesisko regulējumu, sadrumstalotiem tiesību aktiem, valdības nestabilitāti, zemām iestāžu spējām, darbinieku mainību un lēnām un neefektīvām procedūrām saņēmējvalstīs. Valsts un pašvaldību garantētie aizdevumi ir īpaši uzņēmīgi pret šādiem faktoriem, jo pirms infrastruktūras aizdevumu izmaksas ir jāizpilda vairāki nosacījumi, piemēram, tehniskās sagatavošanās un iepirkuma ziņā. Turklāt daudzās valstīs valsts aizņēmums no EIB ir jāratificē parlamentā un tas paildzina projekta īstenošanu</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Attiecībā uz iekšējiem faktoriem, kas skar ĀAM izstrādi vai EIB īstenošanu, — par lielu parakstīšanas apjomu ir vieglāk paziņot, kā arī tam parasti tiek veltīts vairāk uzmanības nekā izmaksām. Norit arī diskusija ar EIB vadības struktūrām par EIB stimulu sistēmas piemērotību, tostarp attiecībā uz darbinieku atalgojumu un relatīvo uzmanības veltīšanu saistību apjomiem pretstatā izmaksām un kvalitatīvajiem aspektiem.</w:t>
      </w:r>
    </w:p>
    <w:p>
      <w:pPr>
        <w:jc w:val="both"/>
        <w:rPr>
          <w:rFonts w:ascii="Times New Roman" w:hAnsi="Times New Roman" w:cs="Times New Roman"/>
          <w:noProof/>
          <w:sz w:val="24"/>
          <w:szCs w:val="24"/>
        </w:rPr>
      </w:pPr>
      <w:r>
        <w:rPr>
          <w:rFonts w:ascii="Times New Roman" w:hAnsi="Times New Roman"/>
          <w:noProof/>
          <w:sz w:val="24"/>
          <w:szCs w:val="24"/>
        </w:rPr>
        <w:t>Lielākā daļa ĀAM darījumu ietver aizdevumus publiskajam sektoram infrastruktūras attīstībai. 2018. gada beigās šie darījumi veidoja gandrīz 11 miljardus EUR no parakstītajiem darījumiem. Darījumi, ar kuriem finansē privātā sektora attīstību un uz kuriem attiecas vispārējā garantija, veidoja aptuveni ceturto daļu no parakstītajiem darījumiem ĀAM ietvaros 2014.–2018. gadā. Visbeidzot, darījumi, uz kuriem attiecas politiska riska garantija, veidoja aptuveni desmito daļu no parakstītajām ĀAM summām. Pēdējie minētie darījumi nodrošina finansējumu komercbankām vai komercsabiedrībām un uzrāda salīdzinoši ātras izmaksas.</w:t>
      </w:r>
    </w:p>
    <w:p>
      <w:pPr>
        <w:jc w:val="both"/>
        <w:rPr>
          <w:rFonts w:ascii="Times New Roman" w:hAnsi="Times New Roman" w:cs="Times New Roman"/>
          <w:noProof/>
          <w:sz w:val="24"/>
          <w:szCs w:val="24"/>
        </w:rPr>
      </w:pPr>
      <w:r>
        <w:rPr>
          <w:rFonts w:ascii="Times New Roman" w:hAnsi="Times New Roman"/>
          <w:noProof/>
          <w:sz w:val="24"/>
          <w:szCs w:val="24"/>
        </w:rPr>
        <w:t xml:space="preserve">Pateicoties ES garantijai, saņēmējiem piemēro mazākas izmaksas par EIB finansējumu, kas paredzēts ilgākam laika periodam. Tas ir ļoti izdevīgi publiskā sektora ieguldījumiem, taču rada bažas par to, ka nelabvēlīgākā situācijā nonāk bankas un uzņēmumi, kas saņem finansējumu citur uz mazāk labvēlīgiem noteikumiem. ĀAM lēmumā ir paredzēts, ka ĀAM finansēšanas darījumiem “saskaņā ar EIB veikto novērtējumu ir papildvērtība”, taču nav skaidras prasības par to </w:t>
      </w:r>
      <w:r>
        <w:rPr>
          <w:rFonts w:ascii="Times New Roman" w:hAnsi="Times New Roman"/>
          <w:i/>
          <w:iCs/>
          <w:noProof/>
          <w:sz w:val="24"/>
          <w:szCs w:val="24"/>
        </w:rPr>
        <w:t>papildināmību</w:t>
      </w:r>
      <w:r>
        <w:rPr>
          <w:rFonts w:ascii="Times New Roman" w:hAnsi="Times New Roman"/>
          <w:noProof/>
          <w:sz w:val="24"/>
          <w:szCs w:val="24"/>
        </w:rPr>
        <w:t>, lai tiktu novērsts tas, ka tiek aizstāts iespējamais atbalsts un ieguldījumi no citiem publiskiem vai privātiem avotiem. Pēdējā minētā prasība tiks piemērota EIB finansēšanas darījumiem, uz kuriem attiecas ES budžeta garantija pēc 2020. gada</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w:t>
      </w:r>
    </w:p>
    <w:p>
      <w:pPr>
        <w:jc w:val="both"/>
        <w:rPr>
          <w:rFonts w:ascii="Times New Roman" w:hAnsi="Times New Roman" w:cs="Times New Roman"/>
          <w:bCs/>
          <w:noProof/>
          <w:sz w:val="24"/>
          <w:szCs w:val="24"/>
        </w:rPr>
      </w:pPr>
      <w:r>
        <w:rPr>
          <w:rFonts w:ascii="Times New Roman" w:hAnsi="Times New Roman"/>
          <w:noProof/>
          <w:sz w:val="24"/>
          <w:szCs w:val="24"/>
        </w:rPr>
        <w:t>Aktualizētajās ĀAM reģionālajās tehniskajās darbības vadlīnijās, kuras Komisija izdevusi 2019. gada aprīlī, ir norādīts, ka, lai pēc iespējas novērstu tāda tirgus izkropļojuma risku, kādu potenciāli varētu radīt EIB pasākums, uz kuru attiecas ES budžeta garantija, EIB būtu jāpievērš rūpīga uzmanība EIB pasākuma papildvērtībai. Tas ir īpaši svarīgi, pētot iespējamos darījumus nozarēs un valstīs, kur pastāv spēcīga konkurence un/vai tirgus vai tirgum tuvi apstākļi</w:t>
      </w:r>
      <w:r>
        <w:rPr>
          <w:rFonts w:ascii="Times New Roman" w:hAnsi="Times New Roman" w:cs="Times New Roman"/>
          <w:noProof/>
          <w:sz w:val="24"/>
          <w:szCs w:val="24"/>
          <w:vertAlign w:val="superscript"/>
        </w:rPr>
        <w:footnoteReference w:id="14"/>
      </w:r>
      <w:r>
        <w:rPr>
          <w:rFonts w:ascii="Times New Roman" w:hAnsi="Times New Roman"/>
          <w:noProof/>
          <w:sz w:val="24"/>
          <w:szCs w:val="24"/>
        </w:rPr>
        <w:t xml:space="preserve">. </w:t>
      </w:r>
      <w:r>
        <w:rPr>
          <w:rFonts w:ascii="Times New Roman" w:hAnsi="Times New Roman"/>
          <w:bCs/>
          <w:noProof/>
          <w:sz w:val="24"/>
          <w:szCs w:val="24"/>
        </w:rPr>
        <w:t>Tirgus izkropļojuma risku jo īpaši varētu novērst, vairāk izmantojot iespēju palielināt EIB procentu likmju modulāciju attiecīgā gadījumā, ņemot vērā tirgus apstākļus.</w:t>
      </w:r>
    </w:p>
    <w:p>
      <w:pPr>
        <w:jc w:val="both"/>
        <w:rPr>
          <w:rFonts w:ascii="Times New Roman" w:hAnsi="Times New Roman" w:cs="Times New Roman"/>
          <w:noProof/>
          <w:sz w:val="24"/>
          <w:szCs w:val="24"/>
        </w:rPr>
      </w:pPr>
      <w:r>
        <w:rPr>
          <w:rFonts w:ascii="Times New Roman" w:hAnsi="Times New Roman"/>
          <w:noProof/>
          <w:sz w:val="24"/>
          <w:szCs w:val="24"/>
        </w:rPr>
        <w:t>Ģeogrāfiskā ziņā ĀAM īstenošana saskaņā ar situāciju 2018. gada beigās dažādos reģionos ir atšķirīga.</w:t>
      </w:r>
    </w:p>
    <w:p>
      <w:pPr>
        <w:pStyle w:val="ListParagraph"/>
        <w:numPr>
          <w:ilvl w:val="0"/>
          <w:numId w:val="1"/>
        </w:numPr>
        <w:spacing w:after="120"/>
        <w:ind w:left="357" w:hanging="357"/>
        <w:contextualSpacing w:val="0"/>
        <w:rPr>
          <w:noProof/>
          <w:szCs w:val="24"/>
        </w:rPr>
      </w:pPr>
      <w:r>
        <w:rPr>
          <w:noProof/>
        </w:rPr>
        <w:t xml:space="preserve">Pirmspievienošanās valstu reģionā EIB līdz 2018. gada beigām ir izmantojusi aptuveni 41 % no šim reģionam paredzētā garantijas maksimālā apjoma. ES garantija bija ļoti svarīga EIB, lai finansētu darījumus Rietumbalkānu valstīs. Tomēr pēc 2016. gada EIB pasākumu apjoms Turcijā ir samazināts. </w:t>
      </w:r>
    </w:p>
    <w:p>
      <w:pPr>
        <w:pStyle w:val="ListParagraph"/>
        <w:numPr>
          <w:ilvl w:val="0"/>
          <w:numId w:val="1"/>
        </w:numPr>
        <w:spacing w:after="120"/>
        <w:ind w:left="357" w:hanging="357"/>
        <w:contextualSpacing w:val="0"/>
        <w:rPr>
          <w:noProof/>
          <w:szCs w:val="24"/>
        </w:rPr>
      </w:pPr>
      <w:r>
        <w:rPr>
          <w:noProof/>
        </w:rPr>
        <w:t xml:space="preserve">Dienvidu kaimiņreģionā EIB līdz 2018. gada beigām ir izmantojusi aptuveni pusi no garantijas maksimālā apjoma. Pat privātā sektora darījumos (uz kuriem attiecas valsts garantija) EIB bieži izmanto </w:t>
      </w:r>
      <w:r>
        <w:rPr>
          <w:i/>
          <w:noProof/>
          <w:szCs w:val="24"/>
        </w:rPr>
        <w:t>vispārējo garantiju</w:t>
      </w:r>
      <w:r>
        <w:rPr>
          <w:noProof/>
        </w:rPr>
        <w:t>, jo citādi uz tiem attiektos tikai politiska riska garantija. Šajā reģionā publiskās infrastruktūras projektu īstenošana bieži vien ir kavējusies.</w:t>
      </w:r>
    </w:p>
    <w:p>
      <w:pPr>
        <w:pStyle w:val="ListParagraph"/>
        <w:numPr>
          <w:ilvl w:val="0"/>
          <w:numId w:val="1"/>
        </w:numPr>
        <w:spacing w:after="120"/>
        <w:ind w:left="357" w:hanging="357"/>
        <w:contextualSpacing w:val="0"/>
        <w:rPr>
          <w:noProof/>
          <w:szCs w:val="24"/>
        </w:rPr>
      </w:pPr>
      <w:r>
        <w:rPr>
          <w:noProof/>
        </w:rPr>
        <w:t>Austrumu kaimiņreģionā EIB savu finansēšanas darījumu segumam izmantoja gandrīz tikai ĀAM, tikpat kā nemaz nepiešķirot aizdevumus, kuri balstās uz pašu risku. EIB ir izmantojusi lielāko daļu no reģionālās garantijas maksimālā apjoma (78 %), jo īpaši Ukrainas atbalstam saistībā ar to, ka Krievija 2014. gadā nelikumīgi anektēja Krimas pussalu, kā arī saistībā ar pastāvīgo destabilizējošo darbību. Tomēr daudzu ĀAM darījumu īstenošana vēl nav sākta un izmaksu rādītājs joprojām ir ļoti zems (23 % no neto parakstītajiem darījumiem saskaņā ar situāciju 2018. gada beigās).</w:t>
      </w:r>
    </w:p>
    <w:p>
      <w:pPr>
        <w:pStyle w:val="ListParagraph"/>
        <w:numPr>
          <w:ilvl w:val="0"/>
          <w:numId w:val="1"/>
        </w:numPr>
        <w:spacing w:after="120"/>
        <w:ind w:left="357" w:hanging="357"/>
        <w:contextualSpacing w:val="0"/>
        <w:rPr>
          <w:noProof/>
          <w:szCs w:val="24"/>
        </w:rPr>
      </w:pPr>
      <w:r>
        <w:rPr>
          <w:noProof/>
        </w:rPr>
        <w:t>ĀAM īstenošanā vislielākais progress ir panākts Latīņamerikā un Dienvidāfrikā; tomēr šie darījumi veido tikai desmito daļu no ES budžeta garantijas maksimālā apjoma. Āzijā un Vidusāzijā ES garantijas izmantošanas rādītājs ir augsts, bet īstenošanas līmenis izmaksu ziņā ir diezgan zems.</w:t>
      </w:r>
    </w:p>
    <w:p>
      <w:pPr>
        <w:jc w:val="both"/>
        <w:rPr>
          <w:rFonts w:ascii="Times New Roman" w:hAnsi="Times New Roman" w:cs="Times New Roman"/>
          <w:noProof/>
          <w:sz w:val="24"/>
          <w:szCs w:val="24"/>
        </w:rPr>
      </w:pPr>
      <w:r>
        <w:rPr>
          <w:rFonts w:ascii="Times New Roman" w:hAnsi="Times New Roman"/>
          <w:noProof/>
          <w:sz w:val="24"/>
          <w:szCs w:val="24"/>
        </w:rPr>
        <w:t xml:space="preserve">ĀAM pārsniedz ES likumdevēja noteiktos mērķus saistībā ar atbalstu, kas sniegts attiecībā uz klimata pārmaiņu mazināšanu un pielāgošanos tām. Ar klimatu saistītais finansējums, kas parakstīts ĀAM ietvaros 2014.–2018. gadā, veido 34 % no visām parakstītajām finansējuma summām, proti, tas pārsniedz 25 % mērķi. </w:t>
      </w:r>
    </w:p>
    <w:p>
      <w:pPr>
        <w:jc w:val="both"/>
        <w:rPr>
          <w:rFonts w:ascii="Times New Roman" w:hAnsi="Times New Roman" w:cs="Times New Roman"/>
          <w:noProof/>
          <w:sz w:val="24"/>
          <w:szCs w:val="24"/>
        </w:rPr>
      </w:pPr>
      <w:r>
        <w:rPr>
          <w:rFonts w:ascii="Times New Roman" w:hAnsi="Times New Roman"/>
          <w:noProof/>
          <w:sz w:val="24"/>
          <w:szCs w:val="24"/>
        </w:rPr>
        <w:t xml:space="preserve">ES garantijas </w:t>
      </w:r>
      <w:r>
        <w:rPr>
          <w:rFonts w:ascii="Times New Roman" w:hAnsi="Times New Roman"/>
          <w:b/>
          <w:bCs/>
          <w:noProof/>
          <w:sz w:val="24"/>
          <w:szCs w:val="24"/>
        </w:rPr>
        <w:t>efektivitāte</w:t>
      </w:r>
      <w:r>
        <w:rPr>
          <w:rFonts w:ascii="Times New Roman" w:hAnsi="Times New Roman"/>
          <w:noProof/>
          <w:sz w:val="24"/>
          <w:szCs w:val="24"/>
        </w:rPr>
        <w:t xml:space="preserve"> un </w:t>
      </w:r>
      <w:r>
        <w:rPr>
          <w:rFonts w:ascii="Times New Roman" w:hAnsi="Times New Roman"/>
          <w:b/>
          <w:bCs/>
          <w:noProof/>
          <w:sz w:val="24"/>
          <w:szCs w:val="24"/>
        </w:rPr>
        <w:t>papildvērtība</w:t>
      </w:r>
      <w:r>
        <w:rPr>
          <w:rFonts w:ascii="Times New Roman" w:hAnsi="Times New Roman"/>
          <w:noProof/>
          <w:sz w:val="24"/>
          <w:szCs w:val="24"/>
        </w:rPr>
        <w:t xml:space="preserve"> atbilst likumdevēju gaidām. Salīdzinot ar budžeta summām, kas atliktas Garantiju fondā, saņēmējiem jebkurā laikā piešķir aptuveni 11 reizes lielāku EIB finansējumu, un ir mobilizēts vairāk nekā 20 reizes lielāks kopējais ieguldījumu apjoms</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Līdz šim ES budžeta garantija nav tikusi izmantota darījumiem 2014.–2020. gada ĀAM ietvaros. Kā aprakstīts Komisijas gada ziņojumos, EIB ir izmantojusi ES garantiju saistībā ar vairākiem darījumiem Sīrijā kopš 2012. gada, kā arī vienam darījumam Tunisijā (Enfidhas lidosta). Visi šie darījumi attiecas uz iepriekšējiem ārējiem mandātiem, un tiek īstenoti pasākumi, kuru mērķis ir atgūt neatmaksātās summas. Summas, kas iepriekšējās desmitgadēs tika iegūtas no Garantiju fonda ārējai darbībai, ir atgūtas.</w:t>
      </w:r>
    </w:p>
    <w:p>
      <w:pPr>
        <w:tabs>
          <w:tab w:val="left" w:pos="1418"/>
        </w:tabs>
        <w:jc w:val="both"/>
        <w:rPr>
          <w:rFonts w:ascii="Times New Roman" w:hAnsi="Times New Roman" w:cs="Times New Roman"/>
          <w:noProof/>
          <w:sz w:val="24"/>
          <w:szCs w:val="24"/>
        </w:rPr>
      </w:pPr>
      <w:r>
        <w:rPr>
          <w:rFonts w:ascii="Times New Roman" w:hAnsi="Times New Roman"/>
          <w:noProof/>
          <w:sz w:val="24"/>
          <w:szCs w:val="24"/>
        </w:rPr>
        <w:t>ĀAM stimulē EIB savā bilancē uzņemties salīdzinoši lielas aizdevumu summas, proti, līdz 50 % no tās līdzfinansējuma robežvērtības katram projektam, jo ES garantija, kas veido ĀAM pamatu, attiecas tikai uz EIB, nevis uz citiem līdzieguldītājiem. 2017. gadā tika ieviests cits ES intervences modelis ar Eiropas Fonda ilgtspējīgai attīstībai (EFIA) garantiju; tajā ES garantija var būt pirmās vai otrās kārtas zaudējumu vienība, kas aizsargā ne vien īstenojošo finanšu iestādi, bet arī (vai galvenokārt) citus līdzieguldītājus. EFIA modelim ir nepieciešama daudz augstāka uzkrājumu likme (pašlaik 50 %), jo ES intervencei ir paredzēts augstāks finanšu risks, skaidri pievēršoties arī vismazāk attīstītajām valstīm, taču tas var būt piemērotāks tādu darījumu finansēšanai, kur privātā sektora ieguldījumu iesaistīšana ir svarīgs mērķis, arī saistībā ar atlīdzības principu EFIA garantijas ietvaros.</w:t>
      </w:r>
    </w:p>
    <w:p>
      <w:pPr>
        <w:jc w:val="both"/>
        <w:rPr>
          <w:rFonts w:ascii="Times New Roman" w:hAnsi="Times New Roman" w:cs="Times New Roman"/>
          <w:noProof/>
          <w:sz w:val="24"/>
          <w:szCs w:val="24"/>
        </w:rPr>
      </w:pPr>
      <w:r>
        <w:rPr>
          <w:rFonts w:ascii="Times New Roman" w:hAnsi="Times New Roman"/>
          <w:noProof/>
          <w:sz w:val="24"/>
          <w:szCs w:val="24"/>
        </w:rPr>
        <w:t xml:space="preserve">ĀAM ir </w:t>
      </w:r>
      <w:r>
        <w:rPr>
          <w:rFonts w:ascii="Times New Roman" w:hAnsi="Times New Roman"/>
          <w:b/>
          <w:bCs/>
          <w:noProof/>
          <w:sz w:val="24"/>
          <w:szCs w:val="24"/>
        </w:rPr>
        <w:t>nozīmīga</w:t>
      </w:r>
      <w:r>
        <w:rPr>
          <w:rFonts w:ascii="Times New Roman" w:hAnsi="Times New Roman"/>
          <w:noProof/>
          <w:sz w:val="24"/>
          <w:szCs w:val="24"/>
        </w:rPr>
        <w:t xml:space="preserve"> loma, atbalstot ES ārpolitikas mērķu īstenošanu. Tomēr lielākā ĀAM garantijas daļa pašlaik ir piešķirta darījumu atbalstam valstīs ar vidēji augstiem ienākumiem, un tikai dažus darījumus EIB finansē vismazāk attīstītajās valstīs. To var uztvert kā trūkumu, vērtējot ĀAM nozīmīgumu ES attīstības sadarbības politikas kontekstā, un tam būtu jāpievērš uzmanība, izstrādājot turpmākās ES garantijas, vienlaikus ņemot vērā ierobežojumus parāda atmaksājamības ziņā.</w:t>
      </w:r>
    </w:p>
    <w:p>
      <w:pPr>
        <w:jc w:val="both"/>
        <w:rPr>
          <w:rFonts w:ascii="Times New Roman" w:hAnsi="Times New Roman" w:cs="Times New Roman"/>
          <w:noProof/>
          <w:sz w:val="24"/>
          <w:szCs w:val="24"/>
        </w:rPr>
      </w:pPr>
      <w:r>
        <w:rPr>
          <w:rFonts w:ascii="Times New Roman" w:hAnsi="Times New Roman"/>
          <w:noProof/>
          <w:sz w:val="24"/>
          <w:szCs w:val="24"/>
        </w:rPr>
        <w:t xml:space="preserve">ĀAM darījumu </w:t>
      </w:r>
      <w:r>
        <w:rPr>
          <w:rFonts w:ascii="Times New Roman" w:hAnsi="Times New Roman"/>
          <w:b/>
          <w:bCs/>
          <w:noProof/>
          <w:sz w:val="24"/>
          <w:szCs w:val="24"/>
        </w:rPr>
        <w:t>saskaņotību</w:t>
      </w:r>
      <w:r>
        <w:rPr>
          <w:rFonts w:ascii="Times New Roman" w:hAnsi="Times New Roman"/>
          <w:noProof/>
          <w:sz w:val="24"/>
          <w:szCs w:val="24"/>
        </w:rPr>
        <w:t xml:space="preserve"> un pielīdzināšanu ES politikai un dalībvalstu intervencēm varētu uzlabot, arī nodrošinot spēcīgāku politikas vadību no ES puses un lielāku informācijas apmaiņu starp EIB un Komisijas dienestiem visā projekta ciklā. Komisija nodrošina atzinumus par paredzētajiem EIB darījumiem saskaņā ar procedūru, kas noteikta EIB statūtu 19. pantā. Pozitīvs Komisijas atzinums nozīmē to, ka paredzēto darījumu var iekļaut ĀAM un uz to var attiecināt ES garantiju. Tomēr šī apspriešanās notiek salīdzinoši agrā posmā, un 19. pantā noteiktās procedūras laikā sniegtās informācijas līmenis bieži vien ir nepietiekams. </w:t>
      </w:r>
    </w:p>
    <w:p>
      <w:pPr>
        <w:jc w:val="both"/>
        <w:rPr>
          <w:rFonts w:ascii="Times New Roman" w:hAnsi="Times New Roman" w:cs="Times New Roman"/>
          <w:bCs/>
          <w:noProof/>
          <w:sz w:val="24"/>
          <w:szCs w:val="24"/>
        </w:rPr>
      </w:pPr>
      <w:r>
        <w:rPr>
          <w:rFonts w:ascii="Times New Roman" w:hAnsi="Times New Roman"/>
          <w:noProof/>
          <w:sz w:val="24"/>
          <w:szCs w:val="24"/>
        </w:rPr>
        <w:t xml:space="preserve">Gadiem ilga dialoga gaitā ir ieviestas nesaistošas vienošanās starp EIB un Komisijas dienestiem, lai cita starpā uzlabotu augšupējo koordinēšanu saistībā ar iespējamajiem finansēšanas darījumiem, kurus identificējusi EIB. </w:t>
      </w:r>
      <w:r>
        <w:rPr>
          <w:rFonts w:ascii="Times New Roman" w:hAnsi="Times New Roman"/>
          <w:bCs/>
          <w:noProof/>
          <w:sz w:val="24"/>
          <w:szCs w:val="24"/>
        </w:rPr>
        <w:t>EIB un Komisijas Kaimiņattiecību politikas un paplašināšanās sarunu ģenerāldirektorāts (</w:t>
      </w:r>
      <w:r>
        <w:rPr>
          <w:rFonts w:ascii="Times New Roman" w:hAnsi="Times New Roman"/>
          <w:bCs/>
          <w:i/>
          <w:iCs/>
          <w:noProof/>
          <w:sz w:val="24"/>
          <w:szCs w:val="24"/>
        </w:rPr>
        <w:t>NEAR</w:t>
      </w:r>
      <w:r>
        <w:rPr>
          <w:rFonts w:ascii="Times New Roman" w:hAnsi="Times New Roman"/>
          <w:bCs/>
          <w:noProof/>
          <w:sz w:val="24"/>
          <w:szCs w:val="24"/>
        </w:rPr>
        <w:t xml:space="preserve"> ĢD) 2018. gada novembrī parakstīja kopīgu paziņojumu, kurā pauda abpusējas saistības uzlabot informācijas apmaiņu par iespējamajiem EIB darījumiem ĀAM ietvaros. Turklāt Komisija un Eiropas Ārējās darbības dienests (EĀDD) aizvien biežāk sniedz sākotnējas atsauksmes par jauno identificēto iespējamo darījumu indikatīvajiem pārskatiem, kurus EIB iesniedz Komisijai reizi ceturksnī.</w:t>
      </w:r>
    </w:p>
    <w:p>
      <w:pPr>
        <w:jc w:val="both"/>
        <w:rPr>
          <w:rFonts w:ascii="Times New Roman" w:hAnsi="Times New Roman" w:cs="Times New Roman"/>
          <w:noProof/>
          <w:sz w:val="24"/>
          <w:szCs w:val="24"/>
        </w:rPr>
      </w:pPr>
      <w:r>
        <w:rPr>
          <w:rFonts w:ascii="Times New Roman" w:hAnsi="Times New Roman"/>
          <w:noProof/>
          <w:sz w:val="24"/>
          <w:szCs w:val="24"/>
        </w:rPr>
        <w:t>Ar ĀAM darījumiem saistītās ieinteresēto personu sūdzības veido 45 % no visām sūdzībām, kas reģistrētas EIB sūdzību izskatīšanas mehānismā laikposmā no 2014. līdz 2018. gadam. Tas norāda, ka darījumi ĀAM valstīs rada būtisku risku EIB reputācijai, salīdzinot ar EIB kopējo darbības apjomu, kur šādu darījumu īpatsvars ir mazāks par 10 %, lai gan EIB konstatē, ka daudzām šīm sūdzībām nav stingra pamatojuma. Svarīgs sistemātisks ierosinājums, kas izriet no pilsoniskās sabiedrības kritikas par atsevišķiem ĀAM darījumiem, ir paplašināt un nostiprināt EIB finansēšanas līgumu klauzulas, kas ļauj apturēt izmaksas, ja īstenošanas posmā tiek pārkāptas cilvēktiesības un vides un sociālie standarti. Varētu arī uzlabot EIB un Komisijas savstarpējo informācijas apmaiņu par šādu klauzulu piemērošanu.</w:t>
      </w:r>
    </w:p>
    <w:p>
      <w:pPr>
        <w:keepNext/>
        <w:numPr>
          <w:ilvl w:val="0"/>
          <w:numId w:val="6"/>
        </w:numPr>
        <w:spacing w:before="240" w:after="240" w:line="240"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sz w:val="24"/>
          <w:szCs w:val="24"/>
        </w:rPr>
        <w:t>Secinājumi un ieteikumi</w:t>
      </w:r>
    </w:p>
    <w:p>
      <w:pPr>
        <w:jc w:val="both"/>
        <w:rPr>
          <w:rFonts w:ascii="Times New Roman" w:hAnsi="Times New Roman" w:cs="Times New Roman"/>
          <w:bCs/>
          <w:noProof/>
          <w:sz w:val="24"/>
          <w:szCs w:val="24"/>
        </w:rPr>
      </w:pPr>
      <w:r>
        <w:rPr>
          <w:rFonts w:ascii="Times New Roman" w:hAnsi="Times New Roman"/>
          <w:bCs/>
          <w:noProof/>
          <w:sz w:val="24"/>
          <w:szCs w:val="24"/>
        </w:rPr>
        <w:t>Izvērtējot 2014.–2020. gada ĀAM, var izdarīt vairākus secinājumus, kas būtu jāņem vērā, lai maksimāli palielinātu ES budžeta garantiju papildināmību saskaņā ar Kaimiņattiecību, attīstības sadarbības un starptautiskās sadarbības instrumenta regulu laikposmā pēc 2020. gada.</w:t>
      </w:r>
    </w:p>
    <w:p>
      <w:pPr>
        <w:pStyle w:val="ListParagraph"/>
        <w:numPr>
          <w:ilvl w:val="0"/>
          <w:numId w:val="7"/>
        </w:numPr>
        <w:rPr>
          <w:noProof/>
          <w:szCs w:val="24"/>
        </w:rPr>
      </w:pPr>
      <w:r>
        <w:rPr>
          <w:noProof/>
        </w:rPr>
        <w:t>Politikas izstrādes nolūkā ir noderīgi skaidrāk izšķirt ES garantijas vēlamo ietekmi uz finansiālajām priekšrocībām, kuras tiek sniegtas saņēmējiem i) publiskajā sektorā un ii) privātajā sektorā. Lai gan var būt ar politiku saistīti iemesli minimizēt izmaksas finansēšanas darījumiem ar konkrētu veidu publiskā sektora partneriem, tas ne vienmēr attiecas arī uz privātā sektora finansēšanu.</w:t>
      </w:r>
    </w:p>
    <w:p>
      <w:pPr>
        <w:pStyle w:val="ListParagraph"/>
        <w:numPr>
          <w:ilvl w:val="0"/>
          <w:numId w:val="7"/>
        </w:numPr>
        <w:rPr>
          <w:noProof/>
          <w:szCs w:val="24"/>
        </w:rPr>
      </w:pPr>
      <w:r>
        <w:rPr>
          <w:noProof/>
        </w:rPr>
        <w:t>Tiek garantēta pastāvīga uzmanība tirgus izkropļojuma risku samazināšanai, un varētu formulēt skaidrāku politiku par svarīgu riska mazināšanas pasākumu izmantošanu, piemēram, par procentu likmju modulācijas palielināšanu ar mērķi atspoguļot vietējos tirgus apstākļus privātā sektora finansēšanas jomā.</w:t>
      </w:r>
    </w:p>
    <w:p>
      <w:pPr>
        <w:pStyle w:val="ListParagraph"/>
        <w:numPr>
          <w:ilvl w:val="0"/>
          <w:numId w:val="7"/>
        </w:numPr>
        <w:rPr>
          <w:noProof/>
          <w:szCs w:val="24"/>
        </w:rPr>
      </w:pPr>
      <w:r>
        <w:rPr>
          <w:noProof/>
        </w:rPr>
        <w:t>Ir rūpīgi jāizpēta vispārējās garantijas izmantošanas pamatojums privātā sektora attīstības finansēšanas jomā.</w:t>
      </w:r>
    </w:p>
    <w:p>
      <w:pPr>
        <w:pStyle w:val="ListParagraph"/>
        <w:numPr>
          <w:ilvl w:val="0"/>
          <w:numId w:val="7"/>
        </w:numPr>
        <w:rPr>
          <w:noProof/>
          <w:szCs w:val="24"/>
        </w:rPr>
      </w:pPr>
      <w:r>
        <w:rPr>
          <w:noProof/>
        </w:rPr>
        <w:t>Varētu vairāk veicināt finansējumu vietējā valūtā.</w:t>
      </w:r>
    </w:p>
    <w:p>
      <w:pPr>
        <w:jc w:val="both"/>
        <w:rPr>
          <w:rFonts w:ascii="Times New Roman" w:hAnsi="Times New Roman" w:cs="Times New Roman"/>
          <w:noProof/>
          <w:sz w:val="24"/>
          <w:szCs w:val="24"/>
        </w:rPr>
      </w:pPr>
      <w:r>
        <w:rPr>
          <w:rFonts w:ascii="Times New Roman" w:hAnsi="Times New Roman"/>
          <w:noProof/>
          <w:sz w:val="24"/>
          <w:szCs w:val="24"/>
        </w:rPr>
        <w:t>Izvērtējumā ir noteikti tālāk minētie svarīgie ieteikumi ĀAM īstenošanas uzlabošanai; tie attiecas arī uz ES budžeta garantiju izstrādi laikposmā pēc 2020. gada Kaimiņattiecību, attīstības sadarbības un starptautiskās sadarbības instrumenta regulas kontekstā.</w:t>
      </w:r>
    </w:p>
    <w:p>
      <w:pPr>
        <w:pStyle w:val="ListParagraph"/>
        <w:numPr>
          <w:ilvl w:val="0"/>
          <w:numId w:val="2"/>
        </w:numPr>
        <w:spacing w:after="120"/>
        <w:ind w:left="357" w:hanging="357"/>
        <w:contextualSpacing w:val="0"/>
        <w:rPr>
          <w:noProof/>
          <w:szCs w:val="24"/>
        </w:rPr>
      </w:pPr>
      <w:r>
        <w:rPr>
          <w:noProof/>
        </w:rPr>
        <w:t>Izpētīt iespējas saistībā ar savlaicīgāku ziņošanu un faktiski sasniegto rezultātu izvērtēšanu, kā arī faktiskās ietekmes plašāku analīzi.</w:t>
      </w:r>
    </w:p>
    <w:p>
      <w:pPr>
        <w:pStyle w:val="ListParagraph"/>
        <w:numPr>
          <w:ilvl w:val="0"/>
          <w:numId w:val="2"/>
        </w:numPr>
        <w:spacing w:after="120"/>
        <w:ind w:left="357" w:hanging="357"/>
        <w:contextualSpacing w:val="0"/>
        <w:rPr>
          <w:noProof/>
          <w:szCs w:val="24"/>
        </w:rPr>
      </w:pPr>
      <w:r>
        <w:rPr>
          <w:noProof/>
        </w:rPr>
        <w:t>EIB vairāk dalīties ar informāciju ar Komisiju par tādu līgumu klauzulu efektīvu piemērošanu, kas ļauj EIB apturēt izmaksas, ja projekti neatbilst vides, sociālajām tiesībām, cilvēktiesībām, nodokļu un pārredzamības standartiem.</w:t>
      </w:r>
    </w:p>
    <w:p>
      <w:pPr>
        <w:pStyle w:val="ListParagraph"/>
        <w:numPr>
          <w:ilvl w:val="0"/>
          <w:numId w:val="2"/>
        </w:numPr>
        <w:spacing w:after="120"/>
        <w:ind w:left="357" w:hanging="357"/>
        <w:contextualSpacing w:val="0"/>
        <w:rPr>
          <w:noProof/>
          <w:szCs w:val="24"/>
        </w:rPr>
      </w:pPr>
      <w:r>
        <w:rPr>
          <w:noProof/>
        </w:rPr>
        <w:t>EIB, Komisijas dienestiem un EĀDD labāk sadarboties, lai definētu saņēmējvalstīm pielāgoto paredzēto ieguldījumu darbību optimālo apjomu (arī nolūkā nodrošināt parāda atmaksājamību), un palīdzēt saņēmējvalstīm ātrāk izmantot apstiprināto ĀAM finansējumu.</w:t>
      </w:r>
    </w:p>
    <w:p>
      <w:pPr>
        <w:pStyle w:val="ListParagraph"/>
        <w:numPr>
          <w:ilvl w:val="0"/>
          <w:numId w:val="2"/>
        </w:numPr>
        <w:spacing w:after="120"/>
        <w:ind w:left="357" w:hanging="357"/>
        <w:contextualSpacing w:val="0"/>
        <w:rPr>
          <w:noProof/>
          <w:szCs w:val="24"/>
        </w:rPr>
      </w:pPr>
      <w:r>
        <w:rPr>
          <w:noProof/>
        </w:rPr>
        <w:t>Veltīt pastāvīgu uzmanību tirgus izkropļojuma risku minimizēšanai privātā sektora uzņēmumu finansēšanas jomā. Konkrētāk, noteikt stingrākus ierobežojumus ES vispārējās garantijas izmantošanai, piemēram, ierobežojot tās tvērumu tikai uz publiskā sektora ieguldījumiem un/vai prasot atbilstošu ES garantijas atlīdzību. Nodrošināt nesen apstiprināto AFI privātā sektora darījumu uzlaboto apvienoto koncesijas finanšu principu (</w:t>
      </w:r>
      <w:r>
        <w:rPr>
          <w:i/>
          <w:noProof/>
          <w:szCs w:val="24"/>
        </w:rPr>
        <w:t>Enhanced Blended Concessional Finance Principles for DFI Private Sector Operations</w:t>
      </w:r>
      <w:r>
        <w:rPr>
          <w:noProof/>
        </w:rPr>
        <w:t>) efektīvu īstenošanu.</w:t>
      </w:r>
    </w:p>
    <w:p>
      <w:pPr>
        <w:pStyle w:val="ListParagraph"/>
        <w:numPr>
          <w:ilvl w:val="0"/>
          <w:numId w:val="2"/>
        </w:numPr>
        <w:spacing w:after="120"/>
        <w:ind w:left="357" w:hanging="357"/>
        <w:contextualSpacing w:val="0"/>
        <w:rPr>
          <w:noProof/>
          <w:szCs w:val="24"/>
        </w:rPr>
      </w:pPr>
      <w:r>
        <w:rPr>
          <w:noProof/>
        </w:rPr>
        <w:t>Pastiprināt ĀAM darījumu saskaņošanu ar ES politikas virzieniem, nodrošinot stingrāku politikas vadību no ES puses un ciešāku koordinēšanu starp EIB, Komisiju un EĀDD. Ciešāka koordinēšana ietver agrīnā posma koordinēšanu, būtiskākas informācijas sniegšanu no EIB puses saistībā ar apspriešanos EIB statūtu 19. pantā noteiktās procedūras kontekstā pirms finansēšanas darījumu apstiprināšanas, kā arī projekta īstenošanas kopīgu pārraudzību.</w:t>
      </w:r>
    </w:p>
    <w:p>
      <w:pPr>
        <w:pStyle w:val="ListParagraph"/>
        <w:numPr>
          <w:ilvl w:val="0"/>
          <w:numId w:val="2"/>
        </w:numPr>
        <w:spacing w:after="120"/>
        <w:ind w:left="357" w:hanging="357"/>
        <w:contextualSpacing w:val="0"/>
        <w:rPr>
          <w:noProof/>
          <w:szCs w:val="24"/>
        </w:rPr>
      </w:pPr>
      <w:r>
        <w:rPr>
          <w:noProof/>
        </w:rPr>
        <w:t xml:space="preserve">Pielāgot iespējamo ES ārējo investīciju logu ģeogrāfisko tvērumu laikposmā pēc 2020. gada un piešķirt ES garantiju dažādiem reģioniem, balstoties uz ES ārpolitikas prioritātēm pēc 2020. gada un partnervalstu vajadzībām. </w:t>
      </w:r>
    </w:p>
    <w:p>
      <w:pPr>
        <w:pStyle w:val="ListParagraph"/>
        <w:numPr>
          <w:ilvl w:val="0"/>
          <w:numId w:val="2"/>
        </w:numPr>
        <w:ind w:left="360"/>
        <w:rPr>
          <w:noProof/>
          <w:szCs w:val="24"/>
        </w:rPr>
      </w:pPr>
      <w:r>
        <w:rPr>
          <w:noProof/>
        </w:rPr>
        <w:t xml:space="preserve">Nodrošināt spēcīgāku sinerģiju starp EIB stiprajām pusēm zemu aizņēmumu izmaksu ziņā un citu finanšu iestāžu stiprajām pusēm saistībā ar klātbūtni uz vietas, īpašām zināšanām konkrētajā nozarē un ietekmi uz attīstību. </w:t>
      </w:r>
    </w:p>
    <w:p>
      <w:pPr>
        <w:jc w:val="both"/>
        <w:rPr>
          <w:b/>
          <w:noProof/>
        </w:rPr>
      </w:pPr>
      <w:r>
        <w:rPr>
          <w:rFonts w:ascii="Times New Roman" w:hAnsi="Times New Roman"/>
          <w:noProof/>
          <w:sz w:val="24"/>
          <w:szCs w:val="24"/>
        </w:rPr>
        <w:t>Pašreizējā ĀAM stiprās un vājās puses ir būtiski ņemt vērā, īstenojot plašākas debates par Eiropas finanšu arhitektūru attīstībai laikposmā pēc 2020. gada. Publiskā sektora infrastruktūras ieguldījumu liela apjoma finansēšanu ar zemām izmaksām varētu turpināt atbalstīt ar ES budžeta garantiju, kas paredzēta šim konkrētajam darījumu veidam, taču nodrošinot spēcīgāku politikas vadību no ES iestāžu puses. Privātā sektora finansēšanas jomā, dodot lielāku priekšroku privātā līdzfinansējuma piesaistīšanai, var garantēt atšķirīgi izstrādātu garantiju, kura ir mazāk vērsta uz summām, ko tiešā veidā nodrošina EIB (vai cita iesaistītā SFI), un kuras gadījumā cena ir tuvāka tirgus līmenim.</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107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SWD(2019) 333 </w:t>
      </w:r>
      <w:r>
        <w:rPr>
          <w:rFonts w:ascii="Times New Roman" w:hAnsi="Times New Roman"/>
          <w:i/>
          <w:iCs/>
        </w:rPr>
        <w:t>final</w:t>
      </w:r>
      <w:r>
        <w:rPr>
          <w:rFonts w:ascii="Times New Roman" w:hAnsi="Times New Roman"/>
        </w:rPr>
        <w:t>.</w:t>
      </w:r>
    </w:p>
  </w:footnote>
  <w:footnote w:id="2">
    <w:p>
      <w:pPr>
        <w:pStyle w:val="NumPar1"/>
        <w:tabs>
          <w:tab w:val="left" w:pos="284"/>
        </w:tabs>
        <w:spacing w:after="0"/>
        <w:ind w:left="284" w:hanging="284"/>
        <w:rPr>
          <w:sz w:val="20"/>
        </w:rPr>
      </w:pPr>
      <w:r>
        <w:rPr>
          <w:rStyle w:val="FootnoteReference"/>
          <w:sz w:val="20"/>
        </w:rPr>
        <w:footnoteRef/>
      </w:r>
      <w:r>
        <w:rPr>
          <w:sz w:val="20"/>
        </w:rPr>
        <w:t xml:space="preserve"> </w:t>
      </w:r>
      <w:r>
        <w:rPr>
          <w:sz w:val="20"/>
        </w:rPr>
        <w:tab/>
        <w:t xml:space="preserve">Juridiskais pamats ir </w:t>
      </w:r>
      <w:r>
        <w:rPr>
          <w:bCs/>
          <w:sz w:val="20"/>
        </w:rPr>
        <w:t>Lēmums Nr. 466/2014/ES (turpmāk tekstā “ĀAM lēmums”), kurā pēc termiņa vidusposma novērtēšanas izdarīti grozījumi ar Lēmumu </w:t>
      </w:r>
      <w:r>
        <w:rPr>
          <w:sz w:val="20"/>
        </w:rPr>
        <w:t>(ES) 2018/412. Garantiju nodrošina ar garantijas nolīgumu starp Komisiju un EIB; šā nolīguma jaunākā versija tika noslēgta 2018. gada 3. oktobrī.</w:t>
      </w:r>
    </w:p>
  </w:footnote>
  <w:footnote w:id="3">
    <w:p>
      <w:pPr>
        <w:pStyle w:val="NumPar1"/>
        <w:tabs>
          <w:tab w:val="left" w:pos="284"/>
        </w:tabs>
        <w:spacing w:after="0"/>
        <w:ind w:left="284" w:hanging="284"/>
        <w:rPr>
          <w:sz w:val="20"/>
        </w:rPr>
      </w:pPr>
      <w:r>
        <w:rPr>
          <w:sz w:val="20"/>
          <w:vertAlign w:val="superscript"/>
        </w:rPr>
        <w:footnoteRef/>
      </w:r>
      <w:r>
        <w:rPr>
          <w:sz w:val="20"/>
        </w:rPr>
        <w:t xml:space="preserve"> </w:t>
      </w:r>
      <w:r>
        <w:rPr>
          <w:sz w:val="20"/>
        </w:rPr>
        <w:tab/>
        <w:t>ĀAM lēmuma 20. pants.</w:t>
      </w:r>
    </w:p>
  </w:footnote>
  <w:footnote w:id="4">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COM(2018) 460 </w:t>
      </w:r>
      <w:r>
        <w:rPr>
          <w:rFonts w:ascii="Times New Roman" w:hAnsi="Times New Roman"/>
          <w:i/>
          <w:iCs/>
        </w:rPr>
        <w:t>final</w:t>
      </w:r>
      <w:r>
        <w:rPr>
          <w:rFonts w:ascii="Times New Roman" w:hAnsi="Times New Roman"/>
        </w:rPr>
        <w:t>.</w:t>
      </w:r>
    </w:p>
  </w:footnote>
  <w:footnote w:id="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i/>
          <w:iCs/>
        </w:rPr>
        <w:t>The future of the European financial architecture for development: An independent report by the High-Level Group of Wise Persons on the European financial architecture for development</w:t>
      </w:r>
      <w:r>
        <w:rPr>
          <w:rFonts w:ascii="Times New Roman" w:hAnsi="Times New Roman"/>
        </w:rPr>
        <w:t xml:space="preserve"> [Eiropas finanšu arhitektūras attīstībai nākotne. Neatkarīgs ziņojums, ko sagatavojusi Lietpratēju augsta līmeņa grupa par Eiropas finanšu arhitektūru attīstībai], 2019. gada oktobris, </w:t>
      </w:r>
      <w:hyperlink r:id="rId1" w:history="1">
        <w:r>
          <w:rPr>
            <w:rStyle w:val="Hyperlink"/>
            <w:rFonts w:ascii="Times New Roman" w:hAnsi="Times New Roman"/>
          </w:rPr>
          <w:t>https://www.consilium.europa.eu//media/40967/efad-report_final.pdf</w:t>
        </w:r>
      </w:hyperlink>
      <w:r>
        <w:rPr>
          <w:rFonts w:ascii="Times New Roman" w:hAnsi="Times New Roman"/>
        </w:rPr>
        <w:t xml:space="preserve">. </w:t>
      </w:r>
    </w:p>
  </w:footnote>
  <w:footnote w:id="6">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 xml:space="preserve">Sk. arī Komisijas paziņojumu “Ceļā uz efektīvāku finanšu arhitektūru ieguldījumiem ārpus Eiropas Savienības” (COM(2018) 644 </w:t>
      </w:r>
      <w:r>
        <w:rPr>
          <w:rFonts w:ascii="Times New Roman" w:hAnsi="Times New Roman"/>
          <w:i/>
          <w:iCs/>
        </w:rPr>
        <w:t>final</w:t>
      </w:r>
      <w:r>
        <w:rPr>
          <w:rFonts w:ascii="Times New Roman" w:hAnsi="Times New Roman"/>
        </w:rPr>
        <w:t>).</w:t>
      </w:r>
    </w:p>
  </w:footnote>
  <w:footnote w:id="7">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rPr>
        <w:t>Atkāpjoties no iepriekš minētajiem noteikumiem, uz privātā sektora projektiem, uz kuriem attiecas ekonomikas noturības iniciatīvas privātais mandāts, kas izveidots pēc ĀAM termiņa vidusposma novērtēšanas 2018. gadā, attiecas ES vispārējā garantija. Tomēr riska prēmija netiek atcelta, taču EIB to nodod ES, ņemot vērā risku, ko uzņemas ES.</w:t>
      </w:r>
    </w:p>
  </w:footnote>
  <w:footnote w:id="8">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i/>
          <w:iCs/>
        </w:rPr>
        <w:t>Ecorys</w:t>
      </w:r>
      <w:r>
        <w:rPr>
          <w:rFonts w:ascii="Times New Roman" w:hAnsi="Times New Roman"/>
        </w:rPr>
        <w:t xml:space="preserve"> un </w:t>
      </w:r>
      <w:r>
        <w:rPr>
          <w:rFonts w:ascii="Times New Roman" w:hAnsi="Times New Roman"/>
          <w:i/>
          <w:iCs/>
        </w:rPr>
        <w:t>CEPS</w:t>
      </w:r>
      <w:r>
        <w:rPr>
          <w:rFonts w:ascii="Times New Roman" w:hAnsi="Times New Roman"/>
        </w:rPr>
        <w:t xml:space="preserve">, 2018, </w:t>
      </w:r>
      <w:r>
        <w:rPr>
          <w:rFonts w:ascii="Times New Roman" w:hAnsi="Times New Roman"/>
          <w:i/>
          <w:iCs/>
        </w:rPr>
        <w:t>Final Report for the Evaluation of the application of the 2014-2020 External Lending Mandate</w:t>
      </w:r>
      <w:r>
        <w:rPr>
          <w:rFonts w:ascii="Times New Roman" w:hAnsi="Times New Roman"/>
        </w:rPr>
        <w:t xml:space="preserve"> [Galīgais ziņojums par 2014.–2020. gada ārējo aizdevumu mandāta piemērošanas izvērtējumu], publicēts kopā ar Komisijas izvērtējumu.</w:t>
      </w:r>
    </w:p>
  </w:footnote>
  <w:footnote w:id="9">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Pašlaik EIB ir četri pašu riska mehānismi ĀAM reģionos, proti, pirmspievienošanās mehānisms (</w:t>
      </w:r>
      <w:r>
        <w:rPr>
          <w:rFonts w:ascii="Times New Roman" w:hAnsi="Times New Roman"/>
          <w:i/>
          <w:iCs/>
        </w:rPr>
        <w:t>PAF</w:t>
      </w:r>
      <w:r>
        <w:rPr>
          <w:rFonts w:ascii="Times New Roman" w:hAnsi="Times New Roman"/>
        </w:rPr>
        <w:t>), kaimiņreģiona valstu finansēšanas mehānisms (</w:t>
      </w:r>
      <w:r>
        <w:rPr>
          <w:rFonts w:ascii="Times New Roman" w:hAnsi="Times New Roman"/>
          <w:i/>
          <w:iCs/>
        </w:rPr>
        <w:t>NFF</w:t>
      </w:r>
      <w:r>
        <w:rPr>
          <w:rFonts w:ascii="Times New Roman" w:hAnsi="Times New Roman"/>
        </w:rPr>
        <w:t>), mehānisms, kas attiecas uz rīcību vides un klimata politikas jomā (</w:t>
      </w:r>
      <w:r>
        <w:rPr>
          <w:rFonts w:ascii="Times New Roman" w:hAnsi="Times New Roman"/>
          <w:i/>
          <w:iCs/>
        </w:rPr>
        <w:t>CAEF</w:t>
      </w:r>
      <w:r>
        <w:rPr>
          <w:rFonts w:ascii="Times New Roman" w:hAnsi="Times New Roman"/>
        </w:rPr>
        <w:t>), un stratēģisko projektu mehānisms (</w:t>
      </w:r>
      <w:r>
        <w:rPr>
          <w:rFonts w:ascii="Times New Roman" w:hAnsi="Times New Roman"/>
          <w:i/>
          <w:iCs/>
        </w:rPr>
        <w:t>SPF</w:t>
      </w:r>
      <w:r>
        <w:rPr>
          <w:rFonts w:ascii="Times New Roman" w:hAnsi="Times New Roman"/>
        </w:rPr>
        <w:t>). Divi pēdējie minētie mehānismi attiecas arī uz Āfrikas, Karību jūras reģiona un Klusā okeāna valstīm un ES dalībvalstu aizjūras zemēm un teritorijām.</w:t>
      </w:r>
    </w:p>
  </w:footnote>
  <w:footnote w:id="10">
    <w:p>
      <w:pPr>
        <w:pStyle w:val="FootnoteText"/>
        <w:tabs>
          <w:tab w:val="left" w:pos="284"/>
        </w:tabs>
        <w:ind w:left="284" w:hanging="284"/>
        <w:contextualSpacing/>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Ar Komisijas 2018. gada 6. jūnija Deleģēto lēmumu (ES) 2018/1102 ĀAM atbilstošo valstu sarakstam tika pievienota Irāna, taču pagaidām pamatnolīgums vēl nav noslēgts.</w:t>
      </w:r>
    </w:p>
  </w:footnote>
  <w:footnote w:id="11">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Ņemot vērā nelikumīgo Krimas aneksiju un militāro konfliktu Austrumukrainā, EIB pēc Eiropadomes 2014. gada 16. jūlija lūguma ir apturējusi jaunu finansēšanas darījumu parakstīšanu Krievijā. </w:t>
      </w:r>
    </w:p>
  </w:footnote>
  <w:footnote w:id="12">
    <w:p>
      <w:pPr>
        <w:pStyle w:val="FootnoteText"/>
        <w:tabs>
          <w:tab w:val="left" w:pos="284"/>
        </w:tabs>
        <w:ind w:left="284" w:hanging="284"/>
        <w:jc w:val="both"/>
        <w:rPr>
          <w:rStyle w:val="FootnoteReference"/>
          <w:rFonts w:ascii="Times New Roman" w:hAnsi="Times New Roman" w:cs="Times New Roman"/>
          <w:sz w:val="22"/>
          <w:szCs w:val="22"/>
          <w:vertAlign w:val="baseline"/>
        </w:rPr>
      </w:pPr>
      <w:r>
        <w:rPr>
          <w:rStyle w:val="FootnoteReference"/>
          <w:rFonts w:ascii="Times New Roman" w:hAnsi="Times New Roman" w:cs="Times New Roman"/>
        </w:rPr>
        <w:footnoteRef/>
      </w:r>
      <w:r>
        <w:rPr>
          <w:rStyle w:val="FootnoteReference"/>
          <w:rFonts w:ascii="Times New Roman" w:hAnsi="Times New Roman"/>
        </w:rPr>
        <w:t xml:space="preserve"> </w:t>
      </w:r>
      <w:r>
        <w:rPr>
          <w:rStyle w:val="FootnoteReference"/>
          <w:rFonts w:ascii="Times New Roman" w:hAnsi="Times New Roman"/>
          <w:vertAlign w:val="baseline"/>
        </w:rPr>
        <w:t>Dažās kaimiņreģiona valstīs īstenošanas spēja, salīdzinot ar iepriekšējo mandāta periodu, 2014.–2018. gadā ir nedaudz pasliktinājusies. Turklāt lielas EIB finansējuma summas, kas bija paredzētas Ukrainai, 2014.–2016. gadā tika parakstītas salīdzinoši īsā laikposmā. Zemākus izmaksu rādītājus Latīņamerikā atbilstoši ĀAM 2014.–2020. gadam var izskaidrot ar neseno pāreju uz ieguldījumiem publiskā sektora infrastruktūrā ar mērķi atbalstīt rīcību klimata politikas jomā; šajā gadījumā izmaksas mēdz būt lēnākas nekā aizdevumiem privātā sektora attīstībai.</w:t>
      </w:r>
    </w:p>
  </w:footnote>
  <w:footnote w:id="13">
    <w:p>
      <w:pPr>
        <w:pStyle w:val="NormalWeb"/>
        <w:tabs>
          <w:tab w:val="left" w:pos="284"/>
        </w:tabs>
        <w:spacing w:before="0" w:beforeAutospacing="0" w:after="0" w:afterAutospacing="0"/>
        <w:ind w:left="284" w:hanging="284"/>
        <w:contextualSpacing/>
        <w:jc w:val="both"/>
        <w:rPr>
          <w:sz w:val="20"/>
          <w:szCs w:val="20"/>
        </w:rPr>
      </w:pPr>
      <w:r>
        <w:rPr>
          <w:rStyle w:val="FootnoteReference"/>
          <w:sz w:val="20"/>
          <w:szCs w:val="20"/>
        </w:rPr>
        <w:footnoteRef/>
      </w:r>
      <w:r>
        <w:rPr>
          <w:sz w:val="20"/>
          <w:szCs w:val="20"/>
        </w:rPr>
        <w:t xml:space="preserve"> </w:t>
      </w:r>
      <w:r>
        <w:rPr>
          <w:sz w:val="20"/>
          <w:szCs w:val="20"/>
        </w:rPr>
        <w:tab/>
        <w:t xml:space="preserve">209. panta 2. punkta b) apakšpunkts Eiropas Parlamenta un Padomes 2018. gada 18. jūlija Regulā (ES, </w:t>
      </w:r>
      <w:r>
        <w:rPr>
          <w:i/>
          <w:iCs/>
          <w:sz w:val="20"/>
          <w:szCs w:val="20"/>
        </w:rPr>
        <w:t>Euratom</w:t>
      </w:r>
      <w:r>
        <w:rPr>
          <w:sz w:val="20"/>
          <w:szCs w:val="20"/>
        </w:rPr>
        <w:t xml:space="preserve">) 2018/1046 par finanšu noteikumiem, ko piemēro Savienības vispārējam budžetam, ar kuru groza Regulas (ES) Nr. 1296/2013, (ES) Nr. 1301/2013, (ES) Nr. 1303/2013, (ES) Nr. 1304/2013, (ES) Nr. 1309/2013, (ES) Nr. 1316/2013, (ES) Nr. 223/2014, (ES) Nr. 283/2014 un Lēmumu Nr. 541/2014/ES un atceļ Regulu (ES, </w:t>
      </w:r>
      <w:r>
        <w:rPr>
          <w:i/>
          <w:iCs/>
          <w:sz w:val="20"/>
          <w:szCs w:val="20"/>
        </w:rPr>
        <w:t>Euratom</w:t>
      </w:r>
      <w:r>
        <w:rPr>
          <w:sz w:val="20"/>
          <w:szCs w:val="20"/>
        </w:rPr>
        <w:t>) Nr. 966/2012 (</w:t>
      </w:r>
      <w:r>
        <w:rPr>
          <w:iCs/>
          <w:sz w:val="20"/>
          <w:szCs w:val="20"/>
        </w:rPr>
        <w:t>OV L 193, 30.7.2018., 1. lpp.).</w:t>
      </w:r>
    </w:p>
  </w:footnote>
  <w:footnote w:id="14">
    <w:p>
      <w:pPr>
        <w:pStyle w:val="FootnoteText"/>
        <w:tabs>
          <w:tab w:val="left" w:pos="284"/>
        </w:tabs>
        <w:ind w:left="284" w:hanging="284"/>
        <w:contextualSpacing/>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C(2019) 2747 </w:t>
      </w:r>
      <w:r>
        <w:rPr>
          <w:rFonts w:ascii="Times New Roman" w:hAnsi="Times New Roman"/>
          <w:i/>
          <w:iCs/>
        </w:rPr>
        <w:t>final</w:t>
      </w:r>
      <w:r>
        <w:rPr>
          <w:rFonts w:ascii="Times New Roman" w:hAnsi="Times New Roman"/>
        </w:rPr>
        <w:t>, 14., 24., 35. un 38. lpp.</w:t>
      </w:r>
    </w:p>
  </w:footnote>
  <w:footnote w:id="15">
    <w:p>
      <w:pPr>
        <w:pStyle w:val="FootnoteText"/>
        <w:tabs>
          <w:tab w:val="left" w:pos="284"/>
        </w:tabs>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Uzkrājumu likme ir noteikta 9 % apmērā no nesamaksātajām summām garantijas ietvaros. EIB finansējums parasti aptver līdz 50 % no projekta kopējām ieguldījumu izmaksām.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
    <w:nsid w:val="40857C10"/>
    <w:multiLevelType w:val="hybridMultilevel"/>
    <w:tmpl w:val="AA481A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512D03CF"/>
    <w:multiLevelType w:val="hybridMultilevel"/>
    <w:tmpl w:val="EC1EBA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EB6419D"/>
    <w:multiLevelType w:val="hybridMultilevel"/>
    <w:tmpl w:val="5AFA9D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
    <w:nsid w:val="66150046"/>
    <w:multiLevelType w:val="hybridMultilevel"/>
    <w:tmpl w:val="5F2A3A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revisionView w:markup="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F00CE43-3E33-4D31-9F5F-141EACC6086C"/>
    <w:docVar w:name="LW_COVERPAGE_TYPE" w:val="1"/>
    <w:docVar w:name="LW_CROSSREFERENCE" w:val="&lt;UNUSED&gt;"/>
    <w:docVar w:name="LW_DocType" w:val="NORMAL"/>
    <w:docVar w:name="LW_EMISSION" w:val="12.3.2020"/>
    <w:docVar w:name="LW_EMISSION_ISODATE" w:val="2020-03-12"/>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Segoe UI Baltic&gt;par Eiropas Parlamenta un Padomes 2014. gada 16. apr\u299?\u316?a L\u275?muma Nr. 466/2014/ES, ar ko Eiropas Invest\u299?ciju bankai pie\u353?\u311?ir ES garantiju attiec\u299?b\u257? uz zaud\u275?jumiem no finans\u275?\u353?anas dar\u299?jumiem, ar kuriem atbalsta ieguld\u299?jumu projektus \u257?rpus Savien\u299?bas, piem\u275?ro\u353?anas izv\u275?rt\u275?jumu&lt;/FMT&gt;_x000d__x000b__x000d__x000b_"/>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NumPar1">
    <w:name w:val="NumPar 1"/>
    <w:basedOn w:val="Heading1"/>
    <w:next w:val="Normal"/>
    <w:pPr>
      <w:keepNext w:val="0"/>
      <w:keepLines w:val="0"/>
      <w:spacing w:before="0" w:after="240" w:line="240" w:lineRule="auto"/>
      <w:jc w:val="both"/>
      <w:outlineLvl w:val="9"/>
    </w:pPr>
    <w:rPr>
      <w:rFonts w:ascii="Times New Roman" w:eastAsia="Times New Roman" w:hAnsi="Times New Roman" w:cs="Times New Roman"/>
      <w:color w:val="auto"/>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lv-LV"/>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Text">
    <w:name w:val="Default Text"/>
    <w:basedOn w:val="Normal"/>
    <w:link w:val="DefaultTextChar"/>
    <w:qFormat/>
    <w:pPr>
      <w:spacing w:after="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rPr>
      <w:rFonts w:ascii="Arial" w:eastAsia="Times New Roman" w:hAnsi="Arial" w:cs="Times New Roman"/>
      <w:sz w:val="18"/>
      <w:szCs w:val="24"/>
      <w:lang w:val="lv-LV" w:eastAsia="nl-NL"/>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NumPar1">
    <w:name w:val="NumPar 1"/>
    <w:basedOn w:val="Heading1"/>
    <w:next w:val="Normal"/>
    <w:pPr>
      <w:keepNext w:val="0"/>
      <w:keepLines w:val="0"/>
      <w:spacing w:before="0" w:after="240" w:line="240" w:lineRule="auto"/>
      <w:jc w:val="both"/>
      <w:outlineLvl w:val="9"/>
    </w:pPr>
    <w:rPr>
      <w:rFonts w:ascii="Times New Roman" w:eastAsia="Times New Roman" w:hAnsi="Times New Roman" w:cs="Times New Roman"/>
      <w:color w:val="auto"/>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lv-LV"/>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Text">
    <w:name w:val="Default Text"/>
    <w:basedOn w:val="Normal"/>
    <w:link w:val="DefaultTextChar"/>
    <w:qFormat/>
    <w:pPr>
      <w:spacing w:after="0" w:line="280" w:lineRule="atLeast"/>
    </w:pPr>
    <w:rPr>
      <w:rFonts w:ascii="Arial" w:eastAsia="Times New Roman" w:hAnsi="Arial" w:cs="Times New Roman"/>
      <w:sz w:val="18"/>
      <w:szCs w:val="24"/>
      <w:lang w:eastAsia="nl-NL"/>
    </w:rPr>
  </w:style>
  <w:style w:type="character" w:customStyle="1" w:styleId="DefaultTextChar">
    <w:name w:val="Default Text Char"/>
    <w:basedOn w:val="DefaultParagraphFont"/>
    <w:link w:val="DefaultText"/>
    <w:rPr>
      <w:rFonts w:ascii="Arial" w:eastAsia="Times New Roman" w:hAnsi="Arial" w:cs="Times New Roman"/>
      <w:sz w:val="18"/>
      <w:szCs w:val="24"/>
      <w:lang w:val="lv-LV" w:eastAsia="nl-NL"/>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after="160" w:line="240" w:lineRule="exact"/>
    </w:pPr>
    <w:rPr>
      <w:vertAlign w:val="superscript"/>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40967/efad-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A1D594-57EB-462C-9E9C-3DE05939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3028</Words>
  <Characters>19750</Characters>
  <Application>Microsoft Office Word</Application>
  <DocSecurity>0</DocSecurity>
  <Lines>286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2020-01-16T12:09:00Z</cp:lastPrinted>
  <dcterms:created xsi:type="dcterms:W3CDTF">2020-01-24T11:41:00Z</dcterms:created>
  <dcterms:modified xsi:type="dcterms:W3CDTF">2020-03-05T08:05:00Z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