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DE" w:rsidRDefault="00D3688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DE6D267-1817-40DC-A795-BC6609DBC324" style="width:450.85pt;height:320.55pt">
            <v:imagedata r:id="rId11" o:title=""/>
          </v:shape>
        </w:pict>
      </w:r>
    </w:p>
    <w:bookmarkEnd w:id="0"/>
    <w:p w:rsidR="000A1FDE" w:rsidRDefault="000A1FDE">
      <w:pPr>
        <w:rPr>
          <w:noProof/>
        </w:rPr>
        <w:sectPr w:rsidR="000A1FDE">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0A1FDE" w:rsidRDefault="00D36882">
      <w:pPr>
        <w:pStyle w:val="Heading1"/>
        <w:numPr>
          <w:ilvl w:val="0"/>
          <w:numId w:val="16"/>
        </w:numPr>
        <w:ind w:left="284" w:hanging="284"/>
        <w:rPr>
          <w:noProof/>
        </w:rPr>
      </w:pPr>
      <w:r>
        <w:rPr>
          <w:noProof/>
        </w:rPr>
        <w:lastRenderedPageBreak/>
        <w:t>Un nuevo modelo de industria para Europa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b/>
          <w:noProof/>
        </w:rPr>
        <w:t>Europa ha sido desde siempre cuna de la industria</w:t>
      </w:r>
      <w:r>
        <w:rPr>
          <w:rFonts w:ascii="Times New Roman" w:hAnsi="Times New Roman"/>
          <w:noProof/>
        </w:rPr>
        <w:t>. Durante siglos, ha sido pionera en innovación industrial y ha contribuido a mejorar la forma en que las personas de todo el mundo producen, consumen y hacen negocios. La industria europea, basada en un sólido mercado interior, ha sido durante mucho tiemp</w:t>
      </w:r>
      <w:r>
        <w:rPr>
          <w:rFonts w:ascii="Times New Roman" w:hAnsi="Times New Roman"/>
          <w:noProof/>
        </w:rPr>
        <w:t xml:space="preserve">o motor de nuestra economía, proporcionando una vida estable a millones de personas y creando los nodos sociales en torno a los cuales se constituyen nuestras comunidades.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A lo largo de toda su larga historia, la industria ha demostrado su capacidad para </w:t>
      </w:r>
      <w:r>
        <w:rPr>
          <w:rFonts w:ascii="Times New Roman" w:hAnsi="Times New Roman"/>
          <w:noProof/>
        </w:rPr>
        <w:t xml:space="preserve">liderar el cambio. Y debe seguir haciéndolo, ahora que Europa acomete su transición hacia la neutralidad climática y el liderazgo digital en un mundo en permanente cambio y cada vez más imprevisible.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doble transición, ecológica y digital, afectará a to</w:t>
      </w:r>
      <w:r>
        <w:rPr>
          <w:rFonts w:ascii="Times New Roman" w:hAnsi="Times New Roman"/>
          <w:noProof/>
        </w:rPr>
        <w:t>dos los aspectos de nuestra economía, sociedad e industria. Requerirá nuevas tecnologías, que habrá que combinar con inversión e innovación. Creará nuevos productos, servicios, mercados y modelos de negocio. Configurará nuevos tipos de empleo, todavía inex</w:t>
      </w:r>
      <w:r>
        <w:rPr>
          <w:rFonts w:ascii="Times New Roman" w:hAnsi="Times New Roman"/>
          <w:noProof/>
        </w:rPr>
        <w:t xml:space="preserve">istentes, que requerirán unas capacidades de las que aún carecemos. Y conllevará el paso de la producción lineal a la economía circular.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Esta doble transición tendrá lugar en una época de placas geopolíticas en movimiento, lo que afecta a la naturaleza de</w:t>
      </w:r>
      <w:r>
        <w:rPr>
          <w:rFonts w:ascii="Times New Roman" w:hAnsi="Times New Roman"/>
          <w:noProof/>
        </w:rPr>
        <w:t xml:space="preserve"> la competencia.</w:t>
      </w:r>
      <w:r>
        <w:rPr>
          <w:rFonts w:ascii="Times New Roman Bold" w:hAnsi="Times New Roman Bold"/>
          <w:noProof/>
        </w:rPr>
        <w:t xml:space="preserve"> </w:t>
      </w:r>
      <w:r>
        <w:rPr>
          <w:rFonts w:ascii="Times New Roman" w:hAnsi="Times New Roman"/>
          <w:noProof/>
        </w:rPr>
        <w:t xml:space="preserve">La necesidad de que Europa afirme su voz, defienda sus valores y luche por la igualdad de condiciones cobra ahora más importancia que nunca. </w:t>
      </w:r>
      <w:r>
        <w:rPr>
          <w:rFonts w:ascii="Times New Roman" w:hAnsi="Times New Roman"/>
          <w:b/>
          <w:noProof/>
        </w:rPr>
        <w:t>Está en juego la soberanía de Europa</w:t>
      </w:r>
      <w:r>
        <w:rPr>
          <w:rFonts w:ascii="Times New Roman" w:hAnsi="Times New Roman"/>
          <w:noProof/>
        </w:rPr>
        <w:t xml:space="preserv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amplitud y la profundidad, la magnitud y la velocidad, l</w:t>
      </w:r>
      <w:r>
        <w:rPr>
          <w:rFonts w:ascii="Times New Roman" w:hAnsi="Times New Roman"/>
          <w:noProof/>
        </w:rPr>
        <w:t xml:space="preserve">a naturaleza y la necesidad de esta doble transición no tienen precedentes, lo que se ve reflejado en las </w:t>
      </w:r>
      <w:r>
        <w:rPr>
          <w:rFonts w:ascii="Times New Roman" w:hAnsi="Times New Roman"/>
          <w:i/>
          <w:noProof/>
        </w:rPr>
        <w:t>orientaciones políticas</w:t>
      </w:r>
      <w:r>
        <w:rPr>
          <w:rFonts w:ascii="Times New Roman" w:hAnsi="Times New Roman"/>
          <w:noProof/>
        </w:rPr>
        <w:t xml:space="preserve"> de la presidenta Von der Leyen, en las prioridades establecidas por el Parlamento Europeo y en la Agenda Estratégica del Conse</w:t>
      </w:r>
      <w:r>
        <w:rPr>
          <w:rFonts w:ascii="Times New Roman" w:hAnsi="Times New Roman"/>
          <w:noProof/>
        </w:rPr>
        <w:t xml:space="preserve">jo Europeo para 2019-2024. El </w:t>
      </w:r>
      <w:r>
        <w:rPr>
          <w:rFonts w:ascii="Times New Roman" w:hAnsi="Times New Roman"/>
          <w:i/>
          <w:noProof/>
        </w:rPr>
        <w:t>Pacto Verde Europeo</w:t>
      </w:r>
      <w:r>
        <w:rPr>
          <w:rStyle w:val="FootnoteReference"/>
          <w:rFonts w:ascii="Times New Roman" w:hAnsi="Times New Roman" w:cs="Times New Roman"/>
          <w:i/>
          <w:noProof/>
        </w:rPr>
        <w:footnoteReference w:id="2"/>
      </w:r>
      <w:r>
        <w:rPr>
          <w:rFonts w:ascii="Times New Roman" w:hAnsi="Times New Roman"/>
          <w:noProof/>
        </w:rPr>
        <w:t xml:space="preserve"> y la reciente </w:t>
      </w:r>
      <w:r>
        <w:rPr>
          <w:rFonts w:ascii="Times New Roman" w:hAnsi="Times New Roman"/>
          <w:i/>
          <w:noProof/>
        </w:rPr>
        <w:t>Estrategia de la Comisión para configurar el futuro digital de Europa</w:t>
      </w:r>
      <w:r>
        <w:rPr>
          <w:rStyle w:val="FootnoteReference"/>
          <w:rFonts w:ascii="Times New Roman" w:hAnsi="Times New Roman" w:cs="Times New Roman"/>
          <w:i/>
          <w:noProof/>
        </w:rPr>
        <w:footnoteReference w:id="3"/>
      </w:r>
      <w:r>
        <w:rPr>
          <w:rFonts w:ascii="Times New Roman" w:hAnsi="Times New Roman"/>
          <w:noProof/>
        </w:rPr>
        <w:t xml:space="preserve"> fijan la finalidad, la velocidad y la dirección del viaje para los próximos años.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b/>
          <w:noProof/>
        </w:rPr>
        <w:t xml:space="preserve">Ahora necesitamos un nuevo modelo de </w:t>
      </w:r>
      <w:r>
        <w:rPr>
          <w:rFonts w:ascii="Times New Roman" w:hAnsi="Times New Roman"/>
          <w:b/>
          <w:noProof/>
        </w:rPr>
        <w:t>industria para Europa, que se adapte a los objetivos del presente y a las realidades del futuro</w:t>
      </w:r>
      <w:r>
        <w:rPr>
          <w:rFonts w:ascii="Times New Roman" w:hAnsi="Times New Roman"/>
          <w:noProof/>
        </w:rPr>
        <w:t>. Para ello, es fundamental la capacidad de la industria europea para liderar la doble transición e impulsar nuestra competitividad. No podemos permitirnos una s</w:t>
      </w:r>
      <w:r>
        <w:rPr>
          <w:rFonts w:ascii="Times New Roman" w:hAnsi="Times New Roman"/>
          <w:noProof/>
        </w:rPr>
        <w:t>imple adaptación; la industria ahora tiene que llegar a ser acelerador y motor del cambio y la innovación. Nuestra política industrial debe contribuir a hacer realidad este objetivo.</w:t>
      </w:r>
    </w:p>
    <w:p w:rsidR="000A1FDE" w:rsidRDefault="00D36882">
      <w:pPr>
        <w:spacing w:line="240" w:lineRule="auto"/>
        <w:jc w:val="both"/>
        <w:rPr>
          <w:rFonts w:ascii="Times New Roman" w:hAnsi="Times New Roman" w:cs="Times New Roman"/>
          <w:noProof/>
          <w:sz w:val="24"/>
          <w:szCs w:val="24"/>
        </w:rPr>
      </w:pPr>
      <w:r>
        <w:rPr>
          <w:rFonts w:ascii="Times New Roman" w:hAnsi="Times New Roman"/>
          <w:b/>
          <w:noProof/>
        </w:rPr>
        <w:t>La estrategia industrial de Europa debe reflejar nuestros valores y nuest</w:t>
      </w:r>
      <w:r>
        <w:rPr>
          <w:rFonts w:ascii="Times New Roman" w:hAnsi="Times New Roman"/>
          <w:b/>
          <w:noProof/>
        </w:rPr>
        <w:t>ras tradiciones de mercado social</w:t>
      </w:r>
      <w:r>
        <w:rPr>
          <w:rFonts w:ascii="Times New Roman" w:hAnsi="Times New Roman"/>
          <w:noProof/>
        </w:rPr>
        <w:t>. Nos apoyaremos en nuestros puntos fuertes: la diversidad y el talento, los valores y el estilo de vida, y los creadores e innovadores. Necesitamos una política industrial europea basada en la competencia, en mercados abie</w:t>
      </w:r>
      <w:r>
        <w:rPr>
          <w:rFonts w:ascii="Times New Roman" w:hAnsi="Times New Roman"/>
          <w:noProof/>
        </w:rPr>
        <w:t>rtos, en investigación y tecnologías de liderazgo mundial y en un mercado único sólido que elimine las barreras y reduzca la burocracia. Debemos resistirnos, además, a las tentaciones simplistas que conllevan proteccionismo o distorsiones del mercado, pero</w:t>
      </w:r>
      <w:r>
        <w:rPr>
          <w:rFonts w:ascii="Times New Roman" w:hAnsi="Times New Roman"/>
          <w:noProof/>
        </w:rPr>
        <w:t xml:space="preserve"> no podemos ser ingenuos ante la competencia desleal.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Esta estrategia reconoce la fuerza y el papel de la Unión Europea, principalmente como facilitadora y reguladora. Fijar el marco e impartir orientaciones políticas y estratégicas es fundamental para pr</w:t>
      </w:r>
      <w:r>
        <w:rPr>
          <w:rFonts w:ascii="Times New Roman" w:hAnsi="Times New Roman"/>
          <w:noProof/>
        </w:rPr>
        <w:t xml:space="preserve">oporcionar la seguridad que necesitan los inversores, los innovadores y la industria por igual. </w:t>
      </w:r>
    </w:p>
    <w:p w:rsidR="000A1FDE" w:rsidRDefault="00D36882">
      <w:pPr>
        <w:spacing w:line="240" w:lineRule="auto"/>
        <w:jc w:val="both"/>
        <w:rPr>
          <w:rFonts w:ascii="Times New Roman" w:hAnsi="Times New Roman" w:cs="Times New Roman"/>
          <w:b/>
          <w:noProof/>
          <w:sz w:val="24"/>
          <w:szCs w:val="24"/>
        </w:rPr>
      </w:pPr>
      <w:r>
        <w:rPr>
          <w:rFonts w:ascii="Times New Roman" w:hAnsi="Times New Roman"/>
          <w:b/>
          <w:noProof/>
        </w:rPr>
        <w:t>Nuestra nueva estrategia industrial es emprendedora, tanto en la teoría como en la práctica</w:t>
      </w:r>
      <w:r>
        <w:rPr>
          <w:rFonts w:ascii="Times New Roman" w:hAnsi="Times New Roman"/>
          <w:noProof/>
        </w:rPr>
        <w:t xml:space="preserve">. La Comisión está lista para codiseñar y cocrear soluciones con la propia industria, así como con los interlocutores sociales y con todas las demás partes interesadas. Para ello, centrará su atención en los </w:t>
      </w:r>
      <w:r>
        <w:rPr>
          <w:rFonts w:ascii="Times New Roman" w:hAnsi="Times New Roman"/>
          <w:b/>
          <w:noProof/>
        </w:rPr>
        <w:t>ecosistemas industriales</w:t>
      </w:r>
      <w:r>
        <w:rPr>
          <w:rFonts w:ascii="Times New Roman" w:hAnsi="Times New Roman"/>
          <w:noProof/>
        </w:rPr>
        <w:t>, teniendo en cuenta a t</w:t>
      </w:r>
      <w:r>
        <w:rPr>
          <w:rFonts w:ascii="Times New Roman" w:hAnsi="Times New Roman"/>
          <w:noProof/>
        </w:rPr>
        <w:t xml:space="preserve">odos los actores de la cadena de valor. Este es nuestro </w:t>
      </w:r>
      <w:r>
        <w:rPr>
          <w:rFonts w:ascii="Times New Roman" w:hAnsi="Times New Roman"/>
          <w:noProof/>
        </w:rPr>
        <w:lastRenderedPageBreak/>
        <w:t>nuevo enfoque, que refleja la necesidad de introducir nuevas formas de pensar y trabajar para liderar la doble transición.</w:t>
      </w:r>
      <w:r>
        <w:rPr>
          <w:rFonts w:ascii="Times New Roman" w:hAnsi="Times New Roman"/>
          <w:b/>
          <w:noProof/>
        </w:rPr>
        <w:t xml:space="preserv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presente estrategia muestra la dirección del viaje, así como la ruta que </w:t>
      </w:r>
      <w:r>
        <w:rPr>
          <w:rFonts w:ascii="Times New Roman" w:hAnsi="Times New Roman"/>
          <w:noProof/>
        </w:rPr>
        <w:t>vamos a tomar para llegar a la meta. Expone la visión de lo que queremos lograr de aquí a 2030 y después de esa fecha, así como los factores fundamentales que nos van a llevar hasta allí. En una época de transición y cambios importantes para nuestra Unión,</w:t>
      </w:r>
      <w:r>
        <w:rPr>
          <w:rFonts w:ascii="Times New Roman" w:hAnsi="Times New Roman"/>
          <w:noProof/>
        </w:rPr>
        <w:t xml:space="preserve"> una simple realidad permanecerá inalterable: Europa siempre será cuna de la industria. Y, gracias a esta estrategia, la Comisión Europea está preparada para hacer todo lo necesario para garantizar que siga siendo así. </w:t>
      </w:r>
    </w:p>
    <w:p w:rsidR="000A1FDE" w:rsidRDefault="00D36882">
      <w:pPr>
        <w:pStyle w:val="Heading1"/>
        <w:numPr>
          <w:ilvl w:val="0"/>
          <w:numId w:val="16"/>
        </w:numPr>
        <w:ind w:left="284" w:hanging="284"/>
        <w:rPr>
          <w:noProof/>
        </w:rPr>
      </w:pPr>
      <w:r>
        <w:rPr>
          <w:noProof/>
        </w:rPr>
        <w:t>La industria europea: presente y fut</w:t>
      </w:r>
      <w:r>
        <w:rPr>
          <w:noProof/>
        </w:rPr>
        <w:t>uro</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industria es fundamental para el progreso y la prosperidad de Europa en el futuro. Constituye más del 20 % de la economía de la Unión y emplea a unos treinta y cinco millones de personas, además de los muchos millones más de puestos de trabajo que e</w:t>
      </w:r>
      <w:r>
        <w:rPr>
          <w:rFonts w:ascii="Times New Roman" w:hAnsi="Times New Roman"/>
          <w:noProof/>
        </w:rPr>
        <w:t>stán relacionados con ella dentro y fuera de Europa. Representa el 80 % de las exportaciones de mercancías y es una de las principales razones que explican la posición de la Unión como principal proveedor mundial y destino de la inversión extranjera direct</w:t>
      </w:r>
      <w:r>
        <w:rPr>
          <w:rFonts w:ascii="Times New Roman" w:hAnsi="Times New Roman"/>
          <w:noProof/>
        </w:rPr>
        <w:t>a. Las pequeñas y medianas empresas (pymes) representan más del 99 % del total de las sociedades europeas; son, en su gran mayoría, empresas familiares y constituyen nuestra columna vertebral tanto económica como social</w:t>
      </w:r>
      <w:r>
        <w:rPr>
          <w:rStyle w:val="FootnoteReference"/>
          <w:rFonts w:ascii="Times New Roman" w:hAnsi="Times New Roman" w:cs="Times New Roman"/>
          <w:noProof/>
        </w:rPr>
        <w:footnoteReference w:id="4"/>
      </w:r>
      <w:r>
        <w:rPr>
          <w:rFonts w:ascii="Times New Roman" w:hAnsi="Times New Roman"/>
          <w:noProof/>
        </w:rPr>
        <w:t>.</w:t>
      </w:r>
    </w:p>
    <w:p w:rsidR="000A1FDE" w:rsidRDefault="00D36882">
      <w:pPr>
        <w:spacing w:line="240" w:lineRule="auto"/>
        <w:jc w:val="both"/>
        <w:rPr>
          <w:rFonts w:ascii="Times New Roman" w:hAnsi="Times New Roman" w:cs="Times New Roman"/>
          <w:noProof/>
          <w:sz w:val="24"/>
          <w:szCs w:val="24"/>
          <w:highlight w:val="yellow"/>
        </w:rPr>
      </w:pPr>
      <w:r>
        <w:rPr>
          <w:rFonts w:ascii="Times New Roman" w:hAnsi="Times New Roman"/>
          <w:noProof/>
        </w:rPr>
        <w:t>La industria europea disfruta de u</w:t>
      </w:r>
      <w:r>
        <w:rPr>
          <w:rFonts w:ascii="Times New Roman" w:hAnsi="Times New Roman"/>
          <w:noProof/>
        </w:rPr>
        <w:t xml:space="preserve">na ventaja competitiva a nivel mundial con respecto a los productos y servicios de gran valor añadido, y predica con el ejemplo, al respetar los más elevados estándares </w:t>
      </w:r>
      <w:r>
        <w:rPr>
          <w:rFonts w:ascii="Times New Roman" w:hAnsi="Times New Roman"/>
          <w:b/>
          <w:noProof/>
        </w:rPr>
        <w:t>sociales, laborales y medioambientales</w:t>
      </w:r>
      <w:r>
        <w:rPr>
          <w:rFonts w:ascii="Times New Roman" w:hAnsi="Times New Roman"/>
          <w:noProof/>
        </w:rPr>
        <w:t xml:space="preserve">, lo que permite a Europa proyectar sus valores. </w:t>
      </w:r>
      <w:r>
        <w:rPr>
          <w:rFonts w:ascii="Times New Roman" w:hAnsi="Times New Roman"/>
          <w:noProof/>
        </w:rPr>
        <w:t>Gracias a su gran capacidad de innovación, la industria europea también es líder mundial en patentes de tecnología verde y otros sectores de alta tecnología. Nuestro mercado único empodera a las empresas europeas de todos los tamaños para innovar, crecer y</w:t>
      </w:r>
      <w:r>
        <w:rPr>
          <w:rFonts w:ascii="Times New Roman" w:hAnsi="Times New Roman"/>
          <w:noProof/>
        </w:rPr>
        <w:t xml:space="preserve"> emplear a más personas. Estos puntos fuertes deben canalizarse hacia el liderazgo en ámbitos en los que la Unión sigue estando rezagada, como la nube o las aplicaciones de datos.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industria europea ya está experimentando una transformación significativ</w:t>
      </w:r>
      <w:r>
        <w:rPr>
          <w:rFonts w:ascii="Times New Roman" w:hAnsi="Times New Roman"/>
          <w:noProof/>
        </w:rPr>
        <w:t>a. De los productos, se está pasando claramente a los servicios y de la propiedad exclusiva de los productos y servicios, a la compartida. La presión ejercida sobre los recursos naturales ya está dando lugar a un enfoque más circular de la fabricación. Gra</w:t>
      </w:r>
      <w:r>
        <w:rPr>
          <w:rFonts w:ascii="Times New Roman" w:hAnsi="Times New Roman"/>
          <w:noProof/>
        </w:rPr>
        <w:t xml:space="preserve">cias a tecnologías disruptivas como la impresión en 3D, Europa también tiene que aprovechar al máximo la </w:t>
      </w:r>
      <w:r>
        <w:rPr>
          <w:rFonts w:ascii="Times New Roman" w:hAnsi="Times New Roman"/>
          <w:b/>
          <w:noProof/>
        </w:rPr>
        <w:t>localización como una oportunidad</w:t>
      </w:r>
      <w:r>
        <w:rPr>
          <w:rFonts w:ascii="Times New Roman" w:hAnsi="Times New Roman"/>
          <w:noProof/>
        </w:rPr>
        <w:t xml:space="preserve"> para traer de nuevo a la Unión más procesos de fabricación en algunos sectores.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Para hacer realidad nuestras ambicio</w:t>
      </w:r>
      <w:r>
        <w:rPr>
          <w:rFonts w:ascii="Times New Roman" w:hAnsi="Times New Roman"/>
          <w:noProof/>
        </w:rPr>
        <w:t xml:space="preserve">nes, Europa necesita una industria que sea más ecológica y más digital, sin dejar de ser competitiva en la escena mundial, lo que contribuirá a transformar y desarrollar industrias nuevas y tradicionales, ayudará a las pymes e </w:t>
      </w:r>
      <w:r>
        <w:rPr>
          <w:rFonts w:ascii="Times New Roman" w:hAnsi="Times New Roman"/>
          <w:b/>
          <w:noProof/>
        </w:rPr>
        <w:t>impulsará nuestra sostenibili</w:t>
      </w:r>
      <w:r>
        <w:rPr>
          <w:rFonts w:ascii="Times New Roman" w:hAnsi="Times New Roman"/>
          <w:b/>
          <w:noProof/>
        </w:rPr>
        <w:t>dad competitiva</w:t>
      </w:r>
      <w:r>
        <w:rPr>
          <w:rFonts w:ascii="Times New Roman" w:hAnsi="Times New Roman"/>
          <w:noProof/>
        </w:rPr>
        <w:t xml:space="preserve"> en toda la Unión. Esto es tan importante para los servicios como para las mercancías.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Gracias a la economía social de mercado europea, el crecimiento económico va acompañado de la mejora de las condiciones sociales y el nivel de vida y de </w:t>
      </w:r>
      <w:r>
        <w:rPr>
          <w:rFonts w:ascii="Times New Roman" w:hAnsi="Times New Roman"/>
          <w:noProof/>
        </w:rPr>
        <w:t xml:space="preserve">buenas condiciones de trabajo. El </w:t>
      </w:r>
      <w:r>
        <w:rPr>
          <w:rFonts w:ascii="Times New Roman" w:hAnsi="Times New Roman"/>
          <w:b/>
          <w:noProof/>
        </w:rPr>
        <w:t>pilar europeo de derechos sociales</w:t>
      </w:r>
      <w:r>
        <w:rPr>
          <w:rFonts w:ascii="Times New Roman" w:hAnsi="Times New Roman"/>
          <w:noProof/>
        </w:rPr>
        <w:t xml:space="preserve"> seguirá siendo nuestra brújula y garantizará que la doble transición sea socialmente justa.</w:t>
      </w:r>
    </w:p>
    <w:p w:rsidR="00D36882" w:rsidRDefault="00D36882">
      <w:pPr>
        <w:spacing w:line="240" w:lineRule="auto"/>
        <w:jc w:val="both"/>
        <w:rPr>
          <w:rFonts w:ascii="Times New Roman" w:hAnsi="Times New Roman"/>
          <w:noProof/>
        </w:rPr>
      </w:pPr>
      <w:r>
        <w:rPr>
          <w:rFonts w:ascii="Times New Roman" w:hAnsi="Times New Roman"/>
          <w:noProof/>
        </w:rPr>
        <w:t>Al contar con una base industrial fuerte, innovadora e integrada, Europa está bien situada para</w:t>
      </w:r>
      <w:r>
        <w:rPr>
          <w:rFonts w:ascii="Times New Roman" w:hAnsi="Times New Roman"/>
          <w:noProof/>
        </w:rPr>
        <w:t xml:space="preserve"> asumir el liderazgo mundial. </w:t>
      </w:r>
    </w:p>
    <w:p w:rsidR="00D36882" w:rsidRDefault="00D36882" w:rsidP="00D36882">
      <w:pPr>
        <w:rPr>
          <w:noProof/>
        </w:rPr>
      </w:pPr>
      <w:r>
        <w:rPr>
          <w:noProof/>
        </w:rPr>
        <w:br w:type="page"/>
      </w:r>
    </w:p>
    <w:p w:rsidR="000A1FDE" w:rsidRDefault="00D36882" w:rsidP="00D36882">
      <w:pPr>
        <w:jc w:val="both"/>
        <w:rPr>
          <w:rFonts w:ascii="Times New Roman" w:hAnsi="Times New Roman" w:cs="Times New Roman"/>
          <w:i/>
          <w:noProof/>
          <w:sz w:val="24"/>
          <w:szCs w:val="24"/>
        </w:rPr>
      </w:pPr>
      <w:r>
        <w:rPr>
          <w:rFonts w:ascii="Times New Roman" w:hAnsi="Times New Roman"/>
          <w:i/>
          <w:noProof/>
        </w:rPr>
        <w:lastRenderedPageBreak/>
        <w:t>2.1. Una industria competitiva y líder a nivel mundial</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Las nuevas realidades geopolíticas, en permanente cambio, están afectando profundamente a la industria europea. La competencia mundial, el proteccionismo, las distorsione</w:t>
      </w:r>
      <w:r>
        <w:rPr>
          <w:rFonts w:ascii="Times New Roman" w:hAnsi="Times New Roman"/>
          <w:noProof/>
        </w:rPr>
        <w:t>s del mercado, las tensiones comerciales y los desafíos al sistema basado en normas están aumentando. Están surgiendo nuevas potencias y nuevos competidores. Los socios más consolidados están eligiendo nuevas vías. Estas tendencias, unidas al período de in</w:t>
      </w:r>
      <w:r>
        <w:rPr>
          <w:rFonts w:ascii="Times New Roman" w:hAnsi="Times New Roman"/>
          <w:noProof/>
        </w:rPr>
        <w:t xml:space="preserve">certidumbre económica mundial que se vislumbra en el horizonte, plantean nuevos retos a la industria europea en su despegue hacia la doble transición ecológica y digital.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Frente a estos vientos en contra, la respuesta de Europa no puede consistir en levan</w:t>
      </w:r>
      <w:r>
        <w:rPr>
          <w:rFonts w:ascii="Times New Roman" w:hAnsi="Times New Roman"/>
          <w:noProof/>
        </w:rPr>
        <w:t xml:space="preserve">tar más barreras, proteger industrias no competitivas o imitar las políticas proteccionistas o distorsionadoras de otros. </w:t>
      </w:r>
      <w:r>
        <w:rPr>
          <w:rFonts w:ascii="Times New Roman" w:hAnsi="Times New Roman"/>
          <w:b/>
          <w:noProof/>
        </w:rPr>
        <w:t>La competitividad requiere competencia, tanto en casa como en el resto del mundo</w:t>
      </w:r>
      <w:r>
        <w:rPr>
          <w:rFonts w:ascii="Times New Roman" w:hAnsi="Times New Roman"/>
          <w:noProof/>
        </w:rPr>
        <w:t>. Es necesario que se den las condiciones adecuadas pa</w:t>
      </w:r>
      <w:r>
        <w:rPr>
          <w:rFonts w:ascii="Times New Roman" w:hAnsi="Times New Roman"/>
          <w:noProof/>
        </w:rPr>
        <w:t xml:space="preserve">ra que los emprendedores pongan sus ideas en acción y para que las empresas de todos los tamaños prosperen y crezcan.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Al mismo tiempo, la Unión tiene que ser capaz de reforzar sus intereses estratégicos en el extranjero por medio de la proyección económic</w:t>
      </w:r>
      <w:r>
        <w:rPr>
          <w:rFonts w:ascii="Times New Roman" w:hAnsi="Times New Roman"/>
          <w:noProof/>
        </w:rPr>
        <w:t xml:space="preserve">a y la diplomacia. La </w:t>
      </w:r>
      <w:r>
        <w:rPr>
          <w:rFonts w:ascii="Times New Roman" w:hAnsi="Times New Roman"/>
          <w:b/>
          <w:noProof/>
        </w:rPr>
        <w:t>Unión debe aprovechar el impacto, el tamaño y la integración de su mercado único</w:t>
      </w:r>
      <w:r>
        <w:rPr>
          <w:rFonts w:ascii="Times New Roman" w:hAnsi="Times New Roman"/>
          <w:noProof/>
        </w:rPr>
        <w:t xml:space="preserve"> para establecer normas mundiales. Poder forjar unas normas mundiales de calidad que lleven el sello distintivo de los valores y principios de Europa refo</w:t>
      </w:r>
      <w:r>
        <w:rPr>
          <w:rFonts w:ascii="Times New Roman" w:hAnsi="Times New Roman"/>
          <w:noProof/>
        </w:rPr>
        <w:t xml:space="preserve">rzará nuestra autonomía estratégica y nuestra competitividad industrial.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Europa, además, seguirá confiando en el comercio libre y justo con socios de todo el mundo. El sistema de comercio multilateral basado en normas y la Organización Mundial del Comerci</w:t>
      </w:r>
      <w:r>
        <w:rPr>
          <w:rFonts w:ascii="Times New Roman" w:hAnsi="Times New Roman"/>
          <w:noProof/>
        </w:rPr>
        <w:t xml:space="preserve">o (OMC) son indispensables para garantizar la apertura de los mercados y la igualdad de condiciones. La Unión seguirá esforzándose por </w:t>
      </w:r>
      <w:r>
        <w:rPr>
          <w:rFonts w:ascii="Times New Roman" w:hAnsi="Times New Roman"/>
          <w:b/>
          <w:noProof/>
        </w:rPr>
        <w:t>defender, actualizar y mejorar el sistema de comercio mundial</w:t>
      </w:r>
      <w:r>
        <w:rPr>
          <w:rFonts w:ascii="Times New Roman" w:hAnsi="Times New Roman"/>
          <w:noProof/>
        </w:rPr>
        <w:t>, de manera que sea adecuado para afrontar los retos del pre</w:t>
      </w:r>
      <w:r>
        <w:rPr>
          <w:rFonts w:ascii="Times New Roman" w:hAnsi="Times New Roman"/>
          <w:noProof/>
        </w:rPr>
        <w:t>sente y las realidades del futuro.</w:t>
      </w:r>
    </w:p>
    <w:p w:rsidR="000A1FDE" w:rsidRDefault="00D36882" w:rsidP="00D36882">
      <w:pPr>
        <w:spacing w:line="240" w:lineRule="auto"/>
        <w:jc w:val="both"/>
        <w:rPr>
          <w:rFonts w:ascii="Times New Roman" w:hAnsi="Times New Roman" w:cs="Times New Roman"/>
          <w:i/>
          <w:noProof/>
          <w:sz w:val="24"/>
          <w:szCs w:val="24"/>
        </w:rPr>
      </w:pPr>
      <w:r>
        <w:rPr>
          <w:rFonts w:ascii="Times New Roman" w:hAnsi="Times New Roman"/>
          <w:i/>
          <w:noProof/>
        </w:rPr>
        <w:t>2.2. Una industria que allane el camino hacia la neutralidad climática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El Pacto Verde Europeo es la nueva estrategia de crecimiento de Europa. Su objetivo principal es hacer de Europa el primer continente climáticamente n</w:t>
      </w:r>
      <w:r>
        <w:rPr>
          <w:rFonts w:ascii="Times New Roman" w:hAnsi="Times New Roman"/>
          <w:noProof/>
        </w:rPr>
        <w:t xml:space="preserve">eutro del mundo de aquí a 2050.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industria ha de desempeñar un papel de liderazgo en lo que constituye el mayor desafío y la mayor oportunidad de nuestra época. </w:t>
      </w:r>
      <w:r>
        <w:rPr>
          <w:rFonts w:ascii="Times New Roman" w:hAnsi="Times New Roman"/>
          <w:b/>
          <w:noProof/>
        </w:rPr>
        <w:t xml:space="preserve">Todas las cadenas de valor industriales, incluidos los sectores que consumen mucha energía, </w:t>
      </w:r>
      <w:r>
        <w:rPr>
          <w:rFonts w:ascii="Times New Roman" w:hAnsi="Times New Roman"/>
          <w:b/>
          <w:noProof/>
        </w:rPr>
        <w:t>tendrán que desempeñar un papel clave</w:t>
      </w:r>
      <w:r>
        <w:rPr>
          <w:rFonts w:ascii="Times New Roman" w:hAnsi="Times New Roman"/>
          <w:noProof/>
        </w:rPr>
        <w:t xml:space="preserve">. Todas ellas tendrán que trabajar para reducir su propia huella de carbono, pero también tendrán que acelerar la transición, proporcionando para ello soluciones tecnológicas limpias y asequibles y desarrollando nuevos </w:t>
      </w:r>
      <w:r>
        <w:rPr>
          <w:rFonts w:ascii="Times New Roman" w:hAnsi="Times New Roman"/>
          <w:noProof/>
        </w:rPr>
        <w:t xml:space="preserve">modelos de negocio.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Para llegar a ser más competitiva a medida que se vuelve más ecológica y circular, la industria necesitará un </w:t>
      </w:r>
      <w:r>
        <w:rPr>
          <w:rFonts w:ascii="Times New Roman" w:hAnsi="Times New Roman"/>
          <w:b/>
          <w:noProof/>
        </w:rPr>
        <w:t>suministro seguro de energía limpia y asequible y de materias primas</w:t>
      </w:r>
      <w:r>
        <w:rPr>
          <w:rFonts w:ascii="Times New Roman" w:hAnsi="Times New Roman"/>
          <w:noProof/>
        </w:rPr>
        <w:t>. El aumento de la inversión en investigación, innovación</w:t>
      </w:r>
      <w:r>
        <w:rPr>
          <w:rFonts w:ascii="Times New Roman" w:hAnsi="Times New Roman"/>
          <w:noProof/>
        </w:rPr>
        <w:t xml:space="preserve">, despliegue y actualización de infraestructuras contribuirá a desarrollar nuevos procesos de producción y, de paso, a crear empleo.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En consonancia con el espíritu emprendedor de la presente estrategia, las instituciones de la Unión, los Estados miembros, las regiones, la industria y todas las demás partes pertinentes deben colaborar para </w:t>
      </w:r>
      <w:r>
        <w:rPr>
          <w:rFonts w:ascii="Times New Roman" w:hAnsi="Times New Roman"/>
          <w:b/>
          <w:noProof/>
        </w:rPr>
        <w:t>crear mercados líderes en tecnologías limpias</w:t>
      </w:r>
      <w:r>
        <w:rPr>
          <w:rFonts w:ascii="Times New Roman" w:hAnsi="Times New Roman"/>
          <w:noProof/>
        </w:rPr>
        <w:t xml:space="preserve"> y </w:t>
      </w:r>
      <w:r>
        <w:rPr>
          <w:rFonts w:ascii="Times New Roman" w:hAnsi="Times New Roman"/>
          <w:noProof/>
        </w:rPr>
        <w:t xml:space="preserve">garantizar que nuestra industria sea líder mundial. Las políticas reguladoras, la contratación pública, la competencia leal y la plena participación de las pymes serán esenciales para ello. </w:t>
      </w:r>
    </w:p>
    <w:p w:rsidR="00D36882" w:rsidRDefault="00D36882">
      <w:pPr>
        <w:spacing w:line="240" w:lineRule="auto"/>
        <w:jc w:val="both"/>
        <w:rPr>
          <w:rFonts w:ascii="Times New Roman" w:hAnsi="Times New Roman"/>
          <w:noProof/>
        </w:rPr>
      </w:pPr>
      <w:r>
        <w:rPr>
          <w:rFonts w:ascii="Times New Roman" w:hAnsi="Times New Roman"/>
          <w:noProof/>
        </w:rPr>
        <w:t>Estos esfuerzos deben estar respaldados por políticas e instrumen</w:t>
      </w:r>
      <w:r>
        <w:rPr>
          <w:rFonts w:ascii="Times New Roman" w:hAnsi="Times New Roman"/>
          <w:noProof/>
        </w:rPr>
        <w:t xml:space="preserve">tos financieros a nivel nacional y de la Unión, así como por el sector privado. Quienes se pongan en movimiento antes y con mayor rapidez disfrutarán de una mayor ventaja competitiva. </w:t>
      </w:r>
    </w:p>
    <w:p w:rsidR="00D36882" w:rsidRDefault="00D36882" w:rsidP="00D36882">
      <w:pPr>
        <w:rPr>
          <w:noProof/>
        </w:rPr>
      </w:pPr>
      <w:r>
        <w:rPr>
          <w:noProof/>
        </w:rPr>
        <w:br w:type="page"/>
      </w:r>
    </w:p>
    <w:p w:rsidR="000A1FDE" w:rsidRDefault="00D36882" w:rsidP="00D36882">
      <w:pPr>
        <w:pStyle w:val="ListParagraph"/>
        <w:numPr>
          <w:ilvl w:val="1"/>
          <w:numId w:val="17"/>
        </w:numPr>
        <w:ind w:left="426"/>
        <w:jc w:val="both"/>
        <w:rPr>
          <w:rFonts w:ascii="Times New Roman" w:hAnsi="Times New Roman" w:cs="Times New Roman"/>
          <w:i/>
          <w:noProof/>
          <w:sz w:val="24"/>
          <w:szCs w:val="24"/>
        </w:rPr>
      </w:pPr>
      <w:r>
        <w:rPr>
          <w:rFonts w:ascii="Times New Roman" w:hAnsi="Times New Roman"/>
          <w:i/>
          <w:noProof/>
        </w:rPr>
        <w:t>Una industria que configure el futuro digital de Europa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Las tecnologías</w:t>
      </w:r>
      <w:r>
        <w:rPr>
          <w:rFonts w:ascii="Times New Roman" w:hAnsi="Times New Roman"/>
          <w:noProof/>
        </w:rPr>
        <w:t xml:space="preserve"> digitales están cambiando la faz de la industria y la forma en que hacemos negocios. Crean nuevos modelos de empresa, permiten que la industria sea más productiva, proporcionan a los trabajadores nuevas capacidades y contribuyen a la descarbonización de n</w:t>
      </w:r>
      <w:r>
        <w:rPr>
          <w:rFonts w:ascii="Times New Roman" w:hAnsi="Times New Roman"/>
          <w:noProof/>
        </w:rPr>
        <w:t>uestra economía. El sector digital también contribuirá al Pacto Verde Europeo, tanto como fuente de soluciones tecnológicas limpias como mediante la reducción de su propia huella de carbono.</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Comisión, por medio de su </w:t>
      </w:r>
      <w:r>
        <w:rPr>
          <w:rFonts w:ascii="Times New Roman" w:hAnsi="Times New Roman"/>
          <w:i/>
          <w:noProof/>
        </w:rPr>
        <w:t>Estrategia para configurar el futuro</w:t>
      </w:r>
      <w:r>
        <w:rPr>
          <w:rFonts w:ascii="Times New Roman" w:hAnsi="Times New Roman"/>
          <w:i/>
          <w:noProof/>
        </w:rPr>
        <w:t xml:space="preserve"> digital de Europa</w:t>
      </w:r>
      <w:r>
        <w:rPr>
          <w:rFonts w:ascii="Times New Roman" w:hAnsi="Times New Roman"/>
          <w:noProof/>
        </w:rPr>
        <w:t xml:space="preserve">, presenta su visión sobre cómo Europa puede conservar su soberanía tecnológica y digital y convertirse en el líder digital mundial. Reconociendo que </w:t>
      </w:r>
      <w:r>
        <w:rPr>
          <w:rFonts w:ascii="Times New Roman" w:hAnsi="Times New Roman"/>
          <w:b/>
          <w:noProof/>
        </w:rPr>
        <w:t>la escalabilidad es clave en una economía digitalizada</w:t>
      </w:r>
      <w:r>
        <w:rPr>
          <w:rFonts w:ascii="Times New Roman" w:hAnsi="Times New Roman"/>
          <w:noProof/>
        </w:rPr>
        <w:t>, el fortalecimiento del mercado ú</w:t>
      </w:r>
      <w:r>
        <w:rPr>
          <w:rFonts w:ascii="Times New Roman" w:hAnsi="Times New Roman"/>
          <w:noProof/>
        </w:rPr>
        <w:t>nico digital sustentará la transición de Europa.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Europa también debe acelerar la inversión en investigación y el despliegue de tecnología en ámbitos como la inteligencia artificial, las redes 5G, los datos y el análisis de metadatos. En 2018, tan solo una de cada diez empresas de la Unión aproximadamente</w:t>
      </w:r>
      <w:r>
        <w:rPr>
          <w:rFonts w:ascii="Times New Roman" w:hAnsi="Times New Roman"/>
          <w:noProof/>
        </w:rPr>
        <w:t xml:space="preserve"> analizó macrodatos, y solo una de cada cuatro utilizó servicios de computación en la nube.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Tal como se afirma en la reciente </w:t>
      </w:r>
      <w:r>
        <w:rPr>
          <w:rFonts w:ascii="Times New Roman" w:hAnsi="Times New Roman"/>
          <w:i/>
          <w:noProof/>
        </w:rPr>
        <w:t>Estrategia Europea de Datos</w:t>
      </w:r>
      <w:r>
        <w:rPr>
          <w:rFonts w:ascii="Times New Roman" w:hAnsi="Times New Roman"/>
          <w:noProof/>
        </w:rPr>
        <w:t xml:space="preserve"> de la Comisión</w:t>
      </w:r>
      <w:r>
        <w:rPr>
          <w:rStyle w:val="FootnoteReference"/>
          <w:rFonts w:ascii="Times New Roman" w:hAnsi="Times New Roman" w:cs="Times New Roman"/>
          <w:noProof/>
        </w:rPr>
        <w:footnoteReference w:id="5"/>
      </w:r>
      <w:r>
        <w:rPr>
          <w:rFonts w:ascii="Times New Roman" w:hAnsi="Times New Roman"/>
          <w:noProof/>
        </w:rPr>
        <w:t>, Europa necesita un marco que permita a las empresas crear, poner en común y utilizar</w:t>
      </w:r>
      <w:r>
        <w:rPr>
          <w:rFonts w:ascii="Times New Roman" w:hAnsi="Times New Roman"/>
          <w:noProof/>
        </w:rPr>
        <w:t xml:space="preserve"> datos para mejorar sus productos y competir en el ámbito internacional de manera que se conserven nuestros valores y se respeten los derechos y la privacidad de todos.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Unión también debe </w:t>
      </w:r>
      <w:r>
        <w:rPr>
          <w:rFonts w:ascii="Times New Roman" w:hAnsi="Times New Roman"/>
          <w:b/>
          <w:noProof/>
        </w:rPr>
        <w:t>mejorar su capacidad industrial en infraestructuras digitales crí</w:t>
      </w:r>
      <w:r>
        <w:rPr>
          <w:rFonts w:ascii="Times New Roman" w:hAnsi="Times New Roman"/>
          <w:b/>
          <w:noProof/>
        </w:rPr>
        <w:t>ticas</w:t>
      </w:r>
      <w:r>
        <w:rPr>
          <w:rFonts w:ascii="Times New Roman" w:hAnsi="Times New Roman"/>
          <w:noProof/>
        </w:rPr>
        <w:t xml:space="preserve">. El éxito de la implantación de una red 5G altamente segura y de última generación facilitará en gran medida los futuros servicios digitales y nos situará en el núcleo de la oleada de datos industriales. Europa debe invertir ahora si quiere situarse </w:t>
      </w:r>
      <w:r>
        <w:rPr>
          <w:rFonts w:ascii="Times New Roman" w:hAnsi="Times New Roman"/>
          <w:noProof/>
        </w:rPr>
        <w:t xml:space="preserve">a la vanguardia de las redes 6G.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En consonancia con el espíritu emprendedor de la presente estrategia industrial, </w:t>
      </w:r>
      <w:r>
        <w:rPr>
          <w:rFonts w:ascii="Times New Roman" w:hAnsi="Times New Roman"/>
          <w:b/>
          <w:noProof/>
        </w:rPr>
        <w:t>Europa debe poner en común sus puntos fuertes para llevar a cabo colectivamente lo que nadie puede hacer en solitario</w:t>
      </w:r>
      <w:r>
        <w:rPr>
          <w:rFonts w:ascii="Times New Roman" w:hAnsi="Times New Roman"/>
          <w:noProof/>
        </w:rPr>
        <w:t xml:space="preserve">. Ejemplos recientes al </w:t>
      </w:r>
      <w:r>
        <w:rPr>
          <w:rFonts w:ascii="Times New Roman" w:hAnsi="Times New Roman"/>
          <w:noProof/>
        </w:rPr>
        <w:t xml:space="preserve">respecto han puesto de manifiesto el potencial y el valor de este planteamiento. Europa alberga ahora uno de los tres superordenadores más rápidos del mundo y ha invertido la tendencia a la baja en materia de microelectrónica.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Tiene todo lo que se necesit</w:t>
      </w:r>
      <w:r>
        <w:rPr>
          <w:rFonts w:ascii="Times New Roman" w:hAnsi="Times New Roman"/>
          <w:noProof/>
        </w:rPr>
        <w:t xml:space="preserve">a para liderar esta nueva carrera tecnológica. Para ello, ha de aprovechar sus puntos fuertes, a saber, una sólida base industrial, una investigación de calidad, trabajadores cualificados, un vibrante ecosistema de empresas emergentes, una infraestructura </w:t>
      </w:r>
      <w:r>
        <w:rPr>
          <w:rFonts w:ascii="Times New Roman" w:hAnsi="Times New Roman"/>
          <w:noProof/>
        </w:rPr>
        <w:t xml:space="preserve">madura y una posición de liderazgo en la utilización de datos industriales. </w:t>
      </w:r>
    </w:p>
    <w:p w:rsidR="000A1FDE" w:rsidRDefault="00D36882">
      <w:pPr>
        <w:pStyle w:val="Heading1"/>
        <w:numPr>
          <w:ilvl w:val="0"/>
          <w:numId w:val="16"/>
        </w:numPr>
        <w:ind w:left="284" w:hanging="284"/>
        <w:rPr>
          <w:noProof/>
        </w:rPr>
      </w:pPr>
      <w:r>
        <w:rPr>
          <w:noProof/>
        </w:rPr>
        <w:t>Factores fundamentales de la transformación industrial de Europa</w:t>
      </w:r>
    </w:p>
    <w:p w:rsidR="000A1FDE" w:rsidRDefault="00D36882">
      <w:pPr>
        <w:spacing w:after="0" w:line="240" w:lineRule="auto"/>
        <w:jc w:val="both"/>
        <w:rPr>
          <w:rFonts w:ascii="Times New Roman" w:eastAsia="Calibri" w:hAnsi="Times New Roman" w:cs="Calibri"/>
          <w:noProof/>
          <w:color w:val="000000"/>
          <w:sz w:val="24"/>
          <w:szCs w:val="24"/>
          <w:bdr w:val="none" w:sz="0" w:space="0" w:color="auto" w:frame="1"/>
        </w:rPr>
      </w:pPr>
      <w:r>
        <w:rPr>
          <w:rFonts w:ascii="Times New Roman" w:hAnsi="Times New Roman"/>
          <w:noProof/>
          <w:bdr w:val="none" w:sz="0" w:space="0" w:color="auto" w:frame="1"/>
        </w:rPr>
        <w:t>Los tres elementos expuestos anteriormente ponen de manifiesto el alcance de la transformación que va a experiment</w:t>
      </w:r>
      <w:r>
        <w:rPr>
          <w:rFonts w:ascii="Times New Roman" w:hAnsi="Times New Roman"/>
          <w:noProof/>
          <w:bdr w:val="none" w:sz="0" w:space="0" w:color="auto" w:frame="1"/>
        </w:rPr>
        <w:t xml:space="preserve">ar Europa. Se necesita una generación para transformar un sector industrial y todas las cadenas de valor de las que forma parte. Sin embargo, en un entorno competitivo y dinámico no hay tiempo que perder. Los próximos cinco años serán decisivos para crear </w:t>
      </w:r>
      <w:r>
        <w:rPr>
          <w:rFonts w:ascii="Times New Roman" w:hAnsi="Times New Roman"/>
          <w:noProof/>
          <w:bdr w:val="none" w:sz="0" w:space="0" w:color="auto" w:frame="1"/>
        </w:rPr>
        <w:t xml:space="preserve">las condiciones adecuadas que permitan esta transición. </w:t>
      </w:r>
    </w:p>
    <w:p w:rsidR="000A1FDE" w:rsidRDefault="000A1FDE">
      <w:pPr>
        <w:spacing w:after="0" w:line="240" w:lineRule="auto"/>
        <w:jc w:val="both"/>
        <w:rPr>
          <w:rFonts w:ascii="Times New Roman" w:eastAsia="Calibri" w:hAnsi="Times New Roman" w:cs="Calibri"/>
          <w:noProof/>
          <w:color w:val="000000"/>
          <w:sz w:val="24"/>
          <w:szCs w:val="24"/>
          <w:bdr w:val="none" w:sz="0" w:space="0" w:color="auto" w:frame="1"/>
        </w:rPr>
      </w:pPr>
    </w:p>
    <w:p w:rsidR="000A1FDE" w:rsidRDefault="00D36882">
      <w:pPr>
        <w:spacing w:after="0" w:line="240" w:lineRule="auto"/>
        <w:jc w:val="both"/>
        <w:rPr>
          <w:rFonts w:ascii="Times New Roman" w:eastAsia="Calibri" w:hAnsi="Times New Roman" w:cs="Calibri"/>
          <w:noProof/>
          <w:color w:val="000000"/>
          <w:sz w:val="24"/>
          <w:szCs w:val="24"/>
          <w:bdr w:val="none" w:sz="0" w:space="0" w:color="auto" w:frame="1"/>
        </w:rPr>
      </w:pPr>
      <w:r>
        <w:rPr>
          <w:rFonts w:ascii="Times New Roman" w:hAnsi="Times New Roman"/>
          <w:noProof/>
          <w:bdr w:val="none" w:sz="0" w:space="0" w:color="auto" w:frame="1"/>
        </w:rPr>
        <w:t>La presente estrategia se apoya en un conjunto de factores fundamentales para la transformación industrial de Europa. Algunos de ellos renuevan o amplían los enfoques existentes en materia de innova</w:t>
      </w:r>
      <w:r>
        <w:rPr>
          <w:rFonts w:ascii="Times New Roman" w:hAnsi="Times New Roman"/>
          <w:noProof/>
          <w:bdr w:val="none" w:sz="0" w:space="0" w:color="auto" w:frame="1"/>
        </w:rPr>
        <w:t>ción, inversión, normas o igualdad de condiciones. Otros reflejan la necesidad de encontrar nuevas formas de trabajar para Europa, a fin de reforzar su industria de cara a la doble transición, tanto por lo que respecta a las cualificaciones como a la circu</w:t>
      </w:r>
      <w:r>
        <w:rPr>
          <w:rFonts w:ascii="Times New Roman" w:hAnsi="Times New Roman"/>
          <w:noProof/>
          <w:bdr w:val="none" w:sz="0" w:space="0" w:color="auto" w:frame="1"/>
        </w:rPr>
        <w:t xml:space="preserve">laridad. </w:t>
      </w:r>
    </w:p>
    <w:p w:rsidR="000A1FDE" w:rsidRDefault="00D36882">
      <w:pPr>
        <w:spacing w:after="0" w:line="240" w:lineRule="auto"/>
        <w:jc w:val="both"/>
        <w:rPr>
          <w:rFonts w:ascii="Times New Roman" w:eastAsia="Calibri" w:hAnsi="Times New Roman" w:cs="Calibri"/>
          <w:noProof/>
          <w:color w:val="000000"/>
          <w:sz w:val="24"/>
          <w:szCs w:val="24"/>
          <w:bdr w:val="none" w:sz="0" w:space="0" w:color="auto" w:frame="1"/>
        </w:rPr>
      </w:pPr>
      <w:r>
        <w:rPr>
          <w:rFonts w:ascii="Times New Roman" w:hAnsi="Times New Roman"/>
          <w:noProof/>
          <w:bdr w:val="none" w:sz="0" w:space="0" w:color="auto" w:frame="1"/>
        </w:rPr>
        <w:t>Los factores fundamentales reflejan el hecho de que no existe una pócima mágica ni una solución aislada, sino que todos ellos están interconectados y se refuerzan mutuamente. Pero también reflejan la realidad de que, si bien puede hacerse mucho a</w:t>
      </w:r>
      <w:r>
        <w:rPr>
          <w:rFonts w:ascii="Times New Roman" w:hAnsi="Times New Roman"/>
          <w:noProof/>
          <w:bdr w:val="none" w:sz="0" w:space="0" w:color="auto" w:frame="1"/>
        </w:rPr>
        <w:t xml:space="preserve"> nivel europeo para generar y aportar seguridad, muchas de las soluciones están en manos de otros. Por tanto, será esencial un enfoque asociativo. </w:t>
      </w:r>
    </w:p>
    <w:p w:rsidR="000A1FDE" w:rsidRDefault="000A1FDE">
      <w:pPr>
        <w:spacing w:after="0" w:line="240" w:lineRule="auto"/>
        <w:jc w:val="both"/>
        <w:rPr>
          <w:rFonts w:ascii="Times New Roman" w:eastAsia="Calibri" w:hAnsi="Times New Roman" w:cs="Calibri"/>
          <w:noProof/>
          <w:color w:val="000000"/>
          <w:sz w:val="24"/>
          <w:szCs w:val="24"/>
          <w:bdr w:val="none" w:sz="0" w:space="0" w:color="auto" w:frame="1"/>
        </w:rPr>
      </w:pPr>
    </w:p>
    <w:p w:rsidR="000A1FDE" w:rsidRDefault="00D36882">
      <w:pPr>
        <w:jc w:val="both"/>
        <w:rPr>
          <w:rFonts w:ascii="Times New Roman" w:hAnsi="Times New Roman" w:cs="Times New Roman"/>
          <w:i/>
          <w:noProof/>
          <w:sz w:val="24"/>
          <w:szCs w:val="24"/>
        </w:rPr>
      </w:pPr>
      <w:r>
        <w:rPr>
          <w:rFonts w:ascii="Times New Roman" w:hAnsi="Times New Roman"/>
          <w:i/>
          <w:noProof/>
        </w:rPr>
        <w:t xml:space="preserve">3.1. Más seguridad para la industria: un mercado único más profundo y más digital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Gracias a la singularida</w:t>
      </w:r>
      <w:r>
        <w:rPr>
          <w:rFonts w:ascii="Times New Roman" w:hAnsi="Times New Roman"/>
          <w:noProof/>
        </w:rPr>
        <w:t>d de nuestro mercado único, las empresas de la Unión se benefician de un trampolín para competir a escala mundial. El mercado único, al proporcionar un espacio y una dimensión comunes en materia de regulación, constituye el motor de la competitividad y fac</w:t>
      </w:r>
      <w:r>
        <w:rPr>
          <w:rFonts w:ascii="Times New Roman" w:hAnsi="Times New Roman"/>
          <w:noProof/>
        </w:rPr>
        <w:t xml:space="preserve">ilita la integración de las empresas de todos los tamaños en las cadenas de valor europeas y mundiales. </w:t>
      </w:r>
    </w:p>
    <w:p w:rsidR="000A1FDE" w:rsidRDefault="00D36882">
      <w:pPr>
        <w:spacing w:line="240" w:lineRule="auto"/>
        <w:jc w:val="both"/>
        <w:rPr>
          <w:rFonts w:ascii="Times New Roman" w:hAnsi="Times New Roman" w:cs="Times New Roman"/>
          <w:b/>
          <w:noProof/>
          <w:sz w:val="24"/>
          <w:szCs w:val="24"/>
        </w:rPr>
      </w:pPr>
      <w:r>
        <w:rPr>
          <w:rFonts w:ascii="Times New Roman" w:hAnsi="Times New Roman"/>
          <w:noProof/>
        </w:rPr>
        <w:t xml:space="preserve">Para que el mercado único pueda impulsar nuestra industria, la legislación debe aplicarse, y su cumplimiento garantizarse, de manera generalizada. El </w:t>
      </w:r>
      <w:r>
        <w:rPr>
          <w:rFonts w:ascii="Times New Roman" w:hAnsi="Times New Roman"/>
          <w:b/>
          <w:noProof/>
        </w:rPr>
        <w:t>Plan de acción para mejorar la aplicación y el cumplimiento de las normas del mercado único</w:t>
      </w:r>
      <w:r>
        <w:rPr>
          <w:rStyle w:val="FootnoteReference"/>
          <w:rFonts w:ascii="Times New Roman" w:hAnsi="Times New Roman" w:cs="Times New Roman"/>
          <w:b/>
          <w:noProof/>
        </w:rPr>
        <w:footnoteReference w:id="6"/>
      </w:r>
      <w:r>
        <w:rPr>
          <w:rFonts w:ascii="Times New Roman" w:hAnsi="Times New Roman"/>
          <w:noProof/>
        </w:rPr>
        <w:t xml:space="preserve"> adoptado hoy presenta propuestas concretas para reforzar los esfuerzos conjuntos en este ámbito, en particular la creación de un Grupo de trabajo para el cumplimie</w:t>
      </w:r>
      <w:r>
        <w:rPr>
          <w:rFonts w:ascii="Times New Roman" w:hAnsi="Times New Roman"/>
          <w:noProof/>
        </w:rPr>
        <w:t>nto de la legislación sobre el mercado único.</w:t>
      </w:r>
      <w:r>
        <w:rPr>
          <w:rFonts w:ascii="Times New Roman" w:hAnsi="Times New Roman"/>
          <w:b/>
          <w:noProof/>
        </w:rPr>
        <w:t xml:space="preserve"> </w:t>
      </w:r>
      <w:r>
        <w:rPr>
          <w:rFonts w:ascii="Times New Roman" w:hAnsi="Times New Roman"/>
          <w:noProof/>
        </w:rPr>
        <w:t xml:space="preserve">El </w:t>
      </w:r>
      <w:r>
        <w:rPr>
          <w:rFonts w:ascii="Times New Roman" w:hAnsi="Times New Roman"/>
          <w:b/>
          <w:noProof/>
        </w:rPr>
        <w:t>Informe relativo a las barreras del mercado único</w:t>
      </w:r>
      <w:r>
        <w:rPr>
          <w:rStyle w:val="FootnoteReference"/>
          <w:rFonts w:ascii="Times New Roman" w:hAnsi="Times New Roman" w:cs="Times New Roman"/>
          <w:b/>
          <w:noProof/>
        </w:rPr>
        <w:footnoteReference w:id="7"/>
      </w:r>
      <w:r>
        <w:rPr>
          <w:rFonts w:ascii="Times New Roman" w:hAnsi="Times New Roman"/>
          <w:noProof/>
        </w:rPr>
        <w:t xml:space="preserve"> pone de manifiesto la necesidad de derribar las barreras a las que se enfrentan las empresas cuando venden mercancías o, más aún, cuando prestan servicios t</w:t>
      </w:r>
      <w:r>
        <w:rPr>
          <w:rFonts w:ascii="Times New Roman" w:hAnsi="Times New Roman"/>
          <w:noProof/>
        </w:rPr>
        <w:t>ransfronterizos. La mejora de la armonización fiscal ayudaría a eliminar uno de los principales obstáculos a los que se enfrentan las empresas cuando operan más allá de sus fronteras, en particular haciendo realidad una base imponible consolidada común del</w:t>
      </w:r>
      <w:r>
        <w:rPr>
          <w:rFonts w:ascii="Times New Roman" w:hAnsi="Times New Roman"/>
          <w:noProof/>
        </w:rPr>
        <w:t xml:space="preserve"> impuesto sobre sociedades.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También debe revisarse y actualizarse la legislación sobre el mercado único, a fin de garantizar su adecuación a la era digital. Ello incluiría la revisión de las normas de la Unión sobre seguridad de los productos, la ejecución</w:t>
      </w:r>
      <w:r>
        <w:rPr>
          <w:rFonts w:ascii="Times New Roman" w:hAnsi="Times New Roman"/>
          <w:noProof/>
        </w:rPr>
        <w:t xml:space="preserve"> de la estrategia europea de datos y la adopción de la Ley de servicios digitales.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También será esencial adoptar un </w:t>
      </w:r>
      <w:r>
        <w:rPr>
          <w:rFonts w:ascii="Times New Roman" w:hAnsi="Times New Roman"/>
          <w:b/>
          <w:noProof/>
        </w:rPr>
        <w:t>«enfoque de pymes a pymes»</w:t>
      </w:r>
      <w:r>
        <w:rPr>
          <w:rFonts w:ascii="Times New Roman" w:hAnsi="Times New Roman"/>
          <w:noProof/>
        </w:rPr>
        <w:t>. El creciente número de pymes jóvenes con conocimientos tecnológicos puede ayudar a las empresas industriales má</w:t>
      </w:r>
      <w:r>
        <w:rPr>
          <w:rFonts w:ascii="Times New Roman" w:hAnsi="Times New Roman"/>
          <w:noProof/>
        </w:rPr>
        <w:t>s establecidas a adaptar sus modelos de negocio y desarrollar nuevos métodos de trabajo de cara a la era digital. Esto ya ha generado nuevas oportunidades; además, las empresas emergentes deberían recibir apoyo en su contribución a la construcción de la ec</w:t>
      </w:r>
      <w:r>
        <w:rPr>
          <w:rFonts w:ascii="Times New Roman" w:hAnsi="Times New Roman"/>
          <w:noProof/>
        </w:rPr>
        <w:t>onomía de plataformas. Ahora bien, los nuevos métodos de trabajo deben ir acompañados de métodos de protección modernos y mejorados, sin olvidar a quienes trabajan en plataformas digitales.</w:t>
      </w:r>
    </w:p>
    <w:p w:rsidR="000A1FDE" w:rsidRDefault="00D36882">
      <w:pPr>
        <w:spacing w:after="120" w:line="240" w:lineRule="auto"/>
        <w:jc w:val="both"/>
        <w:rPr>
          <w:rFonts w:ascii="Times New Roman" w:eastAsia="Times New Roman" w:hAnsi="Times New Roman" w:cs="Times New Roman"/>
          <w:noProof/>
          <w:color w:val="000000"/>
          <w:sz w:val="24"/>
          <w:szCs w:val="24"/>
          <w:bdr w:val="none" w:sz="0" w:space="0" w:color="auto" w:frame="1"/>
        </w:rPr>
      </w:pPr>
      <w:r>
        <w:rPr>
          <w:rFonts w:ascii="Times New Roman" w:hAnsi="Times New Roman"/>
          <w:noProof/>
        </w:rPr>
        <w:t xml:space="preserve">El mercado único depende de sistemas sólidos de </w:t>
      </w:r>
      <w:r>
        <w:rPr>
          <w:rFonts w:ascii="Times New Roman" w:hAnsi="Times New Roman"/>
          <w:b/>
          <w:noProof/>
        </w:rPr>
        <w:t>normalización y ce</w:t>
      </w:r>
      <w:r>
        <w:rPr>
          <w:rFonts w:ascii="Times New Roman" w:hAnsi="Times New Roman"/>
          <w:b/>
          <w:noProof/>
        </w:rPr>
        <w:t>rtificación</w:t>
      </w:r>
      <w:r>
        <w:rPr>
          <w:rFonts w:ascii="Times New Roman" w:hAnsi="Times New Roman"/>
          <w:noProof/>
        </w:rPr>
        <w:t xml:space="preserve"> que funcionan adecuadamente. Tales sistemas contribuyen a aumentar el tamaño de los mercados y proporcionan seguridad jurídica. El desarrollo de nuevas normas y reglamentos técnicos, unido a una mayor participación de la Unión en organismos int</w:t>
      </w:r>
      <w:r>
        <w:rPr>
          <w:rFonts w:ascii="Times New Roman" w:hAnsi="Times New Roman"/>
          <w:noProof/>
        </w:rPr>
        <w:t>ernacionales de normalización, será esencial para impulsar la competitividad de la industria.</w:t>
      </w:r>
      <w:r>
        <w:rPr>
          <w:rFonts w:ascii="Times New Roman" w:hAnsi="Times New Roman"/>
          <w:noProof/>
          <w:bdr w:val="none" w:sz="0" w:space="0" w:color="auto" w:frame="1"/>
        </w:rPr>
        <w:t xml:space="preserve"> </w:t>
      </w:r>
    </w:p>
    <w:p w:rsidR="000A1FDE" w:rsidRDefault="00D36882">
      <w:pPr>
        <w:spacing w:after="120" w:line="240" w:lineRule="auto"/>
        <w:jc w:val="both"/>
        <w:rPr>
          <w:rFonts w:ascii="Times New Roman" w:eastAsia="Times New Roman" w:hAnsi="Times New Roman" w:cs="Times New Roman"/>
          <w:noProof/>
          <w:color w:val="000000"/>
          <w:sz w:val="24"/>
          <w:szCs w:val="24"/>
          <w:bdr w:val="none" w:sz="0" w:space="0" w:color="auto" w:frame="1"/>
        </w:rPr>
      </w:pPr>
      <w:r>
        <w:rPr>
          <w:rFonts w:ascii="Times New Roman" w:hAnsi="Times New Roman"/>
          <w:noProof/>
          <w:bdr w:val="none" w:sz="0" w:space="0" w:color="auto" w:frame="1"/>
        </w:rPr>
        <w:t xml:space="preserve">La Unión también debe velar por que su política de </w:t>
      </w:r>
      <w:r>
        <w:rPr>
          <w:rFonts w:ascii="Times New Roman" w:hAnsi="Times New Roman"/>
          <w:b/>
          <w:noProof/>
          <w:bdr w:val="none" w:sz="0" w:space="0" w:color="auto" w:frame="1"/>
        </w:rPr>
        <w:t>propiedad intelectual e industrial</w:t>
      </w:r>
      <w:r>
        <w:rPr>
          <w:rFonts w:ascii="Times New Roman" w:hAnsi="Times New Roman"/>
          <w:noProof/>
          <w:bdr w:val="none" w:sz="0" w:space="0" w:color="auto" w:frame="1"/>
        </w:rPr>
        <w:t xml:space="preserve"> contribuya a mantener y reforzar la soberanía de Europa en materia de tecno</w:t>
      </w:r>
      <w:r>
        <w:rPr>
          <w:rFonts w:ascii="Times New Roman" w:hAnsi="Times New Roman"/>
          <w:noProof/>
          <w:bdr w:val="none" w:sz="0" w:space="0" w:color="auto" w:frame="1"/>
        </w:rPr>
        <w:t>logía y a fomentar la igualdad de condiciones a nivel mundial. La propiedad intelectual e industrial contribuye a determinar el valor de mercado y la competitividad de las empresas europeas. Se trata de sus activos inmateriales, como las marcas, los diseño</w:t>
      </w:r>
      <w:r>
        <w:rPr>
          <w:rFonts w:ascii="Times New Roman" w:hAnsi="Times New Roman"/>
          <w:noProof/>
          <w:bdr w:val="none" w:sz="0" w:space="0" w:color="auto" w:frame="1"/>
        </w:rPr>
        <w:t>s, las patentes, los datos, los conocimientos técnicos y los algoritmos. Es fundamental contar con unas políticas inteligentes en materia de propiedad intelectual e industrial para ayudar a todas las empresas a crecer, crear empleo y proteger y desarrollar</w:t>
      </w:r>
      <w:r>
        <w:rPr>
          <w:rFonts w:ascii="Times New Roman" w:hAnsi="Times New Roman"/>
          <w:noProof/>
          <w:bdr w:val="none" w:sz="0" w:space="0" w:color="auto" w:frame="1"/>
        </w:rPr>
        <w:t xml:space="preserve"> lo que las hace únicas y competitivas. </w:t>
      </w:r>
    </w:p>
    <w:p w:rsidR="000A1FDE" w:rsidRDefault="00D36882">
      <w:pPr>
        <w:spacing w:after="120" w:line="240" w:lineRule="auto"/>
        <w:jc w:val="both"/>
        <w:rPr>
          <w:rFonts w:ascii="Times New Roman" w:eastAsia="Times New Roman" w:hAnsi="Times New Roman" w:cs="Times New Roman"/>
          <w:noProof/>
          <w:color w:val="000000"/>
          <w:sz w:val="24"/>
          <w:szCs w:val="24"/>
          <w:bdr w:val="none" w:sz="0" w:space="0" w:color="auto" w:frame="1"/>
        </w:rPr>
      </w:pPr>
      <w:r>
        <w:rPr>
          <w:rFonts w:ascii="Times New Roman" w:hAnsi="Times New Roman"/>
          <w:noProof/>
          <w:bdr w:val="none" w:sz="0" w:space="0" w:color="auto" w:frame="1"/>
        </w:rPr>
        <w:t xml:space="preserve">A Europa le ha resultado muy útil el tener una </w:t>
      </w:r>
      <w:r>
        <w:rPr>
          <w:rFonts w:ascii="Times New Roman" w:hAnsi="Times New Roman"/>
          <w:b/>
          <w:noProof/>
          <w:bdr w:val="none" w:sz="0" w:space="0" w:color="auto" w:frame="1"/>
        </w:rPr>
        <w:t>política independiente en materia de competencia</w:t>
      </w:r>
      <w:r>
        <w:rPr>
          <w:rFonts w:ascii="Times New Roman" w:hAnsi="Times New Roman"/>
          <w:noProof/>
          <w:bdr w:val="none" w:sz="0" w:space="0" w:color="auto" w:frame="1"/>
        </w:rPr>
        <w:t>, ya que le ha ayudado a crear unas condiciones de igualdad, impulsar la innovación y ofrecer a los consumidores más pos</w:t>
      </w:r>
      <w:r>
        <w:rPr>
          <w:rFonts w:ascii="Times New Roman" w:hAnsi="Times New Roman"/>
          <w:noProof/>
          <w:bdr w:val="none" w:sz="0" w:space="0" w:color="auto" w:frame="1"/>
        </w:rPr>
        <w:t>ibilidades de elección. La competencia saca lo mejor de nuestras empresas y les permite seguir siendo competitivas a nivel mundial. En un mundo en rápida transformación, y en un momento en el que Europa acomete su importante doble transición, debemos velar</w:t>
      </w:r>
      <w:r>
        <w:rPr>
          <w:rFonts w:ascii="Times New Roman" w:hAnsi="Times New Roman"/>
          <w:noProof/>
          <w:bdr w:val="none" w:sz="0" w:space="0" w:color="auto" w:frame="1"/>
        </w:rPr>
        <w:t xml:space="preserve"> por que las normas de competencia sigan siendo adecuadas para el mundo de hoy en día. </w:t>
      </w:r>
    </w:p>
    <w:p w:rsidR="000A1FDE" w:rsidRDefault="00D36882">
      <w:pPr>
        <w:spacing w:after="120" w:line="240" w:lineRule="auto"/>
        <w:jc w:val="both"/>
        <w:rPr>
          <w:rFonts w:ascii="Times New Roman" w:eastAsia="Times New Roman" w:hAnsi="Times New Roman" w:cs="Times New Roman"/>
          <w:noProof/>
          <w:color w:val="000000"/>
          <w:sz w:val="24"/>
          <w:szCs w:val="24"/>
          <w:bdr w:val="none" w:sz="0" w:space="0" w:color="auto" w:frame="1"/>
        </w:rPr>
      </w:pPr>
      <w:r>
        <w:rPr>
          <w:rFonts w:ascii="Times New Roman" w:hAnsi="Times New Roman"/>
          <w:noProof/>
          <w:bdr w:val="none" w:sz="0" w:space="0" w:color="auto" w:frame="1"/>
        </w:rPr>
        <w:t xml:space="preserve">Teniendo esto en cuenta, la Comisión está </w:t>
      </w:r>
      <w:r>
        <w:rPr>
          <w:rFonts w:ascii="Times New Roman" w:hAnsi="Times New Roman"/>
          <w:b/>
          <w:noProof/>
          <w:bdr w:val="none" w:sz="0" w:space="0" w:color="auto" w:frame="1"/>
        </w:rPr>
        <w:t>revisando</w:t>
      </w:r>
      <w:r>
        <w:rPr>
          <w:rFonts w:ascii="Times New Roman" w:hAnsi="Times New Roman"/>
          <w:noProof/>
          <w:bdr w:val="none" w:sz="0" w:space="0" w:color="auto" w:frame="1"/>
        </w:rPr>
        <w:t xml:space="preserve"> actualmente </w:t>
      </w:r>
      <w:r>
        <w:rPr>
          <w:rFonts w:ascii="Times New Roman" w:hAnsi="Times New Roman"/>
          <w:b/>
          <w:noProof/>
          <w:bdr w:val="none" w:sz="0" w:space="0" w:color="auto" w:frame="1"/>
        </w:rPr>
        <w:t>el marco de competencia de la Unión</w:t>
      </w:r>
      <w:r>
        <w:rPr>
          <w:rFonts w:ascii="Times New Roman" w:hAnsi="Times New Roman"/>
          <w:noProof/>
          <w:bdr w:val="none" w:sz="0" w:space="0" w:color="auto" w:frame="1"/>
        </w:rPr>
        <w:t>. Es decir, está examinando cómo se aplican las normas de competencia</w:t>
      </w:r>
      <w:r>
        <w:rPr>
          <w:rFonts w:ascii="Times New Roman" w:hAnsi="Times New Roman"/>
          <w:noProof/>
          <w:bdr w:val="none" w:sz="0" w:space="0" w:color="auto" w:frame="1"/>
        </w:rPr>
        <w:t xml:space="preserve"> vigentes, en particular en relación con las medidas antimonopolio, y si las normas que rigen los acuerdos horizontales y verticales y la comunicación sobre la definición del mercado siguen siendo adecuadas para los fines perseguidos.</w:t>
      </w:r>
      <w:r>
        <w:rPr>
          <w:noProof/>
        </w:rPr>
        <w:t xml:space="preserve"> </w:t>
      </w:r>
      <w:r>
        <w:rPr>
          <w:rFonts w:ascii="Times New Roman" w:hAnsi="Times New Roman"/>
          <w:noProof/>
          <w:bdr w:val="none" w:sz="0" w:space="0" w:color="auto" w:frame="1"/>
        </w:rPr>
        <w:t xml:space="preserve">Examinará también la </w:t>
      </w:r>
      <w:r>
        <w:rPr>
          <w:rFonts w:ascii="Times New Roman" w:hAnsi="Times New Roman"/>
          <w:noProof/>
          <w:bdr w:val="none" w:sz="0" w:space="0" w:color="auto" w:frame="1"/>
        </w:rPr>
        <w:t>manera de mejorar la detección de casos y agilizar las investigaciones.</w:t>
      </w:r>
      <w:r>
        <w:rPr>
          <w:noProof/>
        </w:rPr>
        <w:t xml:space="preserve"> </w:t>
      </w:r>
      <w:r>
        <w:rPr>
          <w:rFonts w:ascii="Times New Roman" w:hAnsi="Times New Roman"/>
          <w:noProof/>
          <w:bdr w:val="none" w:sz="0" w:space="0" w:color="auto" w:frame="1"/>
        </w:rPr>
        <w:t>La Comisión utilizará la herramienta de investigaciones sectoriales en los mercados nuevos y emergentes que están dando forma a nuestra economía y nuestra sociedad.</w:t>
      </w:r>
    </w:p>
    <w:p w:rsidR="000A1FDE" w:rsidRDefault="00D36882">
      <w:pPr>
        <w:spacing w:after="120" w:line="240" w:lineRule="auto"/>
        <w:jc w:val="both"/>
        <w:rPr>
          <w:rFonts w:ascii="Times New Roman" w:eastAsia="Times New Roman" w:hAnsi="Times New Roman" w:cs="Times New Roman"/>
          <w:noProof/>
          <w:color w:val="000000"/>
          <w:sz w:val="24"/>
          <w:szCs w:val="24"/>
          <w:bdr w:val="none" w:sz="0" w:space="0" w:color="auto" w:frame="1"/>
        </w:rPr>
      </w:pPr>
      <w:r>
        <w:rPr>
          <w:rFonts w:ascii="Times New Roman" w:hAnsi="Times New Roman"/>
          <w:noProof/>
          <w:bdr w:val="none" w:sz="0" w:space="0" w:color="auto" w:frame="1"/>
        </w:rPr>
        <w:t>También forman part</w:t>
      </w:r>
      <w:r>
        <w:rPr>
          <w:rFonts w:ascii="Times New Roman" w:hAnsi="Times New Roman"/>
          <w:noProof/>
          <w:bdr w:val="none" w:sz="0" w:space="0" w:color="auto" w:frame="1"/>
        </w:rPr>
        <w:t>e de esta revisión la evaluación en curso sobre el control de las concentraciones y el control de adecuación de las diversas directrices sobre ayudas estatales. Las normas sobre ayudas estatales garantizan la igualdad de condiciones en Europa, evitando car</w:t>
      </w:r>
      <w:r>
        <w:rPr>
          <w:rFonts w:ascii="Times New Roman" w:hAnsi="Times New Roman"/>
          <w:noProof/>
          <w:bdr w:val="none" w:sz="0" w:space="0" w:color="auto" w:frame="1"/>
        </w:rPr>
        <w:t xml:space="preserve">reras fratricidas por las subvenciones, al tiempo que apoyan objetivos importantes de interés público. La Comisión se asegurará de que, en 2021, haya </w:t>
      </w:r>
      <w:r>
        <w:rPr>
          <w:rFonts w:ascii="Times New Roman" w:hAnsi="Times New Roman"/>
          <w:b/>
          <w:noProof/>
          <w:bdr w:val="none" w:sz="0" w:space="0" w:color="auto" w:frame="1"/>
        </w:rPr>
        <w:t>normas revisadas sobre ayudas estatales</w:t>
      </w:r>
      <w:r>
        <w:rPr>
          <w:rFonts w:ascii="Times New Roman" w:hAnsi="Times New Roman"/>
          <w:noProof/>
          <w:bdr w:val="none" w:sz="0" w:space="0" w:color="auto" w:frame="1"/>
        </w:rPr>
        <w:t xml:space="preserve"> en una serie de ámbitos prioritarios, que incluyen la energía y la</w:t>
      </w:r>
      <w:r>
        <w:rPr>
          <w:rFonts w:ascii="Times New Roman" w:hAnsi="Times New Roman"/>
          <w:noProof/>
          <w:bdr w:val="none" w:sz="0" w:space="0" w:color="auto" w:frame="1"/>
        </w:rPr>
        <w:t>s ayudas en favor del medio ambiente.</w:t>
      </w:r>
    </w:p>
    <w:p w:rsidR="000A1FDE" w:rsidRDefault="000A1FDE">
      <w:pPr>
        <w:spacing w:after="120" w:line="240" w:lineRule="auto"/>
        <w:jc w:val="both"/>
        <w:rPr>
          <w:rFonts w:ascii="Times New Roman" w:eastAsia="Times New Roman" w:hAnsi="Times New Roman" w:cs="Times New Roman"/>
          <w:noProof/>
          <w:color w:val="000000"/>
          <w:sz w:val="24"/>
          <w:szCs w:val="24"/>
          <w:bdr w:val="none" w:sz="0" w:space="0" w:color="auto" w:frame="1"/>
        </w:rPr>
      </w:pP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416"/>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sobre el cumplimiento de las normas del mercado único</w:t>
            </w:r>
            <w:r>
              <w:rPr>
                <w:rFonts w:ascii="Times New Roman" w:hAnsi="Times New Roman"/>
                <w:noProof/>
              </w:rPr>
              <w:t xml:space="preserve"> e Informe relativo a las barreras del mercado único adoptados hoy. </w:t>
            </w:r>
          </w:p>
          <w:p w:rsidR="000A1FDE" w:rsidRDefault="00D36882">
            <w:pPr>
              <w:pStyle w:val="ListParagraph"/>
              <w:numPr>
                <w:ilvl w:val="0"/>
                <w:numId w:val="18"/>
              </w:numPr>
              <w:rPr>
                <w:rFonts w:ascii="Times New Roman" w:hAnsi="Times New Roman" w:cs="Times New Roman"/>
                <w:noProof/>
                <w:sz w:val="24"/>
                <w:szCs w:val="24"/>
              </w:rPr>
            </w:pPr>
            <w:r>
              <w:rPr>
                <w:rFonts w:ascii="Times New Roman" w:hAnsi="Times New Roman"/>
                <w:noProof/>
              </w:rPr>
              <w:t xml:space="preserve">Creación de un </w:t>
            </w:r>
            <w:r>
              <w:rPr>
                <w:rFonts w:ascii="Times New Roman" w:hAnsi="Times New Roman"/>
                <w:b/>
                <w:noProof/>
              </w:rPr>
              <w:t>Grupo de trabajo para el cumplimiento</w:t>
            </w:r>
            <w:r>
              <w:rPr>
                <w:rFonts w:ascii="Times New Roman" w:hAnsi="Times New Roman"/>
                <w:b/>
                <w:noProof/>
              </w:rPr>
              <w:t xml:space="preserve"> de la legislación sobre el mercado único</w:t>
            </w:r>
            <w:r>
              <w:rPr>
                <w:rFonts w:ascii="Times New Roman" w:hAnsi="Times New Roman"/>
                <w:noProof/>
              </w:rPr>
              <w:t>, compuesto por los Estados miembros y la Comisión.</w:t>
            </w:r>
          </w:p>
          <w:p w:rsidR="000A1FDE" w:rsidRDefault="00D36882">
            <w:pPr>
              <w:pStyle w:val="ListParagraph"/>
              <w:numPr>
                <w:ilvl w:val="0"/>
                <w:numId w:val="18"/>
              </w:numPr>
              <w:rPr>
                <w:rFonts w:ascii="Times New Roman" w:hAnsi="Times New Roman" w:cs="Times New Roman"/>
                <w:noProof/>
                <w:sz w:val="24"/>
                <w:szCs w:val="24"/>
              </w:rPr>
            </w:pPr>
            <w:r>
              <w:rPr>
                <w:rFonts w:ascii="Times New Roman" w:hAnsi="Times New Roman"/>
                <w:b/>
                <w:noProof/>
              </w:rPr>
              <w:t>Estrategia para las pymes en pro de una Europa sostenible y digital</w:t>
            </w:r>
            <w:r>
              <w:rPr>
                <w:rFonts w:ascii="Times New Roman" w:hAnsi="Times New Roman"/>
                <w:noProof/>
              </w:rPr>
              <w:t xml:space="preserve"> adoptada hoy. </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Evaluación, revisión y, si es necesario, adaptación de las normas de la Unión en</w:t>
            </w:r>
            <w:r>
              <w:rPr>
                <w:rFonts w:ascii="Times New Roman" w:hAnsi="Times New Roman"/>
                <w:b/>
                <w:noProof/>
              </w:rPr>
              <w:t xml:space="preserve"> materia de competencia</w:t>
            </w:r>
            <w:r>
              <w:rPr>
                <w:rFonts w:ascii="Times New Roman" w:hAnsi="Times New Roman"/>
                <w:noProof/>
              </w:rPr>
              <w:t xml:space="preserve"> a partir de 2021, incluida la evaluación en curso del control de las concentraciones y el control de adecuación de las </w:t>
            </w:r>
            <w:r>
              <w:rPr>
                <w:rFonts w:ascii="Times New Roman" w:hAnsi="Times New Roman"/>
                <w:b/>
                <w:noProof/>
              </w:rPr>
              <w:t>directrices sobre ayudas estatales</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sobre la propiedad intelectual e industrial</w:t>
            </w:r>
            <w:r>
              <w:rPr>
                <w:rFonts w:ascii="Times New Roman" w:hAnsi="Times New Roman"/>
                <w:noProof/>
              </w:rPr>
              <w:t xml:space="preserve"> para evaluar la ne</w:t>
            </w:r>
            <w:r>
              <w:rPr>
                <w:rFonts w:ascii="Times New Roman" w:hAnsi="Times New Roman"/>
                <w:noProof/>
              </w:rPr>
              <w:t>cesidad de mejorar el marco jurídico, garantizar un uso inteligente de la propiedad intelectual e industrial y combatir mejor los robos de dicha propiedad.</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Seguimiento de la estrategia europea de datos</w:t>
            </w:r>
            <w:r>
              <w:rPr>
                <w:rFonts w:ascii="Times New Roman" w:hAnsi="Times New Roman"/>
                <w:noProof/>
              </w:rPr>
              <w:t xml:space="preserve"> para desarrollar una economía de datos de la Unión que</w:t>
            </w:r>
            <w:r>
              <w:rPr>
                <w:rFonts w:ascii="Times New Roman" w:hAnsi="Times New Roman"/>
                <w:noProof/>
              </w:rPr>
              <w:t xml:space="preserve"> incluya la creación de espacios comunes europeos de datos en sectores y cadenas de valor específicos.</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Ley de servicios digitales</w:t>
            </w:r>
            <w:r>
              <w:rPr>
                <w:rFonts w:ascii="Times New Roman" w:hAnsi="Times New Roman"/>
                <w:noProof/>
              </w:rPr>
              <w:t xml:space="preserve"> destinada a actualizar y reforzar el marco jurídico para la creación de un mercado único de servicios digitales.</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Iniciativa so</w:t>
            </w:r>
            <w:r>
              <w:rPr>
                <w:rFonts w:ascii="Times New Roman" w:hAnsi="Times New Roman"/>
                <w:noProof/>
              </w:rPr>
              <w:t xml:space="preserve">bre </w:t>
            </w:r>
            <w:r>
              <w:rPr>
                <w:rFonts w:ascii="Times New Roman" w:hAnsi="Times New Roman"/>
                <w:b/>
                <w:noProof/>
              </w:rPr>
              <w:t>la mejora de las condiciones de trabajo de los trabajadores de plataformas digitales</w:t>
            </w:r>
            <w:r>
              <w:rPr>
                <w:rFonts w:ascii="Times New Roman" w:hAnsi="Times New Roman"/>
                <w:noProof/>
              </w:rPr>
              <w:t>.</w:t>
            </w:r>
          </w:p>
        </w:tc>
      </w:tr>
    </w:tbl>
    <w:p w:rsidR="000A1FDE" w:rsidRDefault="00D36882">
      <w:pPr>
        <w:keepNext/>
        <w:spacing w:line="240" w:lineRule="auto"/>
        <w:jc w:val="both"/>
        <w:rPr>
          <w:rFonts w:ascii="Times New Roman" w:hAnsi="Times New Roman" w:cs="Times New Roman"/>
          <w:i/>
          <w:noProof/>
          <w:sz w:val="24"/>
          <w:szCs w:val="24"/>
        </w:rPr>
      </w:pPr>
      <w:r>
        <w:rPr>
          <w:rFonts w:ascii="Times New Roman" w:hAnsi="Times New Roman"/>
          <w:i/>
          <w:noProof/>
        </w:rPr>
        <w:br/>
        <w:t xml:space="preserve">3.2. Defensa de la igualdad de condiciones a nivel mundial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apertura de la economía europea es una de las causas de su prosperidad y competitividad. Si bien la i</w:t>
      </w:r>
      <w:r>
        <w:rPr>
          <w:rFonts w:ascii="Times New Roman" w:hAnsi="Times New Roman"/>
          <w:noProof/>
        </w:rPr>
        <w:t xml:space="preserve">ndustria de la Unión está muy integrada en las cadenas de valor mundiales y opera a nivel mundial, la Unión no debe mostrarse ingenua ante las amenazas a la competencia leal y el comercio justo.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Unión está trabajando para mantener los mercados abiertos</w:t>
      </w:r>
      <w:r>
        <w:rPr>
          <w:rFonts w:ascii="Times New Roman" w:hAnsi="Times New Roman"/>
          <w:noProof/>
        </w:rPr>
        <w:t xml:space="preserve"> por medio de acuerdos comerciales con los países o regiones socios o participando en foros internacionales para encontrar normas que funcionen para todos. Debemos seguir adoptando un enfoque europeo coordinado que garantice un comercio beneficioso para to</w:t>
      </w:r>
      <w:r>
        <w:rPr>
          <w:rFonts w:ascii="Times New Roman" w:hAnsi="Times New Roman"/>
          <w:noProof/>
        </w:rPr>
        <w:t xml:space="preserve">dos y permita superar cualquier barrera que impida a nuestras empresas acceder como es debido a otros mercados del resto del mundo. Ello incluye la lucha contra los sistemas de planificación fiscal abusiva que crean condiciones desiguales.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Unión aprove</w:t>
      </w:r>
      <w:r>
        <w:rPr>
          <w:rFonts w:ascii="Times New Roman" w:hAnsi="Times New Roman"/>
          <w:noProof/>
        </w:rPr>
        <w:t xml:space="preserve">chará al máximo la totalidad de sus mecanismos de defensa comercial. Hacia mediados de 2020, la Comisión estudiará la mejor manera de reforzar los mecanismos y herramientas antisubvenciones. Lo hará en el </w:t>
      </w:r>
      <w:r>
        <w:rPr>
          <w:rFonts w:ascii="Times New Roman" w:hAnsi="Times New Roman"/>
          <w:b/>
          <w:noProof/>
        </w:rPr>
        <w:t>Libro Blanco relativo a un instrumento sobre subven</w:t>
      </w:r>
      <w:r>
        <w:rPr>
          <w:rFonts w:ascii="Times New Roman" w:hAnsi="Times New Roman"/>
          <w:b/>
          <w:noProof/>
        </w:rPr>
        <w:t>ciones extranjeras</w:t>
      </w:r>
      <w:r>
        <w:rPr>
          <w:rFonts w:ascii="Times New Roman" w:hAnsi="Times New Roman"/>
          <w:noProof/>
        </w:rPr>
        <w:t xml:space="preserve">, que abordará las distorsiones causadas por las subvenciones extranjeras en el mercado único. A continuación, en 2021, se presentará una propuesta de instrumento jurídico.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Estas distorsiones a menudo van asociadas a un déficit de </w:t>
      </w:r>
      <w:r>
        <w:rPr>
          <w:rFonts w:ascii="Times New Roman" w:hAnsi="Times New Roman"/>
          <w:b/>
          <w:noProof/>
        </w:rPr>
        <w:t>acceso</w:t>
      </w:r>
      <w:r>
        <w:rPr>
          <w:rFonts w:ascii="Times New Roman" w:hAnsi="Times New Roman"/>
          <w:b/>
          <w:noProof/>
        </w:rPr>
        <w:t xml:space="preserve"> recíproco de las empresas europeas</w:t>
      </w:r>
      <w:r>
        <w:rPr>
          <w:rFonts w:ascii="Times New Roman" w:hAnsi="Times New Roman"/>
          <w:noProof/>
        </w:rPr>
        <w:t xml:space="preserve"> a los mercados de origen de empresas extranjeras de propiedad estatal. En concreto, los mercados de contratación pública de la Unión generalmente están abiertos a empresas procedentes de países en los que las empresas de</w:t>
      </w:r>
      <w:r>
        <w:rPr>
          <w:rFonts w:ascii="Times New Roman" w:hAnsi="Times New Roman"/>
          <w:noProof/>
        </w:rPr>
        <w:t xml:space="preserve"> la Unión sufren discriminación o se enfrentan directamente al cierre de los mercados. Por tanto, el Libro Blanco también abordará el problema del acceso de las empresas estatales extranjeras a los mercados de contratación pública y a la financiación de la</w:t>
      </w:r>
      <w:r>
        <w:rPr>
          <w:rFonts w:ascii="Times New Roman" w:hAnsi="Times New Roman"/>
          <w:noProof/>
        </w:rPr>
        <w:t xml:space="preserve"> Unión. Un acuerdo rápido sobre el </w:t>
      </w:r>
      <w:r>
        <w:rPr>
          <w:rFonts w:ascii="Times New Roman" w:hAnsi="Times New Roman"/>
          <w:b/>
          <w:noProof/>
        </w:rPr>
        <w:t>Instrumento de Contratación Pública Internacional</w:t>
      </w:r>
      <w:r>
        <w:rPr>
          <w:rFonts w:ascii="Times New Roman" w:hAnsi="Times New Roman"/>
          <w:noProof/>
        </w:rPr>
        <w:t xml:space="preserve"> propuesto también será esencial para abordar el déficit de reciprocidad y dar a la Unión más ventaja en las negociaciones.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industria europea no debería enfrentarse a l</w:t>
      </w:r>
      <w:r>
        <w:rPr>
          <w:rFonts w:ascii="Times New Roman" w:hAnsi="Times New Roman"/>
          <w:noProof/>
        </w:rPr>
        <w:t xml:space="preserve">a competencia desleal de competidores de todo el mundo que se rigen por normas o principios diferentes; por ejemplo, con respecto al clima. Un nuevo </w:t>
      </w:r>
      <w:r>
        <w:rPr>
          <w:rFonts w:ascii="Times New Roman" w:hAnsi="Times New Roman"/>
          <w:b/>
          <w:noProof/>
        </w:rPr>
        <w:t>alto responsable de la aplicación de la política comercial</w:t>
      </w:r>
      <w:r>
        <w:rPr>
          <w:rFonts w:ascii="Times New Roman" w:hAnsi="Times New Roman"/>
          <w:noProof/>
        </w:rPr>
        <w:t xml:space="preserve"> trabajará para mejorar el cumplimiento y la ejec</w:t>
      </w:r>
      <w:r>
        <w:rPr>
          <w:rFonts w:ascii="Times New Roman" w:hAnsi="Times New Roman"/>
          <w:noProof/>
        </w:rPr>
        <w:t xml:space="preserve">ución de nuestros acuerdos comerciales, e informará periódicamente al Parlamento Europeo. La Comisión propondrá que el cumplimiento del Acuerdo de París sea un elemento esencial en todos los acuerdos comerciales globales futuros.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Unos </w:t>
      </w:r>
      <w:r>
        <w:rPr>
          <w:rFonts w:ascii="Times New Roman" w:hAnsi="Times New Roman"/>
          <w:b/>
          <w:noProof/>
        </w:rPr>
        <w:t xml:space="preserve">controles aduaneros </w:t>
      </w:r>
      <w:r>
        <w:rPr>
          <w:rFonts w:ascii="Times New Roman" w:hAnsi="Times New Roman"/>
          <w:b/>
          <w:noProof/>
        </w:rPr>
        <w:t>más estrictos</w:t>
      </w:r>
      <w:r>
        <w:rPr>
          <w:rFonts w:ascii="Times New Roman" w:hAnsi="Times New Roman"/>
          <w:noProof/>
        </w:rPr>
        <w:t xml:space="preserve"> también son esenciales para garantizar que los productos importados cumplan las normas de la Unión. </w:t>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411"/>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Libro Blanco relativo a un instrumento sobre subvenciones extranjeras</w:t>
            </w:r>
            <w:r>
              <w:rPr>
                <w:rFonts w:ascii="Times New Roman" w:hAnsi="Times New Roman"/>
                <w:noProof/>
              </w:rPr>
              <w:t xml:space="preserve"> para mediados de 2020, en el que también se</w:t>
            </w:r>
            <w:r>
              <w:rPr>
                <w:rFonts w:ascii="Times New Roman" w:hAnsi="Times New Roman"/>
                <w:noProof/>
              </w:rPr>
              <w:t xml:space="preserve"> examinará el acceso extranjero a la contratación pública y a la financiación de la Unión.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Refuerzo de las normas mundiales sobre subvenciones a la industria</w:t>
            </w:r>
            <w:r>
              <w:rPr>
                <w:rFonts w:ascii="Times New Roman" w:hAnsi="Times New Roman"/>
                <w:noProof/>
              </w:rPr>
              <w:t xml:space="preserve"> en la OMC.</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Rápida adopción del </w:t>
            </w:r>
            <w:r>
              <w:rPr>
                <w:rFonts w:ascii="Times New Roman" w:hAnsi="Times New Roman"/>
                <w:b/>
                <w:noProof/>
              </w:rPr>
              <w:t>Instrumento de Contratación Pública Internacional</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s</w:t>
            </w:r>
            <w:r>
              <w:rPr>
                <w:rFonts w:ascii="Times New Roman" w:hAnsi="Times New Roman"/>
                <w:b/>
                <w:noProof/>
              </w:rPr>
              <w:t>obre la unión aduanera</w:t>
            </w:r>
            <w:r>
              <w:rPr>
                <w:rFonts w:ascii="Times New Roman" w:hAnsi="Times New Roman"/>
                <w:noProof/>
              </w:rPr>
              <w:t xml:space="preserve"> en 2020 para reforzar los controles aduaneros, incluida una propuesta legislativa relativa a una ventanilla única de la Unión que permita llevar a cabo procesos de despacho totalmente digitalizados en la frontera.</w:t>
            </w:r>
          </w:p>
        </w:tc>
      </w:tr>
    </w:tbl>
    <w:p w:rsidR="000A1FDE" w:rsidRDefault="00D36882">
      <w:pPr>
        <w:keepNext/>
        <w:spacing w:line="240" w:lineRule="auto"/>
        <w:jc w:val="both"/>
        <w:rPr>
          <w:rFonts w:ascii="Times New Roman" w:hAnsi="Times New Roman" w:cs="Times New Roman"/>
          <w:i/>
          <w:noProof/>
          <w:sz w:val="24"/>
          <w:szCs w:val="24"/>
        </w:rPr>
      </w:pPr>
      <w:r>
        <w:rPr>
          <w:rFonts w:ascii="Times New Roman" w:hAnsi="Times New Roman"/>
          <w:i/>
          <w:noProof/>
        </w:rPr>
        <w:br/>
        <w:t>3.3. Apoyo a la i</w:t>
      </w:r>
      <w:r>
        <w:rPr>
          <w:rFonts w:ascii="Times New Roman" w:hAnsi="Times New Roman"/>
          <w:i/>
          <w:noProof/>
        </w:rPr>
        <w:t>ndustria en su avance hacia la neutralidad climática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A medida que Europa avance hacia la neutralidad climática, determinados sectores tendrán que llevar a cabo un cambio mayor y más transformador que la mayoría. Las industrias que consumen mucha energía so</w:t>
      </w:r>
      <w:r>
        <w:rPr>
          <w:rFonts w:ascii="Times New Roman" w:hAnsi="Times New Roman"/>
          <w:noProof/>
        </w:rPr>
        <w:t>n indispensables para la economía de Europa; además, otros sectores dependen de ellas. Por tanto, la modernización y la descarbonización de las industrias que consumen mucha energía deben constituir una prioridad absoluta.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El Pacto Verde Europeo establece </w:t>
      </w:r>
      <w:r>
        <w:rPr>
          <w:rFonts w:ascii="Times New Roman" w:hAnsi="Times New Roman"/>
          <w:noProof/>
        </w:rPr>
        <w:t>el objetivo de crear nuevos mercados de productos climáticamente neutros y circulares, como el acero, el cemento y las sustancias químicas básicas. Para liderar este cambio, Europa necesita nuevos procesos industriales y tecnologías más limpias que permita</w:t>
      </w:r>
      <w:r>
        <w:rPr>
          <w:rFonts w:ascii="Times New Roman" w:hAnsi="Times New Roman"/>
          <w:noProof/>
        </w:rPr>
        <w:t xml:space="preserve">n reducir costes y mejorar el nivel de preparación del mercado.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Por ejemplo, la Comisión apoyará tecnologías de vanguardia en acero limpio que propicien el desarrollo de un </w:t>
      </w:r>
      <w:r>
        <w:rPr>
          <w:rFonts w:ascii="Times New Roman" w:hAnsi="Times New Roman"/>
          <w:b/>
          <w:noProof/>
        </w:rPr>
        <w:t>proceso de fabricación de acero sin emisiones de carbono</w:t>
      </w:r>
      <w:r>
        <w:rPr>
          <w:rFonts w:ascii="Times New Roman" w:hAnsi="Times New Roman"/>
          <w:noProof/>
        </w:rPr>
        <w:t>. El Fondo de Innovación d</w:t>
      </w:r>
      <w:r>
        <w:rPr>
          <w:rFonts w:ascii="Times New Roman" w:hAnsi="Times New Roman"/>
          <w:noProof/>
        </w:rPr>
        <w:t xml:space="preserve">el régimen de comercio de derechos de emisión de la Unión Europea ayudará a implantar otros proyectos innovadores a gran escala para impulsar los productos limpios en todos los sectores que consumen mucha energía.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Una nueva </w:t>
      </w:r>
      <w:r>
        <w:rPr>
          <w:rFonts w:ascii="Times New Roman" w:hAnsi="Times New Roman"/>
          <w:b/>
          <w:noProof/>
        </w:rPr>
        <w:t xml:space="preserve">estrategia sobre sustancias </w:t>
      </w:r>
      <w:r>
        <w:rPr>
          <w:rFonts w:ascii="Times New Roman" w:hAnsi="Times New Roman"/>
          <w:b/>
          <w:noProof/>
        </w:rPr>
        <w:t>químicas para la sostenibilidad</w:t>
      </w:r>
      <w:r>
        <w:rPr>
          <w:rFonts w:ascii="Times New Roman" w:hAnsi="Times New Roman"/>
          <w:noProof/>
        </w:rPr>
        <w:t xml:space="preserve"> ayudará a proteger mejor a las personas y el medio ambiente frente a las sustancias químicas peligrosas y fomentará la innovación en el sector para desarrollar alternativas seguras y sostenibles.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Europa también necesita abo</w:t>
      </w:r>
      <w:r>
        <w:rPr>
          <w:rFonts w:ascii="Times New Roman" w:hAnsi="Times New Roman"/>
          <w:noProof/>
        </w:rPr>
        <w:t xml:space="preserve">rdar la sostenibilidad de los productos de construcción y mejorar la eficiencia energética y el comportamiento medioambiental de los activos construidos. Un </w:t>
      </w:r>
      <w:r>
        <w:rPr>
          <w:rFonts w:ascii="Times New Roman" w:hAnsi="Times New Roman"/>
          <w:b/>
          <w:noProof/>
        </w:rPr>
        <w:t>entorno construido más sostenible</w:t>
      </w:r>
      <w:r>
        <w:rPr>
          <w:rFonts w:ascii="Times New Roman" w:hAnsi="Times New Roman"/>
          <w:noProof/>
        </w:rPr>
        <w:t xml:space="preserve"> será esencial para la transición de Europa hacia la neutralidad c</w:t>
      </w:r>
      <w:r>
        <w:rPr>
          <w:rFonts w:ascii="Times New Roman" w:hAnsi="Times New Roman"/>
          <w:noProof/>
        </w:rPr>
        <w:t xml:space="preserve">limática.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A medida que la transición va cobrando velocidad, Europa debe velar por que nadie se quede rezagado. La propuesta del nuevo </w:t>
      </w:r>
      <w:r>
        <w:rPr>
          <w:rFonts w:ascii="Times New Roman" w:hAnsi="Times New Roman"/>
          <w:b/>
          <w:noProof/>
        </w:rPr>
        <w:t>Mecanismo para una Transición Justa</w:t>
      </w:r>
      <w:r>
        <w:rPr>
          <w:rStyle w:val="FootnoteReference"/>
          <w:rFonts w:ascii="Times New Roman" w:hAnsi="Times New Roman" w:cs="Times New Roman"/>
          <w:b/>
          <w:noProof/>
        </w:rPr>
        <w:footnoteReference w:id="8"/>
      </w:r>
      <w:r>
        <w:rPr>
          <w:rFonts w:ascii="Times New Roman" w:hAnsi="Times New Roman"/>
          <w:noProof/>
        </w:rPr>
        <w:t xml:space="preserve"> movilizará 100 000 millones EUR, con el fin de garantizar una transición justa para </w:t>
      </w:r>
      <w:r>
        <w:rPr>
          <w:rFonts w:ascii="Times New Roman" w:hAnsi="Times New Roman"/>
          <w:noProof/>
        </w:rPr>
        <w:t>las regiones hipercarbónicas, mientras estas siguen transformando sus industrias y economías.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reducción de las emisiones en la industria dependerá del principio «</w:t>
      </w:r>
      <w:r>
        <w:rPr>
          <w:rFonts w:ascii="Times New Roman" w:hAnsi="Times New Roman"/>
          <w:b/>
          <w:noProof/>
        </w:rPr>
        <w:t>primero, la eficiencia energética</w:t>
      </w:r>
      <w:r>
        <w:rPr>
          <w:rFonts w:ascii="Times New Roman" w:hAnsi="Times New Roman"/>
          <w:noProof/>
        </w:rPr>
        <w:t xml:space="preserve">» y de un suministro seguro y suficiente de energía hipocarbónica a precios competitivos. A este respecto, será necesario planificar e invertir en tecnologías, capacidad e infraestructuras de generación hipocarbónica. Necesitaremos </w:t>
      </w:r>
      <w:r>
        <w:rPr>
          <w:rFonts w:ascii="Times New Roman" w:hAnsi="Times New Roman"/>
          <w:b/>
          <w:noProof/>
        </w:rPr>
        <w:t>un enfoque más estratégi</w:t>
      </w:r>
      <w:r>
        <w:rPr>
          <w:rFonts w:ascii="Times New Roman" w:hAnsi="Times New Roman"/>
          <w:b/>
          <w:noProof/>
        </w:rPr>
        <w:t>co para las industrias de energías renovables</w:t>
      </w:r>
      <w:r>
        <w:rPr>
          <w:rFonts w:ascii="Times New Roman" w:hAnsi="Times New Roman"/>
          <w:noProof/>
        </w:rPr>
        <w:t>, como la energía eólica marina, y para la cadena de suministro en la que se apoyan, lo que también ayudará a hacer frente al incremento sustancial en la cantidad de electricidad que exige la doble transición. S</w:t>
      </w:r>
      <w:r>
        <w:rPr>
          <w:rFonts w:ascii="Times New Roman" w:hAnsi="Times New Roman"/>
          <w:noProof/>
        </w:rPr>
        <w:t>erán necesarios esfuerzos para conectar mejor los sistemas eléctricos de Europa, a fin de aumentar la seguridad del suministro eléctrico e integrar más energías renovables.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En este contexto, todos los vectores energéticos, incluidos la electricidad, el gas</w:t>
      </w:r>
      <w:r>
        <w:rPr>
          <w:rFonts w:ascii="Times New Roman" w:hAnsi="Times New Roman"/>
          <w:noProof/>
        </w:rPr>
        <w:t xml:space="preserve"> y los combustibles líquidos, deberán utilizarse de manera más eficaz conectando los diferentes sectores. Esta será la finalidad de una nueva estrategia para una </w:t>
      </w:r>
      <w:r>
        <w:rPr>
          <w:rFonts w:ascii="Times New Roman" w:hAnsi="Times New Roman"/>
          <w:b/>
          <w:noProof/>
        </w:rPr>
        <w:t>integración sectorial inteligente</w:t>
      </w:r>
      <w:r>
        <w:rPr>
          <w:rFonts w:ascii="Times New Roman" w:hAnsi="Times New Roman"/>
          <w:noProof/>
        </w:rPr>
        <w:t>, en la que también se expondrá la opinión de la Comisión sob</w:t>
      </w:r>
      <w:r>
        <w:rPr>
          <w:rFonts w:ascii="Times New Roman" w:hAnsi="Times New Roman"/>
          <w:noProof/>
        </w:rPr>
        <w:t xml:space="preserve">re el </w:t>
      </w:r>
      <w:r>
        <w:rPr>
          <w:rFonts w:ascii="Times New Roman" w:hAnsi="Times New Roman"/>
          <w:b/>
          <w:noProof/>
        </w:rPr>
        <w:t>hidrógeno limpio</w:t>
      </w:r>
      <w:r>
        <w:rPr>
          <w:rFonts w:ascii="Times New Roman" w:hAnsi="Times New Roman"/>
          <w:noProof/>
        </w:rPr>
        <w:t>. La utilización de redes transeuropeas de energía también contribuirá a la transición hacia una neutralidad climática.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Asimismo, debería prestarse especial atención a las industrias de la movilidad sostenible e inteligente. Estas tie</w:t>
      </w:r>
      <w:r>
        <w:rPr>
          <w:rFonts w:ascii="Times New Roman" w:hAnsi="Times New Roman"/>
          <w:noProof/>
        </w:rPr>
        <w:t>nen la responsabilidad y el potencial para impulsar la doble transición, contribuir a la competitividad industrial de Europa y mejorar la conectividad, en particular las industrias automovilística, aeroespacial, ferroviaria y de construcción naval, así com</w:t>
      </w:r>
      <w:r>
        <w:rPr>
          <w:rFonts w:ascii="Times New Roman" w:hAnsi="Times New Roman"/>
          <w:noProof/>
        </w:rPr>
        <w:t xml:space="preserve">o los combustibles alternativos y la movilidad inteligente y conectada.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Mantenerse en la vanguardia de la investigación y la innovación, el rápido despliegue de la infraestructura necesaria y unos incentivos sólidos, también en materia de contratación púb</w:t>
      </w:r>
      <w:r>
        <w:rPr>
          <w:rFonts w:ascii="Times New Roman" w:hAnsi="Times New Roman"/>
          <w:noProof/>
        </w:rPr>
        <w:t>lica, serán elementos fundamentales para garantizar que las industrias de la movilidad de la Unión conserven su liderazgo tecnológico mundial. Toda la cadena de valor del sector debe contribuir a configurar nuevas normas internacionales relativas a una mov</w:t>
      </w:r>
      <w:r>
        <w:rPr>
          <w:rFonts w:ascii="Times New Roman" w:hAnsi="Times New Roman"/>
          <w:noProof/>
        </w:rPr>
        <w:t xml:space="preserve">ilidad segura, sostenible, accesible, sólida y resiliente. La </w:t>
      </w:r>
      <w:r>
        <w:rPr>
          <w:rFonts w:ascii="Times New Roman" w:hAnsi="Times New Roman"/>
          <w:b/>
          <w:noProof/>
        </w:rPr>
        <w:t>Estrategia global sobre movilidad sostenible e inteligente</w:t>
      </w:r>
      <w:r>
        <w:rPr>
          <w:rFonts w:ascii="Times New Roman" w:hAnsi="Times New Roman"/>
          <w:noProof/>
        </w:rPr>
        <w:t xml:space="preserve"> propondrá medidas exhaustivas para ayudar a aprovechar al máximo el potencial del sector.</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En caso de que persistan las diferencias en e</w:t>
      </w:r>
      <w:r>
        <w:rPr>
          <w:rFonts w:ascii="Times New Roman" w:hAnsi="Times New Roman"/>
          <w:noProof/>
        </w:rPr>
        <w:t xml:space="preserve">l grado de ambición de los distintos países, la Comisión propondrá, en 2021, un </w:t>
      </w:r>
      <w:r>
        <w:rPr>
          <w:rFonts w:ascii="Times New Roman" w:hAnsi="Times New Roman"/>
          <w:b/>
          <w:noProof/>
        </w:rPr>
        <w:t>mecanismo de ajuste en frontera de las emisiones de carbono</w:t>
      </w:r>
      <w:r>
        <w:rPr>
          <w:rFonts w:ascii="Times New Roman" w:hAnsi="Times New Roman"/>
          <w:noProof/>
        </w:rPr>
        <w:t xml:space="preserve"> para reducir el riesgo de fugas de carbono, que sea plenamente compatible con las normas de la OMC. A este respecto,</w:t>
      </w:r>
      <w:r>
        <w:rPr>
          <w:rFonts w:ascii="Times New Roman" w:hAnsi="Times New Roman"/>
          <w:noProof/>
        </w:rPr>
        <w:t xml:space="preserve"> debemos reforzar nuestras herramientas actuales para combatir las fugas de carbono. </w:t>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552"/>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Estrategia para una integración sectorial inteligente</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Un </w:t>
            </w:r>
            <w:r>
              <w:rPr>
                <w:rFonts w:ascii="Times New Roman" w:hAnsi="Times New Roman"/>
                <w:b/>
                <w:noProof/>
              </w:rPr>
              <w:t>espacio de datos relativos a la energía común europea</w:t>
            </w:r>
            <w:r>
              <w:rPr>
                <w:rFonts w:ascii="Times New Roman" w:hAnsi="Times New Roman"/>
                <w:noProof/>
              </w:rPr>
              <w:t xml:space="preserve"> aprovechará el potencial de lo</w:t>
            </w:r>
            <w:r>
              <w:rPr>
                <w:rFonts w:ascii="Times New Roman" w:hAnsi="Times New Roman"/>
                <w:noProof/>
              </w:rPr>
              <w:t>s datos para mejorar la capacidad innovadora del sector energético.</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Puesta en marcha de la </w:t>
            </w:r>
            <w:r>
              <w:rPr>
                <w:rFonts w:ascii="Times New Roman" w:hAnsi="Times New Roman"/>
                <w:b/>
                <w:noProof/>
              </w:rPr>
              <w:t>Plataforma para una Transición Justa</w:t>
            </w:r>
            <w:r>
              <w:rPr>
                <w:rFonts w:ascii="Times New Roman" w:hAnsi="Times New Roman"/>
                <w:noProof/>
              </w:rPr>
              <w:t xml:space="preserve"> con el fin de ofrecer apoyo técnico y asesoramiento a las regiones e industrias hipercarbónicas. </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Estrategia de la UE sobre el a</w:t>
            </w:r>
            <w:r>
              <w:rPr>
                <w:rFonts w:ascii="Times New Roman" w:hAnsi="Times New Roman"/>
                <w:b/>
                <w:noProof/>
              </w:rPr>
              <w:t>cero limpio</w:t>
            </w:r>
            <w:r>
              <w:rPr>
                <w:rFonts w:ascii="Times New Roman" w:hAnsi="Times New Roman"/>
                <w:noProof/>
              </w:rPr>
              <w:t xml:space="preserve"> y </w:t>
            </w:r>
            <w:r>
              <w:rPr>
                <w:rFonts w:ascii="Times New Roman" w:hAnsi="Times New Roman"/>
                <w:b/>
                <w:noProof/>
              </w:rPr>
              <w:t>Estrategia sobre sustancias químicas para la sostenibilidad</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Revisión del </w:t>
            </w:r>
            <w:r>
              <w:rPr>
                <w:rFonts w:ascii="Times New Roman" w:hAnsi="Times New Roman"/>
                <w:b/>
                <w:noProof/>
              </w:rPr>
              <w:t>Reglamento sobre las redes transeuropeas de energía</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Estrategia de la UE sobre </w:t>
            </w:r>
            <w:r>
              <w:rPr>
                <w:rFonts w:ascii="Times New Roman" w:hAnsi="Times New Roman"/>
                <w:b/>
                <w:noProof/>
              </w:rPr>
              <w:t>energía eólica marina renovable</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Estrategia global sobre </w:t>
            </w:r>
            <w:r>
              <w:rPr>
                <w:rFonts w:ascii="Times New Roman" w:hAnsi="Times New Roman"/>
                <w:b/>
                <w:noProof/>
              </w:rPr>
              <w:t>movilidad sostenible e inteligen</w:t>
            </w:r>
            <w:r>
              <w:rPr>
                <w:rFonts w:ascii="Times New Roman" w:hAnsi="Times New Roman"/>
                <w:b/>
                <w:noProof/>
              </w:rPr>
              <w:t>te</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b/>
                <w:noProof/>
                <w:sz w:val="24"/>
                <w:szCs w:val="24"/>
              </w:rPr>
            </w:pPr>
            <w:r>
              <w:rPr>
                <w:rFonts w:ascii="Times New Roman" w:hAnsi="Times New Roman"/>
                <w:noProof/>
              </w:rPr>
              <w:t xml:space="preserve">Iniciativa «Oleada de renovación» y </w:t>
            </w:r>
            <w:r>
              <w:rPr>
                <w:rFonts w:ascii="Times New Roman" w:hAnsi="Times New Roman"/>
                <w:b/>
                <w:noProof/>
              </w:rPr>
              <w:t>Estrategia sobre el entorno construido</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Mecanismo de ajuste en frontera de las emisiones de carbono</w:t>
            </w:r>
            <w:r>
              <w:rPr>
                <w:rFonts w:ascii="Times New Roman" w:hAnsi="Times New Roman"/>
                <w:noProof/>
              </w:rPr>
              <w:t xml:space="preserve"> para reducir las fugas de carbono, que sea plenamente compatible con las normas de la OMC. </w:t>
            </w:r>
          </w:p>
          <w:p w:rsidR="000A1FDE" w:rsidRDefault="000A1FDE">
            <w:pPr>
              <w:pStyle w:val="ListParagraph"/>
              <w:spacing w:line="240" w:lineRule="auto"/>
              <w:jc w:val="both"/>
              <w:rPr>
                <w:rFonts w:ascii="Times New Roman" w:hAnsi="Times New Roman" w:cs="Times New Roman"/>
                <w:b/>
                <w:noProof/>
                <w:sz w:val="24"/>
                <w:szCs w:val="24"/>
              </w:rPr>
            </w:pPr>
          </w:p>
        </w:tc>
      </w:tr>
    </w:tbl>
    <w:p w:rsidR="000A1FDE" w:rsidRDefault="000A1FDE">
      <w:pPr>
        <w:keepNext/>
        <w:spacing w:line="240" w:lineRule="auto"/>
        <w:jc w:val="both"/>
        <w:rPr>
          <w:rFonts w:ascii="Times New Roman" w:hAnsi="Times New Roman"/>
          <w:i/>
          <w:noProof/>
        </w:rPr>
      </w:pPr>
    </w:p>
    <w:p w:rsidR="000A1FDE" w:rsidRDefault="00D36882">
      <w:pPr>
        <w:keepNext/>
        <w:spacing w:line="240" w:lineRule="auto"/>
        <w:jc w:val="both"/>
        <w:rPr>
          <w:rFonts w:ascii="Times New Roman" w:hAnsi="Times New Roman" w:cs="Times New Roman"/>
          <w:i/>
          <w:noProof/>
          <w:sz w:val="24"/>
          <w:szCs w:val="24"/>
        </w:rPr>
      </w:pPr>
      <w:r>
        <w:rPr>
          <w:rFonts w:ascii="Times New Roman" w:hAnsi="Times New Roman"/>
          <w:i/>
          <w:noProof/>
        </w:rPr>
        <w:t xml:space="preserve">3.4. Creación de una </w:t>
      </w:r>
      <w:r>
        <w:rPr>
          <w:rFonts w:ascii="Times New Roman" w:hAnsi="Times New Roman"/>
          <w:i/>
          <w:noProof/>
        </w:rPr>
        <w:t>economía más circular</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En consonancia con la nueva estrategia de crecimiento de Europa, que devuelve más de lo que extrae, la industria europea debe desempeñar un papel de liderazgo en la transición ecológica. Esto significa reducir su huella material y de </w:t>
      </w:r>
      <w:r>
        <w:rPr>
          <w:rFonts w:ascii="Times New Roman" w:hAnsi="Times New Roman"/>
          <w:noProof/>
        </w:rPr>
        <w:t xml:space="preserve">carbono e integrar la circularidad en toda la economía.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Para ello, debemos apartarnos del antiguo modelo de extraer de la tierra para fabricar productos, que luego utilizamos y tiramos. Tenemos que </w:t>
      </w:r>
      <w:r>
        <w:rPr>
          <w:rFonts w:ascii="Times New Roman" w:hAnsi="Times New Roman"/>
          <w:b/>
          <w:noProof/>
        </w:rPr>
        <w:t>revolucionar la manera en que diseñamos, fabricamos, util</w:t>
      </w:r>
      <w:r>
        <w:rPr>
          <w:rFonts w:ascii="Times New Roman" w:hAnsi="Times New Roman"/>
          <w:b/>
          <w:noProof/>
        </w:rPr>
        <w:t>izamos y nos deshacemos de las cosas</w:t>
      </w:r>
      <w:r>
        <w:rPr>
          <w:rFonts w:ascii="Times New Roman" w:hAnsi="Times New Roman"/>
          <w:noProof/>
        </w:rPr>
        <w:t xml:space="preserve"> incentivando a nuestra industria.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Este enfoque más circular garantizará una industria más limpia y competitiva, mediante la reducción del impacto medioambiental, la reducción de la competencia por unos recursos escasos</w:t>
      </w:r>
      <w:r>
        <w:rPr>
          <w:rFonts w:ascii="Times New Roman" w:hAnsi="Times New Roman"/>
          <w:noProof/>
        </w:rPr>
        <w:t xml:space="preserve"> y el recorte de los costes de producción. </w:t>
      </w:r>
      <w:r>
        <w:rPr>
          <w:rFonts w:ascii="Times New Roman" w:hAnsi="Times New Roman"/>
          <w:b/>
          <w:noProof/>
        </w:rPr>
        <w:t>El interés empresarial es tan fuerte como el imperativo medioambiental y moral</w:t>
      </w:r>
      <w:r>
        <w:rPr>
          <w:rFonts w:ascii="Times New Roman" w:hAnsi="Times New Roman"/>
          <w:noProof/>
        </w:rPr>
        <w:t>. La aplicación de los principios de la economía circular en todos los sectores e industrias tiene potencial para crear setecientos mil</w:t>
      </w:r>
      <w:r>
        <w:rPr>
          <w:rFonts w:ascii="Times New Roman" w:hAnsi="Times New Roman"/>
          <w:noProof/>
        </w:rPr>
        <w:t xml:space="preserve"> nuevos puestos de trabajo en toda la Unión de aquí a 2030, muchos de ellos en pymes.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Unión ya ocupa una buena posición en este ámbito, y ahora debería centrarse en consolidar su ventaja de ser pionera. El </w:t>
      </w:r>
      <w:r>
        <w:rPr>
          <w:rFonts w:ascii="Times New Roman" w:hAnsi="Times New Roman"/>
          <w:b/>
          <w:noProof/>
        </w:rPr>
        <w:t>nuevo Plan de acción para la economía circular</w:t>
      </w:r>
      <w:r>
        <w:rPr>
          <w:rStyle w:val="FootnoteReference"/>
          <w:rFonts w:ascii="Times New Roman" w:hAnsi="Times New Roman" w:cs="Times New Roman"/>
          <w:b/>
          <w:noProof/>
        </w:rPr>
        <w:footnoteReference w:id="9"/>
      </w:r>
      <w:r>
        <w:rPr>
          <w:rFonts w:ascii="Times New Roman" w:hAnsi="Times New Roman"/>
          <w:noProof/>
        </w:rPr>
        <w:t xml:space="preserve"> presenta una serie de medidas para que la industria de la Unión pueda aprovechar estas oportunidades.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Su objeto principal es un nuevo </w:t>
      </w:r>
      <w:r>
        <w:rPr>
          <w:rFonts w:ascii="Times New Roman" w:hAnsi="Times New Roman"/>
          <w:b/>
          <w:noProof/>
        </w:rPr>
        <w:t>marco estratégico para productos sostenibles</w:t>
      </w:r>
      <w:r>
        <w:rPr>
          <w:rFonts w:ascii="Times New Roman" w:hAnsi="Times New Roman"/>
          <w:noProof/>
        </w:rPr>
        <w:t xml:space="preserve"> que establecerá principios de sostenibilidad para todos los productos, ayud</w:t>
      </w:r>
      <w:r>
        <w:rPr>
          <w:rFonts w:ascii="Times New Roman" w:hAnsi="Times New Roman"/>
          <w:noProof/>
        </w:rPr>
        <w:t xml:space="preserve">ando a aumentar la competitividad de la industria europea. Se dará prioridad a los grupos de productos de gran impacto, y la acción incluirá una iniciativa sobre el cargador común, una iniciativa sobre la electrónica circular, requisitos de sostenibilidad </w:t>
      </w:r>
      <w:r>
        <w:rPr>
          <w:rFonts w:ascii="Times New Roman" w:hAnsi="Times New Roman"/>
          <w:noProof/>
        </w:rPr>
        <w:t xml:space="preserve">para las baterías y nuevas medidas en el sector textil.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El plan de acción también incluye medidas destinadas a </w:t>
      </w:r>
      <w:r>
        <w:rPr>
          <w:rFonts w:ascii="Times New Roman" w:hAnsi="Times New Roman"/>
          <w:b/>
          <w:noProof/>
        </w:rPr>
        <w:t>capacitar a los consumidores para que desempeñen un papel más activo en la economía circular</w:t>
      </w:r>
      <w:r>
        <w:rPr>
          <w:rFonts w:ascii="Times New Roman" w:hAnsi="Times New Roman"/>
          <w:noProof/>
        </w:rPr>
        <w:t xml:space="preserve">. Los consumidores deben recibir información fiable </w:t>
      </w:r>
      <w:r>
        <w:rPr>
          <w:rFonts w:ascii="Times New Roman" w:hAnsi="Times New Roman"/>
          <w:noProof/>
        </w:rPr>
        <w:t xml:space="preserve">y pertinente para elegir productos reutilizables, duraderos y reparables. La Comisión propondrá maneras de mejorar los derechos y la protección de los consumidores, en particular trabajando en favor de un «derecho a reparación» para ellos.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Las autoridades</w:t>
      </w:r>
      <w:r>
        <w:rPr>
          <w:rFonts w:ascii="Times New Roman" w:hAnsi="Times New Roman"/>
          <w:noProof/>
        </w:rPr>
        <w:t xml:space="preserve"> públicas, incluidas las instituciones de la Unión, deben dar ejemplo eligiendo bienes, servicios y obras que sean respetuosos con el medio ambiente. A través de esta </w:t>
      </w:r>
      <w:r>
        <w:rPr>
          <w:rFonts w:ascii="Times New Roman" w:hAnsi="Times New Roman"/>
          <w:b/>
          <w:noProof/>
        </w:rPr>
        <w:t>contratación pública ecológica</w:t>
      </w:r>
      <w:r>
        <w:rPr>
          <w:rFonts w:ascii="Times New Roman" w:hAnsi="Times New Roman"/>
          <w:noProof/>
        </w:rPr>
        <w:t xml:space="preserve">, pueden contribuir a dirigir el cambio hacia un consumo y </w:t>
      </w:r>
      <w:r>
        <w:rPr>
          <w:rFonts w:ascii="Times New Roman" w:hAnsi="Times New Roman"/>
          <w:noProof/>
        </w:rPr>
        <w:t>una producción sostenibles. La Comisión propondrá legislación y orientaciones adicionales sobre la contratación pública ecológica.</w:t>
      </w:r>
    </w:p>
    <w:tbl>
      <w:tblPr>
        <w:tblStyle w:val="TableGrid"/>
        <w:tblW w:w="9395" w:type="dxa"/>
        <w:shd w:val="clear" w:color="auto" w:fill="BDD6EE" w:themeFill="accent1" w:themeFillTint="66"/>
        <w:tblLook w:val="04A0" w:firstRow="1" w:lastRow="0" w:firstColumn="1" w:lastColumn="0" w:noHBand="0" w:noVBand="1"/>
      </w:tblPr>
      <w:tblGrid>
        <w:gridCol w:w="9395"/>
      </w:tblGrid>
      <w:tr w:rsidR="000A1FDE">
        <w:trPr>
          <w:cantSplit/>
          <w:trHeight w:val="1799"/>
        </w:trPr>
        <w:tc>
          <w:tcPr>
            <w:tcW w:w="93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14:textOutline w14:w="9525" w14:cap="rnd" w14:cmpd="sng" w14:algn="ctr">
                  <w14:noFill/>
                  <w14:prstDash w14:val="solid"/>
                  <w14:bevel/>
                </w14:textOutline>
              </w:rPr>
              <w:t>Plan de acción para la economía circular</w:t>
            </w:r>
            <w:r>
              <w:rPr>
                <w:rFonts w:ascii="Times New Roman" w:hAnsi="Times New Roman"/>
                <w:noProof/>
                <w14:textOutline w14:w="9525" w14:cap="rnd" w14:cmpd="sng" w14:algn="ctr">
                  <w14:noFill/>
                  <w14:prstDash w14:val="solid"/>
                  <w14:bevel/>
                </w14:textOutline>
              </w:rPr>
              <w:t xml:space="preserve"> adoptado en paralelo con esta estrategia, incluido un nuevo marco estratégico de productos sostenibles.</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Nuevo marco regulador para las baterías sostenibles</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b/>
                <w:noProof/>
                <w:sz w:val="24"/>
                <w:szCs w:val="24"/>
              </w:rPr>
            </w:pPr>
            <w:r>
              <w:rPr>
                <w:rFonts w:ascii="Times New Roman" w:hAnsi="Times New Roman"/>
                <w:b/>
                <w:noProof/>
              </w:rPr>
              <w:t>Estrategia de la UE para el secto</w:t>
            </w:r>
            <w:r>
              <w:rPr>
                <w:rFonts w:ascii="Times New Roman" w:hAnsi="Times New Roman"/>
                <w:b/>
                <w:noProof/>
              </w:rPr>
              <w:t>r textil</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b/>
                <w:noProof/>
                <w:sz w:val="24"/>
                <w:szCs w:val="24"/>
              </w:rPr>
            </w:pPr>
            <w:r>
              <w:rPr>
                <w:rFonts w:ascii="Times New Roman" w:hAnsi="Times New Roman"/>
                <w:b/>
                <w:noProof/>
              </w:rPr>
              <w:t>Iniciativa sobre la electrónica circular.</w:t>
            </w:r>
          </w:p>
          <w:p w:rsidR="000A1FDE" w:rsidRDefault="00D36882">
            <w:pPr>
              <w:pStyle w:val="ListParagraph"/>
              <w:numPr>
                <w:ilvl w:val="0"/>
                <w:numId w:val="18"/>
              </w:numPr>
              <w:spacing w:line="240" w:lineRule="auto"/>
              <w:jc w:val="both"/>
              <w:rPr>
                <w:rFonts w:ascii="Times New Roman" w:hAnsi="Times New Roman" w:cs="Times New Roman"/>
                <w:b/>
                <w:noProof/>
                <w:sz w:val="24"/>
                <w:szCs w:val="24"/>
              </w:rPr>
            </w:pPr>
            <w:r>
              <w:rPr>
                <w:rFonts w:ascii="Times New Roman" w:hAnsi="Times New Roman"/>
                <w:b/>
                <w:noProof/>
                <w14:textOutline w14:w="9525" w14:cap="rnd" w14:cmpd="sng" w14:algn="ctr">
                  <w14:noFill/>
                  <w14:prstDash w14:val="solid"/>
                  <w14:bevel/>
                </w14:textOutline>
              </w:rPr>
              <w:t>Capacitación de los consumidores</w:t>
            </w:r>
            <w:r>
              <w:rPr>
                <w:rFonts w:ascii="Times New Roman" w:hAnsi="Times New Roman"/>
                <w:noProof/>
                <w14:textOutline w14:w="9525" w14:cap="rnd" w14:cmpd="sng" w14:algn="ctr">
                  <w14:noFill/>
                  <w14:prstDash w14:val="solid"/>
                  <w14:bevel/>
                </w14:textOutline>
              </w:rPr>
              <w:t xml:space="preserve"> para que desempeñen un papel activo en la economía circular, mejorando tanto la información sobre los product</w:t>
            </w:r>
            <w:r>
              <w:rPr>
                <w:rFonts w:ascii="Times New Roman" w:hAnsi="Times New Roman"/>
                <w:noProof/>
                <w14:textOutline w14:w="9525" w14:cap="rnd" w14:cmpd="sng" w14:algn="ctr">
                  <w14:noFill/>
                  <w14:prstDash w14:val="solid"/>
                  <w14:bevel/>
                </w14:textOutline>
              </w:rPr>
              <w:t>os como sus propios derechos.</w:t>
            </w:r>
          </w:p>
        </w:tc>
      </w:tr>
    </w:tbl>
    <w:p w:rsidR="000A1FDE" w:rsidRDefault="00D36882">
      <w:pPr>
        <w:spacing w:line="240" w:lineRule="auto"/>
        <w:jc w:val="both"/>
        <w:rPr>
          <w:rFonts w:ascii="Times New Roman" w:hAnsi="Times New Roman" w:cs="Times New Roman"/>
          <w:i/>
          <w:noProof/>
          <w:sz w:val="24"/>
          <w:szCs w:val="24"/>
        </w:rPr>
      </w:pPr>
      <w:r>
        <w:rPr>
          <w:rFonts w:ascii="Times New Roman" w:hAnsi="Times New Roman"/>
          <w:i/>
          <w:noProof/>
        </w:rPr>
        <w:br/>
        <w:t>3.5. Integración de un espíritu de innovación industrial</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A lo largo de los últimos cinco años, las empresas europeas han visto cómo su cuota mundial de gasto en </w:t>
      </w:r>
      <w:r>
        <w:rPr>
          <w:rFonts w:ascii="Times New Roman" w:hAnsi="Times New Roman"/>
          <w:noProof/>
        </w:rPr>
        <w:t>investigación y desarrollo iba disminuyendo, mientras aumentaba la de sus homólogos estadounidenses y chinos. La clave para invertir esta tendencia será desbloquear la inversión en innovación, entendiendo hacia dónde queremos dirigir la atención y establec</w:t>
      </w:r>
      <w:r>
        <w:rPr>
          <w:rFonts w:ascii="Times New Roman" w:hAnsi="Times New Roman"/>
          <w:noProof/>
        </w:rPr>
        <w:t>iendo una trayectoria clara hacia el mercado que permita su expansión. En este contexto, conviene incentivar y apoyar a las pymes para que innoven y aporten ideas al mercado.</w:t>
      </w:r>
    </w:p>
    <w:p w:rsidR="000A1FDE" w:rsidRDefault="00D36882">
      <w:pPr>
        <w:spacing w:line="240" w:lineRule="auto"/>
        <w:jc w:val="both"/>
        <w:rPr>
          <w:rFonts w:ascii="Times New Roman" w:hAnsi="Times New Roman" w:cs="Times New Roman"/>
          <w:b/>
          <w:noProof/>
          <w:sz w:val="24"/>
          <w:szCs w:val="24"/>
        </w:rPr>
      </w:pPr>
      <w:r>
        <w:rPr>
          <w:rFonts w:ascii="Times New Roman" w:hAnsi="Times New Roman"/>
          <w:noProof/>
        </w:rPr>
        <w:t>La carrera mundial hacia la doble transición se basará cada vez más en la ciencia</w:t>
      </w:r>
      <w:r>
        <w:rPr>
          <w:rFonts w:ascii="Times New Roman" w:hAnsi="Times New Roman"/>
          <w:noProof/>
        </w:rPr>
        <w:t xml:space="preserve"> en las fronteras del conocimiento y en el dominio de tecnologías profundas. En la próxima era industrial, confluirán los mundos físico, digital y biológico. Si Europa quiere liderar la doble transición, la estrategia industrial tendrá que ser fundamentalm</w:t>
      </w:r>
      <w:r>
        <w:rPr>
          <w:rFonts w:ascii="Times New Roman" w:hAnsi="Times New Roman"/>
          <w:noProof/>
        </w:rPr>
        <w:t xml:space="preserve">ente una </w:t>
      </w:r>
      <w:r>
        <w:rPr>
          <w:rFonts w:ascii="Times New Roman" w:hAnsi="Times New Roman"/>
          <w:b/>
          <w:noProof/>
        </w:rPr>
        <w:t>estrategia de innovación industrial</w:t>
      </w:r>
      <w:r>
        <w:rPr>
          <w:rFonts w:ascii="Times New Roman" w:hAnsi="Times New Roman"/>
          <w:noProof/>
        </w:rPr>
        <w:t>.</w:t>
      </w:r>
      <w:r>
        <w:rPr>
          <w:rFonts w:ascii="Times New Roman" w:hAnsi="Times New Roman"/>
          <w:b/>
          <w:noProof/>
        </w:rPr>
        <w:t xml:space="preserv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Ello también significa que, a medida que aumentemos la inversión en investigación e innovación disruptiva y radical, debemos aceptar los fracasos a lo largo del camino, lo que nos ayudará a aprender, adaptar y</w:t>
      </w:r>
      <w:r>
        <w:rPr>
          <w:rFonts w:ascii="Times New Roman" w:hAnsi="Times New Roman"/>
          <w:noProof/>
        </w:rPr>
        <w:t xml:space="preserve">, si es necesario, reiniciar nuestra manera de hacer las cosas para, de ese modo, permitirnos avanzar. Debemos pasar de la mentalidad de aversión al error a la tolerancia al fallo; y esto debe reflejarse en todas partes. Además, </w:t>
      </w:r>
      <w:r>
        <w:rPr>
          <w:rFonts w:ascii="Times New Roman" w:hAnsi="Times New Roman"/>
          <w:b/>
          <w:noProof/>
        </w:rPr>
        <w:t>debemos integrar la innovac</w:t>
      </w:r>
      <w:r>
        <w:rPr>
          <w:rFonts w:ascii="Times New Roman" w:hAnsi="Times New Roman"/>
          <w:b/>
          <w:noProof/>
        </w:rPr>
        <w:t>ión en nuestra formulación de políticas</w:t>
      </w:r>
      <w:r>
        <w:rPr>
          <w:rFonts w:ascii="Times New Roman" w:hAnsi="Times New Roman"/>
          <w:noProof/>
        </w:rPr>
        <w:t>. En el marco de nuestro trabajo sobre la mejora de la legislación y la previsión estratégica, garantizaremos que las políticas sean favorables a la innovación.</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Debemos invitar e incentivar a los sectores industriales</w:t>
      </w:r>
      <w:r>
        <w:rPr>
          <w:rFonts w:ascii="Times New Roman" w:hAnsi="Times New Roman"/>
          <w:noProof/>
        </w:rPr>
        <w:t xml:space="preserve"> a que establezcan sus propias hojas de ruta para la neutralidad climática o el liderazgo digital. Estas deberán ser el resultado de una investigación y unas capacidades de calidad, y deberán contar con el apoyo de la Unión. Desde la puesta en marcha del P</w:t>
      </w:r>
      <w:r>
        <w:rPr>
          <w:rFonts w:ascii="Times New Roman" w:hAnsi="Times New Roman"/>
          <w:noProof/>
        </w:rPr>
        <w:t xml:space="preserve">acto Verde Europeo, varios sectores ya han adoptado este enfoque. En consonancia con el espíritu empresarial y de diseño conjunto de la presente estrategia, esta iniciativa debe apoyarse en </w:t>
      </w:r>
      <w:r>
        <w:rPr>
          <w:rFonts w:ascii="Times New Roman" w:hAnsi="Times New Roman"/>
          <w:b/>
          <w:noProof/>
        </w:rPr>
        <w:t>asociaciones público-privadas</w:t>
      </w:r>
      <w:r>
        <w:rPr>
          <w:rFonts w:ascii="Times New Roman" w:hAnsi="Times New Roman"/>
          <w:noProof/>
        </w:rPr>
        <w:t>, para ayudar a la industria a desarr</w:t>
      </w:r>
      <w:r>
        <w:rPr>
          <w:rFonts w:ascii="Times New Roman" w:hAnsi="Times New Roman"/>
          <w:noProof/>
        </w:rPr>
        <w:t>ollar las tecnologías que le permitan cumplir sus objetivos, como ya se ha hecho con éxito en las alianzas industriales.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El </w:t>
      </w:r>
      <w:r>
        <w:rPr>
          <w:rFonts w:ascii="Times New Roman" w:hAnsi="Times New Roman"/>
          <w:b/>
          <w:noProof/>
        </w:rPr>
        <w:t>Consejo Europeo de Innovación</w:t>
      </w:r>
      <w:r>
        <w:rPr>
          <w:rFonts w:ascii="Times New Roman" w:hAnsi="Times New Roman"/>
          <w:noProof/>
        </w:rPr>
        <w:t>, que estará plenamente operativo en 2021, tendrá también como finalidad aprovechar al máximo la sólida</w:t>
      </w:r>
      <w:r>
        <w:rPr>
          <w:rFonts w:ascii="Times New Roman" w:hAnsi="Times New Roman"/>
          <w:noProof/>
        </w:rPr>
        <w:t xml:space="preserve"> base de investigación europea. Determinará las tecnologías de próxima generación, acelerará su aplicación comercial y les ayudará a apoyar la rápida expansión de las empresas emergentes.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El mercado único también debe desempeñar su parte incentivando la in</w:t>
      </w:r>
      <w:r>
        <w:rPr>
          <w:rFonts w:ascii="Times New Roman" w:hAnsi="Times New Roman"/>
          <w:noProof/>
        </w:rPr>
        <w:t xml:space="preserve">novación para sacar el máximo partido de las economías de escala, la velocidad y el alcance. Debe fomentarse </w:t>
      </w:r>
      <w:r>
        <w:rPr>
          <w:rFonts w:ascii="Times New Roman" w:hAnsi="Times New Roman"/>
          <w:b/>
          <w:noProof/>
        </w:rPr>
        <w:t>la innovación y experimentación basada en la realidad local</w:t>
      </w:r>
      <w:r>
        <w:rPr>
          <w:rFonts w:ascii="Times New Roman" w:hAnsi="Times New Roman"/>
          <w:noProof/>
        </w:rPr>
        <w:t xml:space="preserve">, lo que permitiría a las regiones desarrollar y probar nuevas soluciones con las pymes </w:t>
      </w:r>
      <w:r>
        <w:rPr>
          <w:rFonts w:ascii="Times New Roman" w:hAnsi="Times New Roman"/>
          <w:noProof/>
        </w:rPr>
        <w:t xml:space="preserve">y los consumidores, aprovechando sus características, ventajas y especialidades locales. Las nuevas tecnologías y soluciones podrían ponerse a prueba con los responsables de la elaboración de políticas y los legisladores, con el fin de dar lugar a modelos </w:t>
      </w:r>
      <w:r>
        <w:rPr>
          <w:rFonts w:ascii="Times New Roman" w:hAnsi="Times New Roman"/>
          <w:noProof/>
        </w:rPr>
        <w:t xml:space="preserve">empresariales innovadores.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Una vez probadas y mejoradas, estas soluciones pueden extenderse a los mercados europeos y mundiales, garantizando que la Unión siga estando a la vanguardia. Los </w:t>
      </w:r>
      <w:r>
        <w:rPr>
          <w:rFonts w:ascii="Times New Roman" w:hAnsi="Times New Roman"/>
          <w:b/>
          <w:noProof/>
        </w:rPr>
        <w:t>centros de innovación digital</w:t>
      </w:r>
      <w:r>
        <w:rPr>
          <w:rFonts w:ascii="Times New Roman" w:hAnsi="Times New Roman"/>
          <w:noProof/>
        </w:rPr>
        <w:t xml:space="preserve">, que actúan como ventanillas únicas </w:t>
      </w:r>
      <w:r>
        <w:rPr>
          <w:rFonts w:ascii="Times New Roman" w:hAnsi="Times New Roman"/>
          <w:noProof/>
        </w:rPr>
        <w:t xml:space="preserve">para que las empresas puedan acceder a las pruebas a las que se somete la tecnología, constituyen una buena plataforma en la que basarse. </w:t>
      </w:r>
      <w:r>
        <w:rPr>
          <w:rFonts w:ascii="Times New Roman" w:hAnsi="Times New Roman"/>
          <w:noProof/>
        </w:rPr>
        <w:br/>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557"/>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14:textOutline w14:w="9525" w14:cap="rnd" w14:cmpd="sng" w14:algn="ctr">
                  <w14:noFill/>
                  <w14:prstDash w14:val="solid"/>
                  <w14:bevel/>
                </w14:textOutline>
              </w:rPr>
              <w:t xml:space="preserve">Comunicación sobre el </w:t>
            </w:r>
            <w:r>
              <w:rPr>
                <w:rFonts w:ascii="Times New Roman" w:hAnsi="Times New Roman"/>
                <w:b/>
                <w:noProof/>
                <w14:textOutline w14:w="9525" w14:cap="rnd" w14:cmpd="sng" w14:algn="ctr">
                  <w14:noFill/>
                  <w14:prstDash w14:val="solid"/>
                  <w14:bevel/>
                </w14:textOutline>
              </w:rPr>
              <w:t>futuro</w:t>
            </w:r>
            <w:r>
              <w:rPr>
                <w:rFonts w:ascii="Times New Roman" w:hAnsi="Times New Roman"/>
                <w:b/>
                <w:noProof/>
                <w14:textOutline w14:w="9525" w14:cap="rnd" w14:cmpd="sng" w14:algn="ctr">
                  <w14:noFill/>
                  <w14:prstDash w14:val="solid"/>
                  <w14:bevel/>
                </w14:textOutline>
              </w:rPr>
              <w:t xml:space="preserve"> de la investigación y la innovación y el Espacio Europeo de Investigación</w:t>
            </w:r>
            <w:r>
              <w:rPr>
                <w:rFonts w:ascii="Times New Roman" w:hAnsi="Times New Roman"/>
                <w:noProof/>
                <w14:textOutline w14:w="9525" w14:cap="rnd" w14:cmpd="sng" w14:algn="ctr">
                  <w14:noFill/>
                  <w14:prstDash w14:val="solid"/>
                  <w14:bevel/>
                </w14:textOutline>
              </w:rPr>
              <w:t>, con el fin de diseñar un nuevo enfoque para la innovación y garantizar que el presupuesto de la Unión se utilice con e</w:t>
            </w:r>
            <w:r>
              <w:rPr>
                <w:rFonts w:ascii="Times New Roman" w:hAnsi="Times New Roman"/>
                <w:noProof/>
                <w14:textOutline w14:w="9525" w14:cap="rnd" w14:cmpd="sng" w14:algn="ctr">
                  <w14:noFill/>
                  <w14:prstDash w14:val="solid"/>
                  <w14:bevel/>
                </w14:textOutline>
              </w:rPr>
              <w:t xml:space="preserve">l máximo impacto. </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14:textOutline w14:w="9525" w14:cap="rnd" w14:cmpd="sng" w14:algn="ctr">
                  <w14:noFill/>
                  <w14:prstDash w14:val="solid"/>
                  <w14:bevel/>
                </w14:textOutline>
              </w:rPr>
              <w:t xml:space="preserve">Puesta en marcha de </w:t>
            </w:r>
            <w:r>
              <w:rPr>
                <w:rFonts w:ascii="Times New Roman" w:hAnsi="Times New Roman"/>
                <w:b/>
                <w:noProof/>
                <w14:textOutline w14:w="9525" w14:cap="rnd" w14:cmpd="sng" w14:algn="ctr">
                  <w14:noFill/>
                  <w14:prstDash w14:val="solid"/>
                  <w14:bevel/>
                </w14:textOutline>
              </w:rPr>
              <w:t>asociaciones público-privadas</w:t>
            </w:r>
            <w:r>
              <w:rPr>
                <w:rFonts w:ascii="Times New Roman" w:hAnsi="Times New Roman"/>
                <w:noProof/>
                <w14:textOutline w14:w="9525" w14:cap="rnd" w14:cmpd="sng" w14:algn="ctr">
                  <w14:noFill/>
                  <w14:prstDash w14:val="solid"/>
                  <w14:bevel/>
                </w14:textOutline>
              </w:rPr>
              <w:t xml:space="preserve"> en el</w:t>
            </w:r>
            <w:r>
              <w:rPr>
                <w:rFonts w:ascii="Times New Roman" w:hAnsi="Times New Roman"/>
                <w:noProof/>
                <w14:textOutline w14:w="9525" w14:cap="rnd" w14:cmpd="sng" w14:algn="ctr">
                  <w14:noFill/>
                  <w14:prstDash w14:val="solid"/>
                  <w14:bevel/>
                </w14:textOutline>
              </w:rPr>
              <w:t xml:space="preserve"> marco del programa Horizonte Europa.</w:t>
            </w:r>
          </w:p>
        </w:tc>
      </w:tr>
    </w:tbl>
    <w:p w:rsidR="000A1FDE" w:rsidRDefault="00D36882">
      <w:pPr>
        <w:jc w:val="both"/>
        <w:rPr>
          <w:rFonts w:ascii="Times New Roman" w:hAnsi="Times New Roman" w:cs="Times New Roman"/>
          <w:i/>
          <w:noProof/>
          <w:sz w:val="24"/>
          <w:szCs w:val="24"/>
        </w:rPr>
      </w:pPr>
      <w:r>
        <w:rPr>
          <w:rFonts w:ascii="Times New Roman" w:hAnsi="Times New Roman"/>
          <w:i/>
          <w:noProof/>
        </w:rPr>
        <w:br/>
        <w:t>3.6. Capacitación y reciclaje profesional</w:t>
      </w:r>
      <w:r>
        <w:rPr>
          <w:rFonts w:ascii="Times New Roman" w:hAnsi="Times New Roman"/>
          <w:i/>
          <w:iCs/>
          <w:noProof/>
        </w:rPr>
        <w:t xml:space="preserv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b/>
          <w:noProof/>
        </w:rPr>
        <w:t>Una industria competitiva depende de la contratación de mano de obra cualificada y la capacidad para retenerla</w:t>
      </w:r>
      <w:r>
        <w:rPr>
          <w:rFonts w:ascii="Times New Roman" w:hAnsi="Times New Roman"/>
          <w:noProof/>
        </w:rPr>
        <w:t>. A medida que la doble transición va cobrando velocidad, Europa tiene que garantizar que la educación y la formación sigan el ritmo. Hacer del aprendizaje permanente una realidad para todos será todavía más importante: tan solo en los próximos cinco años,</w:t>
      </w:r>
      <w:r>
        <w:rPr>
          <w:rFonts w:ascii="Times New Roman" w:hAnsi="Times New Roman"/>
          <w:noProof/>
        </w:rPr>
        <w:t xml:space="preserve"> ciento veinte millones de europeos tendrán que mejorar sus capacidades o reciclarse profesionalmente.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Esto es reflejo de la importancia de las capacidades para la doble transición y de las oportunidades que pueden generar para las personas. Se espera que</w:t>
      </w:r>
      <w:r>
        <w:rPr>
          <w:rFonts w:ascii="Times New Roman" w:hAnsi="Times New Roman"/>
          <w:noProof/>
        </w:rPr>
        <w:t xml:space="preserve"> la transición a una economía hipocarbónica genere más de un millón de puestos de trabajo de aquí a 2030; además, en Europa ya hay un millón de puestos vacantes para expertos en tecnología digital. Al mismo tiempo, el 70 % de las empresas afirma estar retr</w:t>
      </w:r>
      <w:r>
        <w:rPr>
          <w:rFonts w:ascii="Times New Roman" w:hAnsi="Times New Roman"/>
          <w:noProof/>
        </w:rPr>
        <w:t>asando las inversiones al no poder encontrar personas con las capacidades adecuadas.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En el caso de los trabajadores de la industria, la digitalización, la automatización y los avances en materia de inteligencia artificial exigirán un cambio sin precedentes</w:t>
      </w:r>
      <w:r>
        <w:rPr>
          <w:rFonts w:ascii="Times New Roman" w:hAnsi="Times New Roman"/>
          <w:noProof/>
        </w:rPr>
        <w:t xml:space="preserve"> en su conjunto de capacidades. La reconversión y el reciclaje profesional tienen que ser una parte importante de nuestra economía social de mercado. Nuestros sistemas de </w:t>
      </w:r>
      <w:r>
        <w:rPr>
          <w:rFonts w:ascii="Times New Roman" w:hAnsi="Times New Roman"/>
          <w:b/>
          <w:noProof/>
        </w:rPr>
        <w:t>educación superior y formación profesional</w:t>
      </w:r>
      <w:r>
        <w:rPr>
          <w:rFonts w:ascii="Times New Roman" w:hAnsi="Times New Roman"/>
          <w:noProof/>
        </w:rPr>
        <w:t xml:space="preserve"> también tendrán que proporcionar más cient</w:t>
      </w:r>
      <w:r>
        <w:rPr>
          <w:rFonts w:ascii="Times New Roman" w:hAnsi="Times New Roman"/>
          <w:noProof/>
        </w:rPr>
        <w:t>íficos, ingenieros y técnicos al mercado de trabajo. Mejorar la atracción de capacidades y talentos procedentes del extranjero también contribuirá a satisfacer las necesidades del mercado de trabajo de la Unión.</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En la carrera mundial por el talento, Europa</w:t>
      </w:r>
      <w:r>
        <w:rPr>
          <w:rFonts w:ascii="Times New Roman" w:hAnsi="Times New Roman"/>
          <w:noProof/>
        </w:rPr>
        <w:t xml:space="preserve"> tiene que aumentar la inversión en capacidades; además, el aprendizaje permanente debería convertirse en una realidad. Para ello, será necesaria la acción colectiva de la industria, los Estados miembros, los interlocutores sociales y otras partes interesa</w:t>
      </w:r>
      <w:r>
        <w:rPr>
          <w:rFonts w:ascii="Times New Roman" w:hAnsi="Times New Roman"/>
          <w:noProof/>
        </w:rPr>
        <w:t xml:space="preserve">das, a través de un nuevo </w:t>
      </w:r>
      <w:r>
        <w:rPr>
          <w:rFonts w:ascii="Times New Roman" w:hAnsi="Times New Roman"/>
          <w:b/>
          <w:noProof/>
        </w:rPr>
        <w:t>Pacto por las capacidades</w:t>
      </w:r>
      <w:r>
        <w:rPr>
          <w:rFonts w:ascii="Times New Roman" w:hAnsi="Times New Roman"/>
          <w:noProof/>
        </w:rPr>
        <w:t>, a fin de contribuir a la mejora de las capacidades y al reciclaje profesional, así como para desbloquear inversión pública y privada y destinarla a la mano de obra. Dicho Pacto se centrará en sectores con gran potencial de crecimiento para Europa o en lo</w:t>
      </w:r>
      <w:r>
        <w:rPr>
          <w:rFonts w:ascii="Times New Roman" w:hAnsi="Times New Roman"/>
          <w:noProof/>
        </w:rPr>
        <w:t xml:space="preserve">s que experimenten los cambios más significativos. El </w:t>
      </w:r>
      <w:r>
        <w:rPr>
          <w:rFonts w:ascii="Times New Roman" w:hAnsi="Times New Roman"/>
          <w:b/>
          <w:noProof/>
        </w:rPr>
        <w:t>Espacio Europeo de Educación</w:t>
      </w:r>
      <w:r>
        <w:rPr>
          <w:rFonts w:ascii="Times New Roman" w:hAnsi="Times New Roman"/>
          <w:noProof/>
        </w:rPr>
        <w:t xml:space="preserve"> también respaldará estos esfuerzos.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b/>
          <w:noProof/>
        </w:rPr>
        <w:t>Asimismo, es esencial lograr un mejor equilibrio entre mujeres y hombres en la industria</w:t>
      </w:r>
      <w:r>
        <w:rPr>
          <w:rFonts w:ascii="Times New Roman" w:hAnsi="Times New Roman"/>
          <w:noProof/>
        </w:rPr>
        <w:t>. Por ejemplo, se podría animar a las mujeres a e</w:t>
      </w:r>
      <w:r>
        <w:rPr>
          <w:rFonts w:ascii="Times New Roman" w:hAnsi="Times New Roman"/>
          <w:noProof/>
        </w:rPr>
        <w:t xml:space="preserve">studiar ciencias, tecnología, ingeniería y matemáticas, plantearse una carrera en tecnología e invertir en capacidades digitales, mejorando así el equilibrio entre hombres y mujeres en la creación y el liderazgo empresarial. </w:t>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411"/>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Un</w:t>
            </w:r>
            <w:r>
              <w:rPr>
                <w:rFonts w:ascii="Times New Roman" w:hAnsi="Times New Roman"/>
                <w:noProof/>
              </w:rPr>
              <w:t xml:space="preserve">a actualización en 2030 de la </w:t>
            </w:r>
            <w:r>
              <w:rPr>
                <w:rFonts w:ascii="Times New Roman" w:hAnsi="Times New Roman"/>
                <w:b/>
                <w:noProof/>
              </w:rPr>
              <w:t>Agenda de Capacidades para Europa</w:t>
            </w:r>
            <w:r>
              <w:rPr>
                <w:rFonts w:ascii="Times New Roman" w:hAnsi="Times New Roman"/>
                <w:noProof/>
              </w:rPr>
              <w:t xml:space="preserve"> que incluya una recomendación sobre la formación profesional.</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Puesta en marcha de un </w:t>
            </w:r>
            <w:r>
              <w:rPr>
                <w:rFonts w:ascii="Times New Roman" w:hAnsi="Times New Roman"/>
                <w:b/>
                <w:noProof/>
              </w:rPr>
              <w:t>Pacto europeo de capacidades</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Comunicación relativa a un marco estratégico para el </w:t>
            </w:r>
            <w:r>
              <w:rPr>
                <w:rFonts w:ascii="Times New Roman" w:hAnsi="Times New Roman"/>
                <w:b/>
                <w:noProof/>
              </w:rPr>
              <w:t>Espacio Europeo de Educa</w:t>
            </w:r>
            <w:r>
              <w:rPr>
                <w:rFonts w:ascii="Times New Roman" w:hAnsi="Times New Roman"/>
                <w:b/>
                <w:noProof/>
              </w:rPr>
              <w:t>ción</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de Educación Digital</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Aplicación de la Estrategia Europea de Género</w:t>
            </w:r>
            <w:r>
              <w:rPr>
                <w:rFonts w:ascii="Times New Roman" w:hAnsi="Times New Roman"/>
                <w:noProof/>
              </w:rPr>
              <w:t xml:space="preserve">, adoptada en marzo de 2020. </w:t>
            </w:r>
          </w:p>
        </w:tc>
      </w:tr>
    </w:tbl>
    <w:p w:rsidR="000A1FDE" w:rsidRDefault="00D36882">
      <w:pPr>
        <w:spacing w:line="240" w:lineRule="auto"/>
        <w:jc w:val="both"/>
        <w:rPr>
          <w:rFonts w:ascii="Times New Roman" w:hAnsi="Times New Roman" w:cs="Times New Roman"/>
          <w:i/>
          <w:noProof/>
          <w:sz w:val="24"/>
          <w:szCs w:val="24"/>
        </w:rPr>
      </w:pPr>
      <w:r>
        <w:rPr>
          <w:rFonts w:ascii="Times New Roman" w:hAnsi="Times New Roman"/>
          <w:i/>
          <w:noProof/>
        </w:rPr>
        <w:br/>
        <w:t>3.7. Inversión y financiación de la transición</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Muchos de los futuros programas de la Unión, como Horizonte Europa, el programa Europa </w:t>
      </w:r>
      <w:r>
        <w:rPr>
          <w:rFonts w:ascii="Times New Roman" w:hAnsi="Times New Roman"/>
          <w:noProof/>
        </w:rPr>
        <w:t>Digital, el Programa sobre el Mercado Único, el Fondo de Innovación, InvestEU, el Fondo Social Europeo, el Fondo Europeo de Defensa y el Programa Espacial de la Unión, así como todos los Fondos Estructurales y de Inversión Europeos, contribuirán a promover</w:t>
      </w:r>
      <w:r>
        <w:rPr>
          <w:rFonts w:ascii="Times New Roman" w:hAnsi="Times New Roman"/>
          <w:noProof/>
        </w:rPr>
        <w:t xml:space="preserve"> la competitividad de la industria de la Unión. Un acuerdo rápido sobre el próximo presupuesto a largo plazo es esencial para el futuro de nuestra industria.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En un momento en el que las finanzas públicas están sometidas a presión, necesitaremos nuevas vías</w:t>
      </w:r>
      <w:r>
        <w:rPr>
          <w:rFonts w:ascii="Times New Roman" w:hAnsi="Times New Roman"/>
          <w:noProof/>
        </w:rPr>
        <w:t xml:space="preserve"> para desbloquear la inversión privada. Esto incluye el apalancamiento y la combinación del dinero de la Unión con los Estados miembros y otros socios institucionales, así como la concentración de inversores privados. InvestEU y el Plan de Inversiones del </w:t>
      </w:r>
      <w:r>
        <w:rPr>
          <w:rFonts w:ascii="Times New Roman" w:hAnsi="Times New Roman"/>
          <w:noProof/>
        </w:rPr>
        <w:t>Pacto Verde Europeo contribuirán a desbloquear inversión privada cuando sea necesario. El Banco Europeo de Inversiones y los bancos e instituciones nacionales de fomento deberán desempeñar un papel importante.</w:t>
      </w:r>
    </w:p>
    <w:p w:rsidR="000A1FDE" w:rsidRDefault="00D36882">
      <w:pPr>
        <w:spacing w:after="0" w:line="240" w:lineRule="auto"/>
        <w:jc w:val="both"/>
        <w:rPr>
          <w:rFonts w:ascii="Times New Roman" w:hAnsi="Times New Roman" w:cs="Times New Roman"/>
          <w:noProof/>
          <w:sz w:val="24"/>
          <w:szCs w:val="24"/>
        </w:rPr>
      </w:pPr>
      <w:r>
        <w:rPr>
          <w:rFonts w:ascii="Times New Roman" w:hAnsi="Times New Roman"/>
          <w:noProof/>
        </w:rPr>
        <w:t>La movilización de inversión privada y financi</w:t>
      </w:r>
      <w:r>
        <w:rPr>
          <w:rFonts w:ascii="Times New Roman" w:hAnsi="Times New Roman"/>
          <w:noProof/>
        </w:rPr>
        <w:t>ación pública es sumamente importante cuando falla el mercado, sobre todo para el despliegue a gran escala de tecnologías innovadoras.</w:t>
      </w:r>
      <w:r>
        <w:rPr>
          <w:rFonts w:ascii="Times New Roman" w:hAnsi="Times New Roman"/>
          <w:noProof/>
        </w:rPr>
        <w:br/>
        <w:t xml:space="preserve">Una herramienta que presenta una trayectoria acreditada en este ámbito son los </w:t>
      </w:r>
      <w:r>
        <w:rPr>
          <w:rFonts w:ascii="Times New Roman" w:hAnsi="Times New Roman"/>
          <w:b/>
          <w:noProof/>
        </w:rPr>
        <w:t>proyectos importantes de interés común eur</w:t>
      </w:r>
      <w:r>
        <w:rPr>
          <w:rFonts w:ascii="Times New Roman" w:hAnsi="Times New Roman"/>
          <w:b/>
          <w:noProof/>
        </w:rPr>
        <w:t>opeo</w:t>
      </w:r>
      <w:r>
        <w:rPr>
          <w:rFonts w:ascii="Times New Roman" w:hAnsi="Times New Roman"/>
          <w:noProof/>
        </w:rPr>
        <w:t xml:space="preserve"> (PIICE). Los Estados miembros pueden recurrir a los PIICE para poner en común recursos financieros, actuar rápidamente y conectar a los actores adecuados a lo largo de cadenas de valor clave. Son catalizadores de la inversión y permiten a los Estados </w:t>
      </w:r>
      <w:r>
        <w:rPr>
          <w:rFonts w:ascii="Times New Roman" w:hAnsi="Times New Roman"/>
          <w:noProof/>
        </w:rPr>
        <w:t>miembros financiar proyectos de innovación a gran escala a través de las fronteras en caso de fallo del mercado. Partiendo de la experiencia con los PIICE recientes, la Comisión estudiará formas de combinar los instrumentos nacionales y de la Unión para im</w:t>
      </w:r>
      <w:r>
        <w:rPr>
          <w:rFonts w:ascii="Times New Roman" w:hAnsi="Times New Roman"/>
          <w:noProof/>
        </w:rPr>
        <w:t>pulsar la inversión en toda la cadena de valor, respetando plenamente las normas financieras y de competencia pertinentes.</w:t>
      </w:r>
    </w:p>
    <w:p w:rsidR="000A1FDE" w:rsidRDefault="000A1FDE">
      <w:pPr>
        <w:spacing w:after="0" w:line="240" w:lineRule="auto"/>
        <w:jc w:val="both"/>
        <w:rPr>
          <w:rFonts w:ascii="Times New Roman" w:hAnsi="Times New Roman" w:cs="Times New Roman"/>
          <w:noProof/>
          <w:sz w:val="24"/>
          <w:szCs w:val="24"/>
        </w:rPr>
      </w:pPr>
    </w:p>
    <w:p w:rsidR="000A1FDE" w:rsidRDefault="00D36882">
      <w:pPr>
        <w:spacing w:after="0"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bdr w:val="none" w:sz="0" w:space="0" w:color="auto" w:frame="1"/>
        </w:rPr>
        <w:t xml:space="preserve">Para ayudar a aprovechar al máximo esta herramienta, la Comisión adoptará en 2021 </w:t>
      </w:r>
      <w:r>
        <w:rPr>
          <w:rFonts w:ascii="Times New Roman" w:hAnsi="Times New Roman"/>
          <w:b/>
          <w:noProof/>
          <w:bdr w:val="none" w:sz="0" w:space="0" w:color="auto" w:frame="1"/>
        </w:rPr>
        <w:t>normas revisadas sobre ayudas estatales para los P</w:t>
      </w:r>
      <w:r>
        <w:rPr>
          <w:rFonts w:ascii="Times New Roman" w:hAnsi="Times New Roman"/>
          <w:b/>
          <w:noProof/>
          <w:bdr w:val="none" w:sz="0" w:space="0" w:color="auto" w:frame="1"/>
        </w:rPr>
        <w:t>IICE</w:t>
      </w:r>
      <w:r>
        <w:rPr>
          <w:rFonts w:ascii="Times New Roman" w:hAnsi="Times New Roman"/>
          <w:noProof/>
          <w:bdr w:val="none" w:sz="0" w:space="0" w:color="auto" w:frame="1"/>
        </w:rPr>
        <w:t>. Esta revisión tiene por objeto aclarar las condiciones en las que los proyectos dirigidos por los Estados miembros en sectores clave pueden progresar de forma oportuna y favorable a la competencia. También debería ayudar a las pymes a participar plen</w:t>
      </w:r>
      <w:r>
        <w:rPr>
          <w:rFonts w:ascii="Times New Roman" w:hAnsi="Times New Roman"/>
          <w:noProof/>
          <w:bdr w:val="none" w:sz="0" w:space="0" w:color="auto" w:frame="1"/>
        </w:rPr>
        <w:t xml:space="preserve">amente en futuros PIICE. </w:t>
      </w:r>
    </w:p>
    <w:p w:rsidR="000A1FDE" w:rsidRDefault="000A1FDE">
      <w:pPr>
        <w:spacing w:after="0" w:line="240" w:lineRule="auto"/>
        <w:jc w:val="both"/>
        <w:rPr>
          <w:rFonts w:ascii="Times New Roman" w:eastAsia="Arial Unicode MS" w:hAnsi="Times New Roman" w:cs="Times New Roman"/>
          <w:noProof/>
          <w:sz w:val="24"/>
          <w:szCs w:val="24"/>
          <w:bdr w:val="none" w:sz="0" w:space="0" w:color="auto" w:frame="1"/>
        </w:rPr>
      </w:pP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Será necesario, además, incentivar la inversión en favor de la sostenibilidad competitiva en todo el sistema financiero. El reciente acuerdo sobre una </w:t>
      </w:r>
      <w:r>
        <w:rPr>
          <w:rFonts w:ascii="Times New Roman" w:hAnsi="Times New Roman"/>
          <w:b/>
          <w:noProof/>
        </w:rPr>
        <w:t>taxonomía de la Unión</w:t>
      </w:r>
      <w:r>
        <w:rPr>
          <w:rFonts w:ascii="Times New Roman" w:hAnsi="Times New Roman"/>
          <w:noProof/>
        </w:rPr>
        <w:t xml:space="preserve"> y la seguridad que ofrece la </w:t>
      </w:r>
      <w:r>
        <w:rPr>
          <w:rFonts w:ascii="Times New Roman" w:hAnsi="Times New Roman"/>
          <w:b/>
          <w:noProof/>
        </w:rPr>
        <w:t>Ley del Clima</w:t>
      </w:r>
      <w:r>
        <w:rPr>
          <w:rStyle w:val="FootnoteReference"/>
          <w:rFonts w:ascii="Times New Roman" w:hAnsi="Times New Roman" w:cs="Times New Roman"/>
          <w:noProof/>
        </w:rPr>
        <w:footnoteReference w:id="10"/>
      </w:r>
      <w:r>
        <w:rPr>
          <w:rFonts w:ascii="Times New Roman" w:hAnsi="Times New Roman"/>
          <w:noProof/>
        </w:rPr>
        <w:t xml:space="preserve"> son grandes pasos en la dirección correcta.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Sobre la base de estos avances, la estrategia renovada para unas finanzas sostenibles establecerá normas claras para orientar a los inversores hacia una inversión sostenible. En el marco de los trabajos continu</w:t>
      </w:r>
      <w:r>
        <w:rPr>
          <w:rFonts w:ascii="Times New Roman" w:hAnsi="Times New Roman"/>
          <w:noProof/>
        </w:rPr>
        <w:t xml:space="preserve">ados para profundizar la unión económica y monetaria, el nuevo </w:t>
      </w:r>
      <w:r>
        <w:rPr>
          <w:rFonts w:ascii="Times New Roman" w:hAnsi="Times New Roman"/>
          <w:b/>
          <w:noProof/>
        </w:rPr>
        <w:t>plan de acción de la Comisión para la creación de una unión de los mercados de capitales</w:t>
      </w:r>
      <w:r>
        <w:rPr>
          <w:rFonts w:ascii="Times New Roman" w:hAnsi="Times New Roman"/>
          <w:noProof/>
        </w:rPr>
        <w:t xml:space="preserve"> incluirá una iniciativa que refuerce la protección de las inversiones dentro de la Unión y los esfuerzos</w:t>
      </w:r>
      <w:r>
        <w:rPr>
          <w:rFonts w:ascii="Times New Roman" w:hAnsi="Times New Roman"/>
          <w:noProof/>
        </w:rPr>
        <w:t xml:space="preserve"> por desbloquear fuentes de financiación más diversas para las empresas europeas, especialmente las pymes. La Estrategia de Financiación Digital ayudará a facilitar la innovación en los servicios financieros, con el fin de contribuir a extender el nuevo mo</w:t>
      </w:r>
      <w:r>
        <w:rPr>
          <w:rFonts w:ascii="Times New Roman" w:hAnsi="Times New Roman"/>
          <w:noProof/>
        </w:rPr>
        <w:t>delo de servicios y empresa y hacer frente a nuevos riesgos.</w:t>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cantSplit/>
          <w:trHeight w:val="699"/>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Colaboración con el Parlamento y el Consejo para garantizar la rápida adopción y ejecución del </w:t>
            </w:r>
            <w:r>
              <w:rPr>
                <w:rFonts w:ascii="Times New Roman" w:hAnsi="Times New Roman"/>
                <w:b/>
                <w:noProof/>
              </w:rPr>
              <w:t>próximo presupuesto a largo plazo</w:t>
            </w:r>
            <w:r>
              <w:rPr>
                <w:rFonts w:ascii="Times New Roman" w:hAnsi="Times New Roman"/>
                <w:noProof/>
              </w:rPr>
              <w:t>.</w:t>
            </w:r>
          </w:p>
          <w:p w:rsidR="000A1FDE" w:rsidRDefault="00D36882">
            <w:pPr>
              <w:pStyle w:val="ListParagraph"/>
              <w:numPr>
                <w:ilvl w:val="0"/>
                <w:numId w:val="18"/>
              </w:numPr>
              <w:rPr>
                <w:noProof/>
              </w:rPr>
            </w:pPr>
            <w:r>
              <w:rPr>
                <w:rFonts w:ascii="Times New Roman" w:hAnsi="Times New Roman"/>
                <w:noProof/>
              </w:rPr>
              <w:t>Posibilidad de coordinar las inversio</w:t>
            </w:r>
            <w:r>
              <w:rPr>
                <w:rFonts w:ascii="Times New Roman" w:hAnsi="Times New Roman"/>
                <w:noProof/>
              </w:rPr>
              <w:t xml:space="preserve">nes de los Estados miembros y de la industria en forma de nuevos </w:t>
            </w:r>
            <w:r>
              <w:rPr>
                <w:rFonts w:ascii="Times New Roman" w:hAnsi="Times New Roman"/>
                <w:b/>
                <w:noProof/>
              </w:rPr>
              <w:t>PIICE</w:t>
            </w:r>
            <w:r>
              <w:rPr>
                <w:rFonts w:ascii="Times New Roman" w:hAnsi="Times New Roman"/>
                <w:noProof/>
              </w:rPr>
              <w:t xml:space="preserve"> y posible seguimiento de los primeros PIICE sobre baterías y microelectrónica.</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Revisión de las </w:t>
            </w:r>
            <w:r>
              <w:rPr>
                <w:rFonts w:ascii="Times New Roman" w:hAnsi="Times New Roman"/>
                <w:b/>
                <w:noProof/>
              </w:rPr>
              <w:t>normas sobre ayudas estatales para los PIICE</w:t>
            </w:r>
            <w:r>
              <w:rPr>
                <w:rFonts w:ascii="Times New Roman" w:hAnsi="Times New Roman"/>
                <w:noProof/>
              </w:rPr>
              <w:t>, incluidos los proyectos de transición energé</w:t>
            </w:r>
            <w:r>
              <w:rPr>
                <w:rFonts w:ascii="Times New Roman" w:hAnsi="Times New Roman"/>
                <w:noProof/>
              </w:rPr>
              <w:t>tica.</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Estrategia renovada de finanzas sostenibles</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Nueva Estrategia de Financiación Digital</w:t>
            </w:r>
            <w:r>
              <w:rPr>
                <w:rFonts w:ascii="Times New Roman" w:hAnsi="Times New Roman"/>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para la creación de una unión de los mercados de capitales</w:t>
            </w:r>
            <w:r>
              <w:rPr>
                <w:rFonts w:ascii="Times New Roman" w:hAnsi="Times New Roman"/>
                <w:noProof/>
              </w:rPr>
              <w:t xml:space="preserve"> en 2020, incluidas medidas de apoyo para mercados de capitales integrados y más oportunidades de financiación para los ciudadanos y las empresas.</w:t>
            </w:r>
          </w:p>
        </w:tc>
      </w:tr>
    </w:tbl>
    <w:p w:rsidR="000A1FDE" w:rsidRDefault="000A1FDE">
      <w:pPr>
        <w:rPr>
          <w:noProof/>
        </w:rPr>
      </w:pPr>
    </w:p>
    <w:p w:rsidR="000A1FDE" w:rsidRDefault="00D36882">
      <w:pPr>
        <w:pStyle w:val="Heading1"/>
        <w:numPr>
          <w:ilvl w:val="0"/>
          <w:numId w:val="16"/>
        </w:numPr>
        <w:ind w:left="284" w:hanging="284"/>
        <w:rPr>
          <w:noProof/>
        </w:rPr>
      </w:pPr>
      <w:r>
        <w:rPr>
          <w:noProof/>
        </w:rPr>
        <w:t>Refuerzo de la autonomía industrial y estratégica de Europa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autonomía estratégica de Europa le permite r</w:t>
      </w:r>
      <w:r>
        <w:rPr>
          <w:rFonts w:ascii="Times New Roman" w:hAnsi="Times New Roman"/>
          <w:noProof/>
        </w:rPr>
        <w:t xml:space="preserve">educir la dependencia de otros en relación con las cosas más necesarias: materiales y tecnologías críticos, alimentos, infraestructura, seguridad y otros ámbitos estratégicos. Además, brinda a la industria europea la oportunidad de desarrollar sus propios </w:t>
      </w:r>
      <w:r>
        <w:rPr>
          <w:rFonts w:ascii="Times New Roman" w:hAnsi="Times New Roman"/>
          <w:noProof/>
        </w:rPr>
        <w:t xml:space="preserve">mercados, productos y servicios que impulsan la competitividad.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Europa prospera en un entorno de inversión abierto que permite a los demás invertir en la competitividad europea. Pero, además, debe ser más estratégica por lo que respecta a la manera en la </w:t>
      </w:r>
      <w:r>
        <w:rPr>
          <w:rFonts w:ascii="Times New Roman" w:hAnsi="Times New Roman"/>
          <w:noProof/>
        </w:rPr>
        <w:t xml:space="preserve">que mira al riesgo asociado a la inversión extranjera. El </w:t>
      </w:r>
      <w:r>
        <w:rPr>
          <w:rFonts w:ascii="Times New Roman" w:hAnsi="Times New Roman"/>
          <w:b/>
          <w:noProof/>
        </w:rPr>
        <w:t>marco para el control de la inversión extranjera directa</w:t>
      </w:r>
      <w:r>
        <w:rPr>
          <w:rStyle w:val="FootnoteReference"/>
          <w:rFonts w:ascii="Times New Roman" w:hAnsi="Times New Roman" w:cs="Times New Roman"/>
          <w:b/>
          <w:noProof/>
        </w:rPr>
        <w:footnoteReference w:id="11"/>
      </w:r>
      <w:r>
        <w:rPr>
          <w:rFonts w:ascii="Times New Roman" w:hAnsi="Times New Roman"/>
          <w:noProof/>
        </w:rPr>
        <w:t>, que será plenamente aplicable en octubre de 2020, protegerá los intereses de Europa con respecto a la seguridad y el orden público. La Comi</w:t>
      </w:r>
      <w:r>
        <w:rPr>
          <w:rFonts w:ascii="Times New Roman" w:hAnsi="Times New Roman"/>
          <w:noProof/>
        </w:rPr>
        <w:t>sión presentará propuestas para reforzar esta herramienta.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transformación digital, la seguridad y la futura soberanía tecnológica de Europa dependen de nuestras </w:t>
      </w:r>
      <w:r>
        <w:rPr>
          <w:rFonts w:ascii="Times New Roman" w:hAnsi="Times New Roman"/>
          <w:b/>
          <w:noProof/>
        </w:rPr>
        <w:t>infraestructuras digitales estratégicas</w:t>
      </w:r>
      <w:r>
        <w:rPr>
          <w:rFonts w:ascii="Times New Roman" w:hAnsi="Times New Roman"/>
          <w:noProof/>
        </w:rPr>
        <w:t>.</w:t>
      </w:r>
      <w:r>
        <w:rPr>
          <w:rFonts w:ascii="Times New Roman" w:hAnsi="Times New Roman"/>
          <w:b/>
          <w:noProof/>
        </w:rPr>
        <w:t xml:space="preserve"> </w:t>
      </w:r>
      <w:r>
        <w:rPr>
          <w:rFonts w:ascii="Times New Roman" w:hAnsi="Times New Roman"/>
          <w:noProof/>
        </w:rPr>
        <w:t>Además del trabajo reciente de la Comisión sobre la</w:t>
      </w:r>
      <w:r>
        <w:rPr>
          <w:rFonts w:ascii="Times New Roman" w:hAnsi="Times New Roman"/>
          <w:noProof/>
        </w:rPr>
        <w:t xml:space="preserve"> tecnología 5G y la ciberseguridad, la Unión desarrollará una infraestructura de comunicación cuántica crítica, diseñada para implantar en los próximos diez años una infraestructura segura de extremo a extremo basada en el intercambio de claves cuánticas, </w:t>
      </w:r>
      <w:r>
        <w:rPr>
          <w:rFonts w:ascii="Times New Roman" w:hAnsi="Times New Roman"/>
          <w:noProof/>
        </w:rPr>
        <w:t xml:space="preserve">para proteger los principales activos digitales de la Unión y sus Estados miembros.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Unión también apoyará el desarrollo de tecnologías facilitadoras esenciales que revisten una importancia estratégica para el futuro industrial de Europa. Entre ellas ca</w:t>
      </w:r>
      <w:r>
        <w:rPr>
          <w:rFonts w:ascii="Times New Roman" w:hAnsi="Times New Roman"/>
          <w:noProof/>
        </w:rPr>
        <w:t>be citar la robótica, la microelectrónica, la informática de alto rendimiento y la infraestructura de computación en la nube, la cadena de bloques, las tecnologías cuánticas, la fotónica, la biotecnología industrial, la biomedicina, las nanotecnologías, lo</w:t>
      </w:r>
      <w:r>
        <w:rPr>
          <w:rFonts w:ascii="Times New Roman" w:hAnsi="Times New Roman"/>
          <w:noProof/>
        </w:rPr>
        <w:t xml:space="preserve">s productos farmacéuticos, así como los materiales y las tecnologías avanzados.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Los sectores europeos de </w:t>
      </w:r>
      <w:r>
        <w:rPr>
          <w:rFonts w:ascii="Times New Roman" w:hAnsi="Times New Roman"/>
          <w:b/>
          <w:noProof/>
        </w:rPr>
        <w:t>la defensa y el espacio</w:t>
      </w:r>
      <w:r>
        <w:rPr>
          <w:rFonts w:ascii="Times New Roman" w:hAnsi="Times New Roman"/>
          <w:noProof/>
        </w:rPr>
        <w:t xml:space="preserve"> son esenciales para el futuro de Europa. Sin embargo, la fragmentación de la industria de defensa pone en tela de juicio la ca</w:t>
      </w:r>
      <w:r>
        <w:rPr>
          <w:rFonts w:ascii="Times New Roman" w:hAnsi="Times New Roman"/>
          <w:noProof/>
        </w:rPr>
        <w:t xml:space="preserve">pacidad de Europa para construir la próxima generación de capacidades de defensa críticas, lo que reduciría la soberanía estratégica de la Unión y su capacidad para actuar como proveedora de seguridad.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El </w:t>
      </w:r>
      <w:r>
        <w:rPr>
          <w:rFonts w:ascii="Times New Roman" w:hAnsi="Times New Roman"/>
          <w:b/>
          <w:noProof/>
        </w:rPr>
        <w:t>Fondo Europeo de Defensa</w:t>
      </w:r>
      <w:r>
        <w:rPr>
          <w:rFonts w:ascii="Times New Roman" w:hAnsi="Times New Roman"/>
          <w:noProof/>
        </w:rPr>
        <w:t xml:space="preserve"> contribuirá a construir u</w:t>
      </w:r>
      <w:r>
        <w:rPr>
          <w:rFonts w:ascii="Times New Roman" w:hAnsi="Times New Roman"/>
          <w:noProof/>
        </w:rPr>
        <w:t>na base industrial integrada en el ámbito de la defensa en toda la Unión. Invertirá en todas las cadenas de valor de la industria de defensa europea, facilitará la cooperación transfronteriza e impulsará las cadenas de suministro abiertas y dinámicas que i</w:t>
      </w:r>
      <w:r>
        <w:rPr>
          <w:rFonts w:ascii="Times New Roman" w:hAnsi="Times New Roman"/>
          <w:noProof/>
        </w:rPr>
        <w:t xml:space="preserve">ncluyan a las pymes y a los nuevos operadores. También apoyará las tecnologías disruptivas, lo que permitirá a las empresas asumir más riesgos. La coherencia con otras iniciativas en materia de defensa será esencial.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Las </w:t>
      </w:r>
      <w:r>
        <w:rPr>
          <w:rFonts w:ascii="Times New Roman" w:hAnsi="Times New Roman"/>
          <w:b/>
          <w:noProof/>
        </w:rPr>
        <w:t>tecnologías, datos y servicios esp</w:t>
      </w:r>
      <w:r>
        <w:rPr>
          <w:rFonts w:ascii="Times New Roman" w:hAnsi="Times New Roman"/>
          <w:b/>
          <w:noProof/>
        </w:rPr>
        <w:t>aciales</w:t>
      </w:r>
      <w:r>
        <w:rPr>
          <w:rFonts w:ascii="Times New Roman" w:hAnsi="Times New Roman"/>
          <w:noProof/>
        </w:rPr>
        <w:t xml:space="preserve"> pueden reforzar la base industrial de Europa apoyando el desarrollo de productos y servicios innovadores, incluida la llegada de tecnologías innovadoras de vanguardia.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Las industrias de defensa y espacio se enfrentan a una competencia mundial sin p</w:t>
      </w:r>
      <w:r>
        <w:rPr>
          <w:rFonts w:ascii="Times New Roman" w:hAnsi="Times New Roman"/>
          <w:noProof/>
        </w:rPr>
        <w:t xml:space="preserve">recedentes, en un contexto geopolítico cambiante, y a nuevas oportunidades, gracias a la llegada de tecnologías en rápida evolución y a la aparición de nuevos actores. Mediante la búsqueda de </w:t>
      </w:r>
      <w:r>
        <w:rPr>
          <w:rFonts w:ascii="Times New Roman" w:hAnsi="Times New Roman"/>
          <w:b/>
          <w:noProof/>
        </w:rPr>
        <w:t>sinergias entre las industrias civil, espacial y de defensa</w:t>
      </w:r>
      <w:r>
        <w:rPr>
          <w:rFonts w:ascii="Times New Roman" w:hAnsi="Times New Roman"/>
          <w:noProof/>
        </w:rPr>
        <w:t xml:space="preserve">, la </w:t>
      </w:r>
      <w:r>
        <w:rPr>
          <w:rFonts w:ascii="Times New Roman" w:hAnsi="Times New Roman"/>
          <w:noProof/>
        </w:rPr>
        <w:t xml:space="preserve">Unión, en sus programas, hará un uso más eficaz de los recursos y las tecnologías y creará economías de escala.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A raíz de la transición de la industria europea a la neutralidad climática, la dependencia de los combustibles fósiles disponibles podría susti</w:t>
      </w:r>
      <w:r>
        <w:rPr>
          <w:rFonts w:ascii="Times New Roman" w:hAnsi="Times New Roman"/>
          <w:noProof/>
        </w:rPr>
        <w:t>tuirse por la dependencia de materias primas no energéticas, muchas de las cuales proceden del extranjero y en relación con las cuales la competencia mundial es cada vez más intensa. Impulsar el reciclaje y el uso de materias primas secundarias contribuirá</w:t>
      </w:r>
      <w:r>
        <w:rPr>
          <w:rFonts w:ascii="Times New Roman" w:hAnsi="Times New Roman"/>
          <w:noProof/>
        </w:rPr>
        <w:t xml:space="preserve"> a reducir esa dependencia.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Se prevé que la demanda de </w:t>
      </w:r>
      <w:r>
        <w:rPr>
          <w:rFonts w:ascii="Times New Roman" w:hAnsi="Times New Roman"/>
          <w:b/>
          <w:noProof/>
        </w:rPr>
        <w:t>materias primas</w:t>
      </w:r>
      <w:r>
        <w:rPr>
          <w:rFonts w:ascii="Times New Roman" w:hAnsi="Times New Roman"/>
          <w:noProof/>
        </w:rPr>
        <w:t xml:space="preserve"> se duplique de aquí a 2050, lo que hace que el abastecimiento diversificado sea esencial para aumentar la seguridad del suministro en Europa. Las materias primas críticas también son cr</w:t>
      </w:r>
      <w:r>
        <w:rPr>
          <w:rFonts w:ascii="Times New Roman" w:hAnsi="Times New Roman"/>
          <w:noProof/>
        </w:rPr>
        <w:t xml:space="preserve">uciales para mercados como el de la electromovilidad, las baterías, las energías renovables, los productos farmacéuticos, la industria aeroespacial, la defensa y las aplicaciones digitales.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El acceso a medicamentos y productos farmacéuticos también es cru</w:t>
      </w:r>
      <w:r>
        <w:rPr>
          <w:rFonts w:ascii="Times New Roman" w:hAnsi="Times New Roman"/>
          <w:noProof/>
        </w:rPr>
        <w:t xml:space="preserve">cial para la seguridad y la autonomía de Europa en el mundo actual. Se presentará una </w:t>
      </w:r>
      <w:r>
        <w:rPr>
          <w:rFonts w:ascii="Times New Roman" w:hAnsi="Times New Roman"/>
          <w:b/>
          <w:noProof/>
        </w:rPr>
        <w:t>nueva estrategia farmacéutica de la UE</w:t>
      </w:r>
      <w:r>
        <w:rPr>
          <w:rFonts w:ascii="Times New Roman" w:hAnsi="Times New Roman"/>
          <w:noProof/>
        </w:rPr>
        <w:t xml:space="preserve"> centrada en la disponibilidad, la asequibilidad, la sostenibilidad y la seguridad del suministro de productos farmacéuticos, cuya i</w:t>
      </w:r>
      <w:r>
        <w:rPr>
          <w:rFonts w:ascii="Times New Roman" w:hAnsi="Times New Roman"/>
          <w:noProof/>
        </w:rPr>
        <w:t>mportancia ha quedado de manifiesto con ocasión de los recientes acontecimientos relacionados con la enfermedad del Coronavirus 2019 (COVID-19).</w:t>
      </w:r>
    </w:p>
    <w:tbl>
      <w:tblPr>
        <w:tblStyle w:val="TableGrid"/>
        <w:tblW w:w="9406" w:type="dxa"/>
        <w:shd w:val="clear" w:color="auto" w:fill="BDD6EE" w:themeFill="accent1" w:themeFillTint="66"/>
        <w:tblLook w:val="04A0" w:firstRow="1" w:lastRow="0" w:firstColumn="1" w:lastColumn="0" w:noHBand="0" w:noVBand="1"/>
      </w:tblPr>
      <w:tblGrid>
        <w:gridCol w:w="9406"/>
      </w:tblGrid>
      <w:tr w:rsidR="000A1FDE">
        <w:trPr>
          <w:trHeight w:val="416"/>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spacing w:line="240" w:lineRule="auto"/>
              <w:jc w:val="center"/>
              <w:rPr>
                <w:rFonts w:ascii="Times New Roman" w:hAnsi="Times New Roman" w:cs="Times New Roman"/>
                <w:noProof/>
                <w:sz w:val="24"/>
                <w:szCs w:val="24"/>
              </w:rPr>
            </w:pPr>
            <w:r>
              <w:rPr>
                <w:rFonts w:ascii="Times New Roman" w:hAnsi="Times New Roman"/>
                <w:b/>
                <w:noProof/>
              </w:rPr>
              <w:t>De las palabras a la acción</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Seguimiento de la Comunicación sobre la tecnología 5G</w:t>
            </w:r>
            <w:r>
              <w:rPr>
                <w:rStyle w:val="FootnoteReference"/>
                <w:rFonts w:ascii="Times New Roman" w:hAnsi="Times New Roman" w:cs="Times New Roman"/>
                <w:b/>
                <w:noProof/>
              </w:rPr>
              <w:footnoteReference w:id="12"/>
            </w:r>
            <w:r>
              <w:rPr>
                <w:rFonts w:ascii="Times New Roman" w:hAnsi="Times New Roman"/>
                <w:b/>
                <w:noProof/>
              </w:rPr>
              <w:t xml:space="preserve"> y de la Recomendación sobre ciberseguridad de las redes 5G</w:t>
            </w:r>
            <w:r>
              <w:rPr>
                <w:rStyle w:val="FootnoteReference"/>
                <w:rFonts w:ascii="Times New Roman" w:hAnsi="Times New Roman" w:cs="Times New Roman"/>
                <w:b/>
                <w:noProof/>
              </w:rPr>
              <w:footnoteReference w:id="13"/>
            </w:r>
            <w:r>
              <w:rPr>
                <w:noProof/>
              </w:rPr>
              <w:t>.</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Plan de acción sobre las sinergias entre las industrias civil, de la defensa y del espacio</w:t>
            </w:r>
            <w:r>
              <w:rPr>
                <w:rFonts w:ascii="Times New Roman" w:hAnsi="Times New Roman"/>
                <w:noProof/>
              </w:rPr>
              <w:t>, incluso a nivel de los programas, las tecnologías, la innovación y las empresas emergentes.</w:t>
            </w:r>
            <w:r>
              <w:rPr>
                <w:rFonts w:ascii="Times New Roman" w:hAnsi="Times New Roman"/>
                <w:b/>
                <w:noProof/>
              </w:rPr>
              <w:t xml:space="preserve"> </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b/>
                <w:noProof/>
              </w:rPr>
              <w:t>Una nueva</w:t>
            </w:r>
            <w:r>
              <w:rPr>
                <w:rFonts w:ascii="Times New Roman" w:hAnsi="Times New Roman"/>
                <w:b/>
                <w:noProof/>
              </w:rPr>
              <w:t xml:space="preserve"> estrategia farmacéutica de la UE</w:t>
            </w:r>
            <w:r>
              <w:rPr>
                <w:rFonts w:ascii="Times New Roman" w:hAnsi="Times New Roman"/>
                <w:noProof/>
              </w:rPr>
              <w:t xml:space="preserve"> en 2020, que incluya medidas para garantizar el suministro y la innovación para los pacientes.</w:t>
            </w:r>
          </w:p>
          <w:p w:rsidR="000A1FDE" w:rsidRDefault="00D36882">
            <w:pPr>
              <w:pStyle w:val="ListParagraph"/>
              <w:numPr>
                <w:ilvl w:val="0"/>
                <w:numId w:val="18"/>
              </w:numPr>
              <w:spacing w:line="240" w:lineRule="auto"/>
              <w:jc w:val="both"/>
              <w:rPr>
                <w:rFonts w:ascii="Times New Roman" w:hAnsi="Times New Roman" w:cs="Times New Roman"/>
                <w:noProof/>
                <w:sz w:val="24"/>
                <w:szCs w:val="24"/>
              </w:rPr>
            </w:pPr>
            <w:r>
              <w:rPr>
                <w:rFonts w:ascii="Times New Roman" w:hAnsi="Times New Roman"/>
                <w:noProof/>
              </w:rPr>
              <w:t xml:space="preserve">Un plan de acción sobre las </w:t>
            </w:r>
            <w:r>
              <w:rPr>
                <w:rFonts w:ascii="Times New Roman" w:hAnsi="Times New Roman"/>
                <w:b/>
                <w:noProof/>
              </w:rPr>
              <w:t>materias primas críticas</w:t>
            </w:r>
            <w:r>
              <w:rPr>
                <w:rFonts w:ascii="Times New Roman" w:hAnsi="Times New Roman"/>
                <w:noProof/>
              </w:rPr>
              <w:t>, que incluya esfuerzos por ampliar las asociaciones internacionales para e</w:t>
            </w:r>
            <w:r>
              <w:rPr>
                <w:rFonts w:ascii="Times New Roman" w:hAnsi="Times New Roman"/>
                <w:noProof/>
              </w:rPr>
              <w:t>l acceso a las materias primas.</w:t>
            </w:r>
          </w:p>
        </w:tc>
      </w:tr>
    </w:tbl>
    <w:p w:rsidR="000A1FDE" w:rsidRDefault="00D36882">
      <w:pPr>
        <w:pStyle w:val="Heading1"/>
        <w:numPr>
          <w:ilvl w:val="0"/>
          <w:numId w:val="0"/>
        </w:numPr>
        <w:ind w:hanging="284"/>
        <w:rPr>
          <w:noProof/>
        </w:rPr>
      </w:pPr>
      <w:r>
        <w:rPr>
          <w:noProof/>
        </w:rPr>
        <w:br/>
        <w:t>5. Estableciendo vínculos: un enfoque asociativo hacia la gobernanza</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industria europea debe aprovechar sus singulares características y puntos fuertes: su integración a través de las cadenas de valor y las fronteras, su</w:t>
      </w:r>
      <w:r>
        <w:rPr>
          <w:rFonts w:ascii="Times New Roman" w:hAnsi="Times New Roman"/>
          <w:noProof/>
        </w:rPr>
        <w:t xml:space="preserve"> diversidad, sus tradiciones y sus gentes. A medida que la doble transición va cobrando velocidad y la competencia mundial se hace más feroz, la industria europea también se va transformando. En este contexto, existen vínculos cada vez más estrechos entre </w:t>
      </w:r>
      <w:r>
        <w:rPr>
          <w:rFonts w:ascii="Times New Roman" w:hAnsi="Times New Roman"/>
          <w:noProof/>
        </w:rPr>
        <w:t xml:space="preserve">diferentes productos y servicios en todos los sectores. </w:t>
      </w:r>
    </w:p>
    <w:p w:rsidR="000A1FDE" w:rsidRDefault="00D36882">
      <w:pPr>
        <w:spacing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rPr>
        <w:t xml:space="preserve">Además de centrarse en tecnologías específicas, Europa también debe examinar detenidamente las oportunidades y los retos que se presentan a </w:t>
      </w:r>
      <w:r>
        <w:rPr>
          <w:rFonts w:ascii="Times New Roman" w:hAnsi="Times New Roman"/>
          <w:b/>
          <w:noProof/>
        </w:rPr>
        <w:t>los ecosistemas industriales</w:t>
      </w:r>
      <w:r>
        <w:rPr>
          <w:rFonts w:ascii="Times New Roman" w:hAnsi="Times New Roman"/>
          <w:noProof/>
        </w:rPr>
        <w:t xml:space="preserve">. Estos ecosistemas engloban a </w:t>
      </w:r>
      <w:r>
        <w:rPr>
          <w:rFonts w:ascii="Times New Roman" w:hAnsi="Times New Roman"/>
          <w:noProof/>
        </w:rPr>
        <w:t>todas las partes que operan en una cadena de valor: desde las empresas emergentes más pequeñas hasta las compañías más grandes, desde el mundo académico hasta el personal investigador y desde los prestadores de servicios hasta los proveedores.</w:t>
      </w:r>
      <w:r>
        <w:rPr>
          <w:rFonts w:ascii="Times New Roman" w:hAnsi="Times New Roman"/>
          <w:noProof/>
          <w:bdr w:val="none" w:sz="0" w:space="0" w:color="auto" w:frame="1"/>
        </w:rPr>
        <w:t xml:space="preserve"> Cada uno de </w:t>
      </w:r>
      <w:r>
        <w:rPr>
          <w:rFonts w:ascii="Times New Roman" w:hAnsi="Times New Roman"/>
          <w:noProof/>
          <w:bdr w:val="none" w:sz="0" w:space="0" w:color="auto" w:frame="1"/>
        </w:rPr>
        <w:t xml:space="preserve">ellos con sus propias características. </w:t>
      </w:r>
    </w:p>
    <w:p w:rsidR="000A1FDE" w:rsidRDefault="00D36882">
      <w:pPr>
        <w:spacing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bdr w:val="none" w:sz="0" w:space="0" w:color="auto" w:frame="1"/>
        </w:rPr>
        <w:t xml:space="preserve">Partiendo de la labor de la Mesa Redonda Industrial de Alto Nivel 2030, el Foro Estratégico sobre los PIICE y otros organismos, la Comisión analizará sistemáticamente los distintos ecosistemas y </w:t>
      </w:r>
      <w:r>
        <w:rPr>
          <w:rFonts w:ascii="Times New Roman" w:hAnsi="Times New Roman"/>
          <w:b/>
          <w:noProof/>
          <w:bdr w:val="none" w:sz="0" w:space="0" w:color="auto" w:frame="1"/>
        </w:rPr>
        <w:t>evaluará los diferent</w:t>
      </w:r>
      <w:r>
        <w:rPr>
          <w:rFonts w:ascii="Times New Roman" w:hAnsi="Times New Roman"/>
          <w:b/>
          <w:noProof/>
          <w:bdr w:val="none" w:sz="0" w:space="0" w:color="auto" w:frame="1"/>
        </w:rPr>
        <w:t>es riesgos y necesidades de la industria</w:t>
      </w:r>
      <w:r>
        <w:rPr>
          <w:rFonts w:ascii="Times New Roman" w:hAnsi="Times New Roman"/>
          <w:noProof/>
          <w:bdr w:val="none" w:sz="0" w:space="0" w:color="auto" w:frame="1"/>
        </w:rPr>
        <w:t xml:space="preserve">, a medida que acomete la doble transición en un mundo más competitivo. Estudiará cuestiones como las capacidades de investigación e innovación, el papel de las pymes y las grandes compañías y las presiones externas </w:t>
      </w:r>
      <w:r>
        <w:rPr>
          <w:rFonts w:ascii="Times New Roman" w:hAnsi="Times New Roman"/>
          <w:noProof/>
          <w:bdr w:val="none" w:sz="0" w:space="0" w:color="auto" w:frame="1"/>
        </w:rPr>
        <w:t>o las dependencias.</w:t>
      </w:r>
    </w:p>
    <w:p w:rsidR="000A1FDE" w:rsidRDefault="00D36882">
      <w:pPr>
        <w:spacing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bdr w:val="none" w:sz="0" w:space="0" w:color="auto" w:frame="1"/>
        </w:rPr>
        <w:t xml:space="preserve">Para ello, la Comisión trabajará en estrecha colaboración con un </w:t>
      </w:r>
      <w:r>
        <w:rPr>
          <w:rFonts w:ascii="Times New Roman" w:hAnsi="Times New Roman"/>
          <w:b/>
          <w:noProof/>
          <w:bdr w:val="none" w:sz="0" w:space="0" w:color="auto" w:frame="1"/>
        </w:rPr>
        <w:t>foro industrial</w:t>
      </w:r>
      <w:r>
        <w:rPr>
          <w:rFonts w:ascii="Times New Roman" w:hAnsi="Times New Roman"/>
          <w:noProof/>
          <w:bdr w:val="none" w:sz="0" w:space="0" w:color="auto" w:frame="1"/>
        </w:rPr>
        <w:t xml:space="preserve"> inclusivo y abierto formado por representantes de la industria, incluidas las pymes, las grandes compañías, los interlocutores sociales, los investigadores</w:t>
      </w:r>
      <w:r>
        <w:rPr>
          <w:rFonts w:ascii="Times New Roman" w:hAnsi="Times New Roman"/>
          <w:noProof/>
          <w:bdr w:val="none" w:sz="0" w:space="0" w:color="auto" w:frame="1"/>
        </w:rPr>
        <w:t xml:space="preserve">, así como los Estados miembros y las instituciones de la Unión. Cuando sea necesario, se recurrirá a expertos de sectores específicos para que compartan sus conocimientos. </w:t>
      </w:r>
    </w:p>
    <w:p w:rsidR="000A1FDE" w:rsidRDefault="00D36882">
      <w:pPr>
        <w:spacing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bdr w:val="none" w:sz="0" w:space="0" w:color="auto" w:frame="1"/>
        </w:rPr>
        <w:t>Este trabajo puede poner de manifiesto que algunos de los ecosistemas, debido a su</w:t>
      </w:r>
      <w:r>
        <w:rPr>
          <w:rFonts w:ascii="Times New Roman" w:hAnsi="Times New Roman"/>
          <w:noProof/>
          <w:bdr w:val="none" w:sz="0" w:space="0" w:color="auto" w:frame="1"/>
        </w:rPr>
        <w:t xml:space="preserve"> naturaleza o necesidades específicas, requieren un apoyo concreto y personalizado. Dicho apoyo podría llegar en forma de acción reguladora, desbloqueo de financiación o máximo aprovechamiento de los instrumentos de defensa comercial. Constituiría entonces</w:t>
      </w:r>
      <w:r>
        <w:rPr>
          <w:rFonts w:ascii="Times New Roman" w:hAnsi="Times New Roman"/>
          <w:noProof/>
          <w:bdr w:val="none" w:sz="0" w:space="0" w:color="auto" w:frame="1"/>
        </w:rPr>
        <w:t xml:space="preserve"> una </w:t>
      </w:r>
      <w:r>
        <w:rPr>
          <w:rFonts w:ascii="Times New Roman" w:hAnsi="Times New Roman"/>
          <w:b/>
          <w:noProof/>
          <w:bdr w:val="none" w:sz="0" w:space="0" w:color="auto" w:frame="1"/>
        </w:rPr>
        <w:t>caja de herramientas específica</w:t>
      </w:r>
      <w:r>
        <w:rPr>
          <w:rFonts w:ascii="Times New Roman" w:hAnsi="Times New Roman"/>
          <w:noProof/>
          <w:bdr w:val="none" w:sz="0" w:space="0" w:color="auto" w:frame="1"/>
        </w:rPr>
        <w:t xml:space="preserve">. Se llevará a cabo un seguimiento continuo de los avances, en cooperación con el Parlamento Europeo y el Consejo. </w:t>
      </w:r>
    </w:p>
    <w:p w:rsidR="000A1FDE" w:rsidRDefault="00D36882">
      <w:pPr>
        <w:spacing w:line="240" w:lineRule="auto"/>
        <w:jc w:val="both"/>
        <w:rPr>
          <w:rFonts w:ascii="Times New Roman" w:eastAsia="Arial Unicode MS" w:hAnsi="Times New Roman" w:cs="Times New Roman"/>
          <w:noProof/>
          <w:sz w:val="24"/>
          <w:szCs w:val="24"/>
          <w:bdr w:val="none" w:sz="0" w:space="0" w:color="auto" w:frame="1"/>
        </w:rPr>
      </w:pPr>
      <w:r>
        <w:rPr>
          <w:rFonts w:ascii="Times New Roman" w:hAnsi="Times New Roman"/>
          <w:noProof/>
          <w:bdr w:val="none" w:sz="0" w:space="0" w:color="auto" w:frame="1"/>
        </w:rPr>
        <w:t xml:space="preserve">Cuando resulte necesario, el enfoque de las </w:t>
      </w:r>
      <w:r>
        <w:rPr>
          <w:rFonts w:ascii="Times New Roman" w:hAnsi="Times New Roman"/>
          <w:b/>
          <w:noProof/>
          <w:bdr w:val="none" w:sz="0" w:space="0" w:color="auto" w:frame="1"/>
        </w:rPr>
        <w:t>alianzas industriales</w:t>
      </w:r>
      <w:r>
        <w:rPr>
          <w:rFonts w:ascii="Times New Roman" w:hAnsi="Times New Roman"/>
          <w:noProof/>
          <w:bdr w:val="none" w:sz="0" w:space="0" w:color="auto" w:frame="1"/>
        </w:rPr>
        <w:t xml:space="preserve"> podría ser el instrumento adecuado. </w:t>
      </w:r>
      <w:r>
        <w:rPr>
          <w:rFonts w:ascii="Times New Roman" w:hAnsi="Times New Roman"/>
          <w:noProof/>
        </w:rPr>
        <w:t>Su</w:t>
      </w:r>
      <w:r>
        <w:rPr>
          <w:rFonts w:ascii="Times New Roman" w:hAnsi="Times New Roman"/>
          <w:noProof/>
        </w:rPr>
        <w:t xml:space="preserve"> utilidad ya ha quedado demostrada en el ámbito de las baterías, los plásticos y la microelectrónica. La Alianza Europea de Baterías ha logrado llevar a la Unión a una posición de vanguardia industrial en esta tecnología clave. Las alianzas pueden dirigir </w:t>
      </w:r>
      <w:r>
        <w:rPr>
          <w:rFonts w:ascii="Times New Roman" w:hAnsi="Times New Roman"/>
          <w:noProof/>
        </w:rPr>
        <w:t>el trabajo y ayudar a financiar proyectos a gran escala con efectos indirectos positivos en toda Europa utilizando el conocimiento de las pymes, las grandes compañías, los investigadores y las regiones para contribuir a eliminar los obstáculos a la innovac</w:t>
      </w:r>
      <w:r>
        <w:rPr>
          <w:rFonts w:ascii="Times New Roman" w:hAnsi="Times New Roman"/>
          <w:noProof/>
        </w:rPr>
        <w:t xml:space="preserve">ión y mejorar la coherencia de las políticas.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El hidrógeno limpio es un buen ejemplo de dónde puede tener un valor añadido real. Es disruptivo por naturaleza y requiere una mayor coordinación en toda la cadena de valor. A este respecto, la Comisión propon</w:t>
      </w:r>
      <w:r>
        <w:rPr>
          <w:rFonts w:ascii="Times New Roman" w:hAnsi="Times New Roman"/>
          <w:noProof/>
        </w:rPr>
        <w:t xml:space="preserve">drá en breve la puesta en marcha de la nueva </w:t>
      </w:r>
      <w:r>
        <w:rPr>
          <w:rFonts w:ascii="Times New Roman" w:hAnsi="Times New Roman"/>
          <w:b/>
          <w:noProof/>
        </w:rPr>
        <w:t>Alianza europea por un hidrógeno limpio</w:t>
      </w:r>
      <w:r>
        <w:rPr>
          <w:rFonts w:ascii="Times New Roman" w:hAnsi="Times New Roman"/>
          <w:noProof/>
        </w:rPr>
        <w:t>, que reunirá a los inversores con socios gubernamentales, institucionales e industriales. Dicha Alianza se basará en el trabajo existente para determinar las necesidades t</w:t>
      </w:r>
      <w:r>
        <w:rPr>
          <w:rFonts w:ascii="Times New Roman" w:hAnsi="Times New Roman"/>
          <w:noProof/>
        </w:rPr>
        <w:t xml:space="preserve">ecnológicas, las oportunidades de inversión, los obstáculos reglamentarios y los factores capacitadores. Las futuras alianzas deben </w:t>
      </w:r>
      <w:r>
        <w:rPr>
          <w:rFonts w:ascii="Times New Roman" w:hAnsi="Times New Roman"/>
          <w:b/>
          <w:noProof/>
        </w:rPr>
        <w:t>incluir también a las industrias hipocarbónicas, las nubes y plataformas industriales y las materias primas</w:t>
      </w:r>
      <w:r>
        <w:rPr>
          <w:rFonts w:ascii="Times New Roman" w:hAnsi="Times New Roman"/>
          <w:noProof/>
        </w:rPr>
        <w:t>.</w:t>
      </w:r>
    </w:p>
    <w:tbl>
      <w:tblPr>
        <w:tblStyle w:val="TableGrid"/>
        <w:tblpPr w:leftFromText="180" w:rightFromText="180" w:vertAnchor="text" w:horzAnchor="margin" w:tblpY="53"/>
        <w:tblW w:w="9406" w:type="dxa"/>
        <w:shd w:val="clear" w:color="auto" w:fill="BDD6EE" w:themeFill="accent1" w:themeFillTint="66"/>
        <w:tblLook w:val="04A0" w:firstRow="1" w:lastRow="0" w:firstColumn="1" w:lastColumn="0" w:noHBand="0" w:noVBand="1"/>
      </w:tblPr>
      <w:tblGrid>
        <w:gridCol w:w="9406"/>
      </w:tblGrid>
      <w:tr w:rsidR="000A1FDE">
        <w:trPr>
          <w:trHeight w:val="552"/>
        </w:trPr>
        <w:tc>
          <w:tcPr>
            <w:tcW w:w="94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A1FDE" w:rsidRDefault="00D36882">
            <w:pPr>
              <w:jc w:val="center"/>
              <w:rPr>
                <w:rFonts w:ascii="Times New Roman" w:hAnsi="Times New Roman" w:cs="Times New Roman"/>
                <w:b/>
                <w:noProof/>
                <w:sz w:val="24"/>
                <w:szCs w:val="24"/>
              </w:rPr>
            </w:pPr>
            <w:r>
              <w:rPr>
                <w:rFonts w:ascii="Times New Roman" w:hAnsi="Times New Roman"/>
                <w:b/>
                <w:noProof/>
              </w:rPr>
              <w:t>De las palabras</w:t>
            </w:r>
            <w:r>
              <w:rPr>
                <w:rFonts w:ascii="Times New Roman" w:hAnsi="Times New Roman"/>
                <w:b/>
                <w:noProof/>
              </w:rPr>
              <w:t xml:space="preserve"> a la acción</w:t>
            </w:r>
          </w:p>
          <w:p w:rsidR="000A1FDE" w:rsidRDefault="00D36882">
            <w:pPr>
              <w:pStyle w:val="ListParagraph"/>
              <w:numPr>
                <w:ilvl w:val="0"/>
                <w:numId w:val="18"/>
              </w:numPr>
              <w:spacing w:after="0" w:line="240" w:lineRule="auto"/>
              <w:rPr>
                <w:rFonts w:ascii="Times New Roman" w:hAnsi="Times New Roman" w:cs="Times New Roman"/>
                <w:noProof/>
                <w:sz w:val="24"/>
                <w:szCs w:val="24"/>
              </w:rPr>
            </w:pPr>
            <w:r>
              <w:rPr>
                <w:rFonts w:ascii="Times New Roman" w:hAnsi="Times New Roman"/>
                <w:noProof/>
              </w:rPr>
              <w:t xml:space="preserve">Tomando por modelo el éxito de las alianzas industriales, se pondrá en marcha la nueva </w:t>
            </w:r>
            <w:r>
              <w:rPr>
                <w:rFonts w:ascii="Times New Roman" w:hAnsi="Times New Roman"/>
                <w:b/>
                <w:noProof/>
              </w:rPr>
              <w:t>Alianza europea por un hidrógeno limpio</w:t>
            </w:r>
            <w:r>
              <w:rPr>
                <w:rFonts w:ascii="Times New Roman" w:hAnsi="Times New Roman"/>
                <w:noProof/>
              </w:rPr>
              <w:t xml:space="preserve">. Deben seguirle, cuando estén listas, alianzas sobre industrias hipocarbónicas, nubes y plataformas industriales y </w:t>
            </w:r>
            <w:r>
              <w:rPr>
                <w:rFonts w:ascii="Times New Roman" w:hAnsi="Times New Roman"/>
                <w:noProof/>
              </w:rPr>
              <w:t>materias primas.</w:t>
            </w:r>
          </w:p>
          <w:p w:rsidR="000A1FDE" w:rsidRDefault="00D36882">
            <w:pPr>
              <w:pStyle w:val="ListParagraph"/>
              <w:numPr>
                <w:ilvl w:val="0"/>
                <w:numId w:val="18"/>
              </w:numPr>
              <w:spacing w:after="0" w:line="240" w:lineRule="auto"/>
              <w:rPr>
                <w:rFonts w:ascii="Times New Roman" w:hAnsi="Times New Roman" w:cs="Times New Roman"/>
                <w:noProof/>
                <w:sz w:val="24"/>
                <w:szCs w:val="24"/>
              </w:rPr>
            </w:pPr>
            <w:r>
              <w:rPr>
                <w:rFonts w:ascii="Times New Roman" w:hAnsi="Times New Roman"/>
                <w:noProof/>
              </w:rPr>
              <w:t xml:space="preserve">La Comisión llevará a cabo un estudio y un </w:t>
            </w:r>
            <w:r>
              <w:rPr>
                <w:rFonts w:ascii="Times New Roman" w:hAnsi="Times New Roman"/>
                <w:b/>
                <w:noProof/>
              </w:rPr>
              <w:t>análisis exhaustivos de las necesidades industriales</w:t>
            </w:r>
            <w:r>
              <w:rPr>
                <w:rFonts w:ascii="Times New Roman" w:hAnsi="Times New Roman"/>
                <w:noProof/>
              </w:rPr>
              <w:t xml:space="preserve"> y </w:t>
            </w:r>
            <w:r>
              <w:rPr>
                <w:rFonts w:ascii="Times New Roman" w:hAnsi="Times New Roman"/>
                <w:b/>
                <w:noProof/>
              </w:rPr>
              <w:t>determinará qué ecosistemas necesitan un enfoque a medida</w:t>
            </w:r>
            <w:r>
              <w:rPr>
                <w:rFonts w:ascii="Times New Roman" w:hAnsi="Times New Roman"/>
                <w:noProof/>
              </w:rPr>
              <w:t xml:space="preserve">. </w:t>
            </w:r>
          </w:p>
          <w:p w:rsidR="000A1FDE" w:rsidRDefault="00D36882">
            <w:pPr>
              <w:pStyle w:val="ListParagraph"/>
              <w:numPr>
                <w:ilvl w:val="0"/>
                <w:numId w:val="18"/>
              </w:numPr>
              <w:spacing w:after="0" w:line="240" w:lineRule="auto"/>
              <w:rPr>
                <w:rFonts w:ascii="Times New Roman" w:hAnsi="Times New Roman" w:cs="Times New Roman"/>
                <w:noProof/>
                <w:sz w:val="24"/>
                <w:szCs w:val="24"/>
              </w:rPr>
            </w:pPr>
            <w:r>
              <w:rPr>
                <w:rFonts w:ascii="Times New Roman" w:hAnsi="Times New Roman"/>
                <w:noProof/>
              </w:rPr>
              <w:t xml:space="preserve">A más tardar en septiembre de 2020, se creará un </w:t>
            </w:r>
            <w:r>
              <w:rPr>
                <w:rFonts w:ascii="Times New Roman" w:hAnsi="Times New Roman"/>
                <w:b/>
                <w:noProof/>
              </w:rPr>
              <w:t>foro industrial</w:t>
            </w:r>
            <w:r>
              <w:rPr>
                <w:rFonts w:ascii="Times New Roman" w:hAnsi="Times New Roman"/>
                <w:noProof/>
              </w:rPr>
              <w:t xml:space="preserve"> inclusivo y abie</w:t>
            </w:r>
            <w:r>
              <w:rPr>
                <w:rFonts w:ascii="Times New Roman" w:hAnsi="Times New Roman"/>
                <w:noProof/>
              </w:rPr>
              <w:t>rto para respaldar este trabajo.</w:t>
            </w:r>
          </w:p>
        </w:tc>
      </w:tr>
    </w:tbl>
    <w:p w:rsidR="000A1FDE" w:rsidRDefault="000A1FDE">
      <w:pPr>
        <w:rPr>
          <w:noProof/>
        </w:rPr>
      </w:pPr>
    </w:p>
    <w:p w:rsidR="000A1FDE" w:rsidRDefault="00D36882">
      <w:pPr>
        <w:pStyle w:val="Heading1"/>
        <w:numPr>
          <w:ilvl w:val="0"/>
          <w:numId w:val="19"/>
        </w:numPr>
        <w:rPr>
          <w:noProof/>
        </w:rPr>
      </w:pPr>
      <w:r>
        <w:rPr>
          <w:noProof/>
        </w:rPr>
        <w:t xml:space="preserve">Conclusión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La presente estrategia sienta las bases para una política industrial que apoye la doble transición, aumente la competitividad de la industria de la Unión a nivel mundial y mejore la autonomía estratégica de Eu</w:t>
      </w:r>
      <w:r>
        <w:rPr>
          <w:rFonts w:ascii="Times New Roman" w:hAnsi="Times New Roman"/>
          <w:noProof/>
        </w:rPr>
        <w:t xml:space="preserve">ropa. </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Dadas las importantes repercusiones sociales de los cambios que se avecinan, será esencial el diálogo con los interlocutores sociales y la sociedad civil. Las </w:t>
      </w:r>
      <w:r>
        <w:rPr>
          <w:rFonts w:ascii="Times New Roman" w:hAnsi="Times New Roman"/>
          <w:b/>
          <w:noProof/>
        </w:rPr>
        <w:t>Jornadas de la Industria</w:t>
      </w:r>
      <w:r>
        <w:rPr>
          <w:rFonts w:ascii="Times New Roman" w:hAnsi="Times New Roman"/>
          <w:noProof/>
        </w:rPr>
        <w:t xml:space="preserve"> anuales de la Comisión seguirán siendo un acontecimiento importan</w:t>
      </w:r>
      <w:r>
        <w:rPr>
          <w:rFonts w:ascii="Times New Roman" w:hAnsi="Times New Roman"/>
          <w:noProof/>
        </w:rPr>
        <w:t>te para reunir a todos los actores. La Comisión propondrá que las presidencias del Consejo y los Estados miembros interesados acojan dichas Jornadas en sus respectivos países.</w:t>
      </w:r>
    </w:p>
    <w:p w:rsidR="000A1FDE" w:rsidRDefault="00D36882">
      <w:pPr>
        <w:spacing w:line="240" w:lineRule="auto"/>
        <w:jc w:val="both"/>
        <w:rPr>
          <w:rFonts w:ascii="Times New Roman" w:hAnsi="Times New Roman" w:cs="Times New Roman"/>
          <w:noProof/>
          <w:sz w:val="24"/>
          <w:szCs w:val="24"/>
        </w:rPr>
      </w:pPr>
      <w:r>
        <w:rPr>
          <w:rFonts w:ascii="Times New Roman" w:hAnsi="Times New Roman"/>
          <w:noProof/>
        </w:rPr>
        <w:t xml:space="preserve">La Comisión se esforzará por aumentar la apropiación política de la estrategia, </w:t>
      </w:r>
      <w:r>
        <w:rPr>
          <w:rFonts w:ascii="Times New Roman" w:hAnsi="Times New Roman"/>
          <w:noProof/>
        </w:rPr>
        <w:t>proponiendo un punto permanente en el Consejo de Competitividad y en el Parlamento Europeo para evaluar los progresos realizados. Esto se llevará a cabo sobre la base de un seguimiento periódico de la ejecución de la estrategia y el análisis de una serie d</w:t>
      </w:r>
      <w:r>
        <w:rPr>
          <w:rFonts w:ascii="Times New Roman" w:hAnsi="Times New Roman"/>
          <w:noProof/>
        </w:rPr>
        <w:t xml:space="preserve">e indicadores de rendimiento clave. </w:t>
      </w:r>
    </w:p>
    <w:p w:rsidR="000A1FDE" w:rsidRDefault="00D36882">
      <w:pPr>
        <w:spacing w:line="240" w:lineRule="auto"/>
        <w:jc w:val="both"/>
        <w:rPr>
          <w:noProof/>
        </w:rPr>
      </w:pPr>
      <w:r>
        <w:rPr>
          <w:rFonts w:ascii="Times New Roman" w:hAnsi="Times New Roman"/>
          <w:noProof/>
        </w:rPr>
        <w:t>Solo un compromiso compartido entre la Unión, sus Estados miembros y sus regiones, la industria, las pymes y todas las demás partes interesadas pertinentes en una asociación renovada permitirá a Europa aprovechar al máx</w:t>
      </w:r>
      <w:r>
        <w:rPr>
          <w:rFonts w:ascii="Times New Roman" w:hAnsi="Times New Roman"/>
          <w:noProof/>
        </w:rPr>
        <w:t>imo la transformación industrial. El Consejo Europeo de marzo de 2020 brinda una oportunidad para apoyar esta asociación renovada sobre la base de una visión y unos objetivos compartidos.</w:t>
      </w:r>
      <w:bookmarkStart w:id="1" w:name="_GoBack"/>
      <w:bookmarkEnd w:id="1"/>
    </w:p>
    <w:sectPr w:rsidR="000A1FD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DE" w:rsidRDefault="00D36882">
      <w:pPr>
        <w:spacing w:after="0" w:line="240" w:lineRule="auto"/>
      </w:pPr>
      <w:r>
        <w:separator/>
      </w:r>
    </w:p>
  </w:endnote>
  <w:endnote w:type="continuationSeparator" w:id="0">
    <w:p w:rsidR="000A1FDE" w:rsidRDefault="00D36882">
      <w:pPr>
        <w:spacing w:after="0" w:line="240" w:lineRule="auto"/>
      </w:pPr>
      <w:r>
        <w:continuationSeparator/>
      </w:r>
    </w:p>
  </w:endnote>
  <w:endnote w:type="continuationNotice" w:id="1">
    <w:p w:rsidR="000A1FDE" w:rsidRDefault="000A1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D36882">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68677"/>
      <w:docPartObj>
        <w:docPartGallery w:val="Page Numbers (Bottom of Page)"/>
        <w:docPartUnique/>
      </w:docPartObj>
    </w:sdtPr>
    <w:sdtEndPr>
      <w:rPr>
        <w:rFonts w:ascii="Times New Roman" w:hAnsi="Times New Roman" w:cs="Times New Roman"/>
        <w:noProof/>
        <w:sz w:val="24"/>
        <w:szCs w:val="24"/>
      </w:rPr>
    </w:sdtEndPr>
    <w:sdtContent>
      <w:p w:rsidR="000A1FDE" w:rsidRDefault="00D36882">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16</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DE" w:rsidRDefault="00D36882">
      <w:pPr>
        <w:spacing w:after="0" w:line="240" w:lineRule="auto"/>
      </w:pPr>
      <w:r>
        <w:separator/>
      </w:r>
    </w:p>
  </w:footnote>
  <w:footnote w:type="continuationSeparator" w:id="0">
    <w:p w:rsidR="000A1FDE" w:rsidRDefault="00D36882">
      <w:pPr>
        <w:spacing w:after="0" w:line="240" w:lineRule="auto"/>
      </w:pPr>
      <w:r>
        <w:continuationSeparator/>
      </w:r>
    </w:p>
  </w:footnote>
  <w:footnote w:type="continuationNotice" w:id="1">
    <w:p w:rsidR="000A1FDE" w:rsidRDefault="000A1FDE">
      <w:pPr>
        <w:spacing w:after="0" w:line="240" w:lineRule="auto"/>
      </w:pPr>
    </w:p>
  </w:footnote>
  <w:footnote w:id="2">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COM(2019) 640 final.</w:t>
      </w:r>
    </w:p>
  </w:footnote>
  <w:footnote w:id="3">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r>
        <w:rPr>
          <w:rFonts w:ascii="Times New Roman" w:hAnsi="Times New Roman"/>
        </w:rPr>
        <w:t>COM(2020) 67 final.</w:t>
      </w:r>
    </w:p>
  </w:footnote>
  <w:footnote w:id="4">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Paralelamente a la presente Comunicación, se adopta una estrategia específica para las pymes: Estrategia para las pymes en pro de una Europa sostenible y digital, COM(2020) 103 final.</w:t>
      </w:r>
    </w:p>
  </w:footnote>
  <w:footnote w:id="5">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COM(2020) 66 final. </w:t>
      </w:r>
    </w:p>
  </w:footnote>
  <w:footnote w:id="6">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Comunicación titulada «De</w:t>
      </w:r>
      <w:r>
        <w:rPr>
          <w:rFonts w:ascii="Times New Roman" w:hAnsi="Times New Roman"/>
        </w:rPr>
        <w:t>terminar y abordar las barreras del mercado único», COM(2020) 93 final, e informe que la acompaña.</w:t>
      </w:r>
    </w:p>
  </w:footnote>
  <w:footnote w:id="7">
    <w:p w:rsidR="000A1FDE" w:rsidRDefault="00D36882">
      <w:pPr>
        <w:pStyle w:val="FootnoteText"/>
        <w:ind w:left="284" w:hanging="284"/>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Plan de acción a largo plazo para mejorar la aplicación y el cumplimiento de las normas del mercado único, COM(2020) 94 final.</w:t>
      </w:r>
    </w:p>
  </w:footnote>
  <w:footnote w:id="8">
    <w:p w:rsidR="000A1FDE" w:rsidRDefault="00D36882">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ab/>
      </w:r>
      <w:r>
        <w:rPr>
          <w:rFonts w:ascii="Times New Roman" w:hAnsi="Times New Roman"/>
          <w:lang w:val="en-US"/>
        </w:rPr>
        <w:t>COM(2020) 22 final.</w:t>
      </w:r>
    </w:p>
  </w:footnote>
  <w:footnote w:id="9">
    <w:p w:rsidR="000A1FDE" w:rsidRDefault="00D36882">
      <w:pPr>
        <w:pStyle w:val="FootnoteText"/>
        <w:ind w:left="284" w:hanging="284"/>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ab/>
      </w:r>
      <w:r>
        <w:rPr>
          <w:rFonts w:ascii="Times New Roman" w:hAnsi="Times New Roman"/>
          <w:lang w:val="en-US"/>
        </w:rPr>
        <w:t>COM(</w:t>
      </w:r>
      <w:r>
        <w:rPr>
          <w:rFonts w:ascii="Times New Roman" w:hAnsi="Times New Roman"/>
          <w:lang w:val="en-US"/>
        </w:rPr>
        <w:t>2020) 98 final.</w:t>
      </w:r>
    </w:p>
  </w:footnote>
  <w:footnote w:id="10">
    <w:p w:rsidR="000A1FDE" w:rsidRDefault="00D36882">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ab/>
      </w:r>
      <w:r>
        <w:rPr>
          <w:rFonts w:ascii="Times New Roman" w:hAnsi="Times New Roman"/>
          <w:lang w:val="en-US"/>
        </w:rPr>
        <w:t>COM(2020) 80 final.</w:t>
      </w:r>
    </w:p>
  </w:footnote>
  <w:footnote w:id="11">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Reglamento (UE) 2019/452.</w:t>
      </w:r>
    </w:p>
  </w:footnote>
  <w:footnote w:id="12">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COM(2020) 50 final.</w:t>
      </w:r>
    </w:p>
  </w:footnote>
  <w:footnote w:id="13">
    <w:p w:rsidR="000A1FDE" w:rsidRDefault="00D368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COM(2019) 2335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E" w:rsidRDefault="000A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85"/>
    <w:multiLevelType w:val="hybridMultilevel"/>
    <w:tmpl w:val="0A50E590"/>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253B3E"/>
    <w:multiLevelType w:val="multilevel"/>
    <w:tmpl w:val="EF8EDF6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7B4BA5"/>
    <w:multiLevelType w:val="multilevel"/>
    <w:tmpl w:val="EE4EAA2C"/>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85238E"/>
    <w:multiLevelType w:val="multilevel"/>
    <w:tmpl w:val="D18A1D32"/>
    <w:lvl w:ilvl="0">
      <w:start w:val="3"/>
      <w:numFmt w:val="decimal"/>
      <w:lvlText w:val="%1"/>
      <w:lvlJc w:val="left"/>
      <w:pPr>
        <w:ind w:left="360" w:hanging="360"/>
      </w:pPr>
      <w:rPr>
        <w:rFonts w:eastAsia="Calibri" w:cs="Calibri" w:hint="default"/>
        <w:i w:val="0"/>
        <w:color w:val="000000"/>
      </w:rPr>
    </w:lvl>
    <w:lvl w:ilvl="1">
      <w:start w:val="4"/>
      <w:numFmt w:val="decimal"/>
      <w:lvlText w:val="%1.%2"/>
      <w:lvlJc w:val="left"/>
      <w:pPr>
        <w:ind w:left="360" w:hanging="360"/>
      </w:pPr>
      <w:rPr>
        <w:rFonts w:eastAsia="Calibri" w:cs="Calibri" w:hint="default"/>
        <w:i/>
        <w:color w:val="000000"/>
      </w:rPr>
    </w:lvl>
    <w:lvl w:ilvl="2">
      <w:start w:val="1"/>
      <w:numFmt w:val="decimal"/>
      <w:lvlText w:val="%1.%2.%3"/>
      <w:lvlJc w:val="left"/>
      <w:pPr>
        <w:ind w:left="720" w:hanging="720"/>
      </w:pPr>
      <w:rPr>
        <w:rFonts w:eastAsia="Calibri" w:cs="Calibri" w:hint="default"/>
        <w:i w:val="0"/>
        <w:color w:val="000000"/>
      </w:rPr>
    </w:lvl>
    <w:lvl w:ilvl="3">
      <w:start w:val="1"/>
      <w:numFmt w:val="decimal"/>
      <w:lvlText w:val="%1.%2.%3.%4"/>
      <w:lvlJc w:val="left"/>
      <w:pPr>
        <w:ind w:left="720" w:hanging="720"/>
      </w:pPr>
      <w:rPr>
        <w:rFonts w:eastAsia="Calibri" w:cs="Calibri" w:hint="default"/>
        <w:i w:val="0"/>
        <w:color w:val="000000"/>
      </w:rPr>
    </w:lvl>
    <w:lvl w:ilvl="4">
      <w:start w:val="1"/>
      <w:numFmt w:val="decimal"/>
      <w:lvlText w:val="%1.%2.%3.%4.%5"/>
      <w:lvlJc w:val="left"/>
      <w:pPr>
        <w:ind w:left="1080" w:hanging="1080"/>
      </w:pPr>
      <w:rPr>
        <w:rFonts w:eastAsia="Calibri" w:cs="Calibri" w:hint="default"/>
        <w:i w:val="0"/>
        <w:color w:val="000000"/>
      </w:rPr>
    </w:lvl>
    <w:lvl w:ilvl="5">
      <w:start w:val="1"/>
      <w:numFmt w:val="decimal"/>
      <w:lvlText w:val="%1.%2.%3.%4.%5.%6"/>
      <w:lvlJc w:val="left"/>
      <w:pPr>
        <w:ind w:left="1080" w:hanging="1080"/>
      </w:pPr>
      <w:rPr>
        <w:rFonts w:eastAsia="Calibri" w:cs="Calibri" w:hint="default"/>
        <w:i w:val="0"/>
        <w:color w:val="000000"/>
      </w:rPr>
    </w:lvl>
    <w:lvl w:ilvl="6">
      <w:start w:val="1"/>
      <w:numFmt w:val="decimal"/>
      <w:lvlText w:val="%1.%2.%3.%4.%5.%6.%7"/>
      <w:lvlJc w:val="left"/>
      <w:pPr>
        <w:ind w:left="1440" w:hanging="1440"/>
      </w:pPr>
      <w:rPr>
        <w:rFonts w:eastAsia="Calibri" w:cs="Calibri" w:hint="default"/>
        <w:i w:val="0"/>
        <w:color w:val="000000"/>
      </w:rPr>
    </w:lvl>
    <w:lvl w:ilvl="7">
      <w:start w:val="1"/>
      <w:numFmt w:val="decimal"/>
      <w:lvlText w:val="%1.%2.%3.%4.%5.%6.%7.%8"/>
      <w:lvlJc w:val="left"/>
      <w:pPr>
        <w:ind w:left="1440" w:hanging="1440"/>
      </w:pPr>
      <w:rPr>
        <w:rFonts w:eastAsia="Calibri" w:cs="Calibri" w:hint="default"/>
        <w:i w:val="0"/>
        <w:color w:val="000000"/>
      </w:rPr>
    </w:lvl>
    <w:lvl w:ilvl="8">
      <w:start w:val="1"/>
      <w:numFmt w:val="decimal"/>
      <w:lvlText w:val="%1.%2.%3.%4.%5.%6.%7.%8.%9"/>
      <w:lvlJc w:val="left"/>
      <w:pPr>
        <w:ind w:left="1800" w:hanging="1800"/>
      </w:pPr>
      <w:rPr>
        <w:rFonts w:eastAsia="Calibri" w:cs="Calibri" w:hint="default"/>
        <w:i w:val="0"/>
        <w:color w:val="000000"/>
      </w:rPr>
    </w:lvl>
  </w:abstractNum>
  <w:abstractNum w:abstractNumId="4" w15:restartNumberingAfterBreak="0">
    <w:nsid w:val="577C7135"/>
    <w:multiLevelType w:val="multilevel"/>
    <w:tmpl w:val="B8E261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DE6432"/>
    <w:multiLevelType w:val="multilevel"/>
    <w:tmpl w:val="2A1E3E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308DB"/>
    <w:multiLevelType w:val="hybridMultilevel"/>
    <w:tmpl w:val="B4B4DC6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lvlOverride w:ilvl="0">
      <w:startOverride w:val="6"/>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0DE6D267-1817-40DC-A795-BC6609DBC324"/>
    <w:docVar w:name="LW_COVERPAGE_TYPE" w:val="1"/>
    <w:docVar w:name="LW_CROSSREFERENCE" w:val="&lt;UNUSED&gt;"/>
    <w:docVar w:name="LW_DATE.ADOPT.CP_ISODATE" w:val="&lt;EMPTY&gt;"/>
    <w:docVar w:name="LW_DocType" w:val="NORMAL"/>
    <w:docVar w:name="LW_EMISSION" w:val="10.3.2020"/>
    <w:docVar w:name="LW_EMISSION_ISODATE" w:val="2020-03-10"/>
    <w:docVar w:name="LW_EMISSION_LOCATION" w:val="BRX"/>
    <w:docVar w:name="LW_EMISSION_PREFIX" w:val="Bruselas, "/>
    <w:docVar w:name="LW_EMISSION_SUFFIX" w:val=" "/>
    <w:docVar w:name="LW_ID_DOCTYPE_NONLW" w:val="CP-009"/>
    <w:docVar w:name="LW_INTERETEEE.CP" w:val="&lt;UNUSED&gt;"/>
    <w:docVar w:name="LW_LANGUE" w:val="ES"/>
    <w:docVar w:name="LW_LANGUESFAISANTFOI.CP" w:val="&lt;UNUSED&gt;"/>
    <w:docVar w:name="LW_LEVEL_OF_SENSITIVITY" w:val="Standard treatment"/>
    <w:docVar w:name="LW_NOM.INST" w:val="COMISIÓN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 nuevo modelo de industria para Europa"/>
    <w:docVar w:name="LW_TYPE.DOC.CP" w:val="COMUNICACIÓN DE LA COMISIÓN"/>
    <w:docVar w:name="LW_TYPE.DOC.CP.USERTEXT" w:val="AL PARLAMENTO EUROPEO, AL CONSEJO, AL COMITÉ ECONÓMICO Y SOCIAL EUROPEO Y AL COMITÉ DE LAS REGIONES"/>
    <w:docVar w:name="LW_TYPEACTEPRINCIPAL.CP" w:val="&lt;UNUSED&gt;"/>
  </w:docVars>
  <w:rsids>
    <w:rsidRoot w:val="000A1FDE"/>
    <w:rsid w:val="000A1FDE"/>
    <w:rsid w:val="00D3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20EC6B"/>
  <w15:docId w15:val="{C2D0684E-9C9E-4871-8909-9E8D9217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ListParagraph"/>
    <w:next w:val="Normal"/>
    <w:link w:val="Heading1Char"/>
    <w:uiPriority w:val="9"/>
    <w:qFormat/>
    <w:pPr>
      <w:keepNext/>
      <w:numPr>
        <w:numId w:val="1"/>
      </w:numPr>
      <w:spacing w:line="240" w:lineRule="auto"/>
      <w:ind w:left="284" w:hanging="284"/>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es-ES"/>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s-E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rPr>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Revision">
    <w:name w:val="Revision"/>
    <w:hidden/>
    <w:uiPriority w:val="99"/>
    <w:semiHidden/>
    <w:pPr>
      <w:spacing w:after="0" w:line="240" w:lineRule="auto"/>
    </w:pPr>
  </w:style>
  <w:style w:type="paragraph" w:customStyle="1" w:styleId="BodyA">
    <w:name w:val="Body 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uiPriority w:val="9"/>
    <w:rPr>
      <w:rFonts w:ascii="Times New Roman"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515">
      <w:bodyDiv w:val="1"/>
      <w:marLeft w:val="0"/>
      <w:marRight w:val="0"/>
      <w:marTop w:val="0"/>
      <w:marBottom w:val="0"/>
      <w:divBdr>
        <w:top w:val="none" w:sz="0" w:space="0" w:color="auto"/>
        <w:left w:val="none" w:sz="0" w:space="0" w:color="auto"/>
        <w:bottom w:val="none" w:sz="0" w:space="0" w:color="auto"/>
        <w:right w:val="none" w:sz="0" w:space="0" w:color="auto"/>
      </w:divBdr>
    </w:div>
    <w:div w:id="3989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ARES_NUMBER xmlns="6343bd70-33bf-416e-baf7-97eb05a26235">
      <Url xsi:nil="true"/>
      <Description xsi:nil="true"/>
    </EC_ARES_NUMBER>
    <EC_ARES_DATE_TRANSFERRED xmlns="6343bd70-33bf-416e-baf7-97eb05a26235" xsi:nil="true"/>
    <EC_ARES_TRANSFERRED_BY xmlns="6343bd70-33bf-416e-baf7-97eb05a26235" xsi:nil="true"/>
    <EC_Collab_DocumentLanguage xmlns="6343bd70-33bf-416e-baf7-97eb05a26235">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4" ma:contentTypeDescription="Create a new document in this library." ma:contentTypeScope="" ma:versionID="31a9f387ebae86c7bb94c99aaae93bab">
  <xsd:schema xmlns:xsd="http://www.w3.org/2001/XMLSchema" xmlns:xs="http://www.w3.org/2001/XMLSchema" xmlns:p="http://schemas.microsoft.com/office/2006/metadata/properties" xmlns:ns3="6343bd70-33bf-416e-baf7-97eb05a26235" targetNamespace="http://schemas.microsoft.com/office/2006/metadata/properties" ma:root="true" ma:fieldsID="b168ee75149c1cef808694f09ec0d44b"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FDFB05-A1AB-441E-8661-898BBDE9694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43bd70-33bf-416e-baf7-97eb05a26235"/>
    <ds:schemaRef ds:uri="http://www.w3.org/XML/1998/namespace"/>
  </ds:schemaRefs>
</ds:datastoreItem>
</file>

<file path=customXml/itemProps2.xml><?xml version="1.0" encoding="utf-8"?>
<ds:datastoreItem xmlns:ds="http://schemas.openxmlformats.org/officeDocument/2006/customXml" ds:itemID="{7887DD13-4170-4D43-AFDF-5ECE7893B92D}">
  <ds:schemaRefs>
    <ds:schemaRef ds:uri="http://schemas.microsoft.com/sharepoint/v3/contenttype/forms"/>
  </ds:schemaRefs>
</ds:datastoreItem>
</file>

<file path=customXml/itemProps3.xml><?xml version="1.0" encoding="utf-8"?>
<ds:datastoreItem xmlns:ds="http://schemas.openxmlformats.org/officeDocument/2006/customXml" ds:itemID="{1616C886-55C9-47D6-9DBB-EF0087B1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7A4F2-9644-45C4-AB7B-3C9A96AF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8846</Words>
  <Characters>48394</Characters>
  <Application>Microsoft Office Word</Application>
  <DocSecurity>0</DocSecurity>
  <Lines>681</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24</cp:revision>
  <cp:lastPrinted>2020-03-09T12:45:00Z</cp:lastPrinted>
  <dcterms:created xsi:type="dcterms:W3CDTF">2020-03-09T17:57:00Z</dcterms:created>
  <dcterms:modified xsi:type="dcterms:W3CDTF">2020-03-12T15:47:00Z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ContentTypeId">
    <vt:lpwstr>0x010100258AA79CEB83498886A3A086811232500050DEB4CD0BADD943B8C610D650D943A4</vt:lpwstr>
  </property>
</Properties>
</file>