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E3B161C-C3DF-4337-AFA4-DA97FCA00A1C" style="width:450.75pt;height:321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2"/>
        <w:numPr>
          <w:ilvl w:val="0"/>
          <w:numId w:val="5"/>
        </w:numPr>
        <w:spacing w:before="0" w:after="240" w:line="240" w:lineRule="auto"/>
        <w:ind w:left="357" w:hanging="357"/>
        <w:jc w:val="both"/>
        <w:rPr>
          <w:rFonts w:ascii="Times New Roman" w:eastAsia="Times New Roman" w:hAnsi="Times New Roman" w:cs="Times New Roman"/>
          <w:b/>
          <w:smallCaps/>
          <w:noProof/>
          <w:color w:val="auto"/>
          <w:sz w:val="24"/>
          <w:szCs w:val="24"/>
        </w:rPr>
      </w:pPr>
      <w:bookmarkStart w:id="1" w:name="_GoBack"/>
      <w:bookmarkEnd w:id="1"/>
      <w:r>
        <w:rPr>
          <w:rFonts w:ascii="Times New Roman" w:hAnsi="Times New Roman"/>
          <w:b/>
          <w:smallCaps/>
          <w:noProof/>
          <w:color w:val="auto"/>
          <w:sz w:val="24"/>
          <w:szCs w:val="24"/>
        </w:rPr>
        <w:lastRenderedPageBreak/>
        <w:t>Sissejuhatus</w:t>
      </w:r>
    </w:p>
    <w:p>
      <w:pPr>
        <w:spacing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 xml:space="preserve">Koroonaviirusena tuntud COVID-19 on tõsine rahvatervisealane hädaolukord, mis mõjutab kodanikke, ühiskondi ja majandusi. </w:t>
      </w:r>
      <w:r>
        <w:rPr>
          <w:rFonts w:ascii="Times New Roman" w:hAnsi="Times New Roman"/>
          <w:noProof/>
          <w:sz w:val="24"/>
          <w:szCs w:val="24"/>
        </w:rPr>
        <w:t>Hiinast alguse saanud pandeemia on toonud kaasa haigusjuhtumeid kõigis liikmesriikides. Enim on mõjutatud Itaalia, kuid sündmused arenevad kiiresti ja haigusjuhtumite arv kasvab kõigis liikmesriikides. Pandeemia asetab raske koormuse nii üksikisikutele ja ühiskondadele kui ka tervishoiusüsteemidele.</w:t>
      </w:r>
      <w:r>
        <w:rPr>
          <w:rFonts w:ascii="Times New Roman" w:hAnsi="Times New Roman"/>
          <w:b/>
          <w:noProof/>
          <w:sz w:val="24"/>
          <w:szCs w:val="24"/>
        </w:rPr>
        <w:t xml:space="preserve"> </w:t>
      </w:r>
      <w:r>
        <w:rPr>
          <w:rFonts w:ascii="Times New Roman" w:hAnsi="Times New Roman"/>
          <w:noProof/>
          <w:sz w:val="24"/>
          <w:szCs w:val="24"/>
        </w:rPr>
        <w:t>Me peame reageerima üheskoos, et aeglustada haiguse ülekandumist, tugevdama meie tervishoiusüsteemide vastupanuvõimet, et aidata abivajajaid ning edendada teadus- ja arendustegevust.</w:t>
      </w:r>
    </w:p>
    <w:p>
      <w:pPr>
        <w:spacing w:before="100" w:beforeAutospacing="1" w:after="100" w:afterAutospacing="1" w:line="240" w:lineRule="auto"/>
        <w:jc w:val="both"/>
        <w:rPr>
          <w:rFonts w:ascii="Times New Roman" w:hAnsi="Times New Roman" w:cs="Times New Roman"/>
          <w:bCs/>
          <w:noProof/>
          <w:color w:val="000000"/>
          <w:sz w:val="24"/>
          <w:szCs w:val="24"/>
        </w:rPr>
      </w:pPr>
      <w:r>
        <w:rPr>
          <w:rFonts w:ascii="Times New Roman" w:hAnsi="Times New Roman"/>
          <w:b/>
          <w:noProof/>
          <w:sz w:val="24"/>
          <w:szCs w:val="24"/>
        </w:rPr>
        <w:t xml:space="preserve">Lisaks märkimisväärsetele sotsiaalsetele mõjudele ja inimlikule mõõtmele tõi koroonaviiruse puhang ELi jaoks kaasa ka tohutu majandusšoki, mis nõuab otsustavat ja koordineeritud majandamist. </w:t>
      </w:r>
      <w:r>
        <w:rPr>
          <w:rFonts w:ascii="Times New Roman" w:hAnsi="Times New Roman"/>
          <w:noProof/>
          <w:sz w:val="24"/>
          <w:szCs w:val="24"/>
        </w:rPr>
        <w:t xml:space="preserve">Viiruse levik põhjustab tarnehäireid üleilmsetes varustusahelates, finantsturgude volatiilsust, häireid tarbijanõudluses ning mõjutab negatiivselt olulisi majandussektoreid, nagu reisimine ja turism. </w:t>
      </w:r>
      <w:r>
        <w:rPr>
          <w:rFonts w:ascii="Times New Roman" w:hAnsi="Times New Roman"/>
          <w:bCs/>
          <w:noProof/>
          <w:sz w:val="24"/>
          <w:szCs w:val="24"/>
        </w:rPr>
        <w:t xml:space="preserve">Euroopa aktsiaturud on langenud veebruari keskpaigaga võrreldes ligikaudu 30 %, mis on kõige järsum kuine langus 2008. aasta finantskriisi järel. Haiguspuhangu arengu suhtes lähinädalatel ja -kuudel valitseb suur teadmatus. </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 xml:space="preserve">Vaid solidaarsuse ja üleeuroopaliste kooskõlastatud lahendustega on võimalik seda rahvatervise alast hädaolukorda tulemuslikult hallata. </w:t>
      </w:r>
      <w:r>
        <w:rPr>
          <w:rFonts w:ascii="Times New Roman" w:hAnsi="Times New Roman"/>
          <w:bCs/>
          <w:noProof/>
          <w:sz w:val="24"/>
          <w:szCs w:val="24"/>
        </w:rPr>
        <w:t>Viiruse leviku ohjeldamiseks, haigestunute aitamiseks ja võitluseks majandusprobleemidega</w:t>
      </w:r>
      <w:r>
        <w:rPr>
          <w:rFonts w:ascii="Times New Roman" w:hAnsi="Times New Roman"/>
          <w:noProof/>
          <w:sz w:val="24"/>
          <w:szCs w:val="24"/>
        </w:rPr>
        <w:t xml:space="preserve"> vajame me solidaarsust riikide, piirkondade ja kodanike vahel.</w:t>
      </w:r>
      <w:r>
        <w:rPr>
          <w:rFonts w:ascii="Times New Roman" w:hAnsi="Times New Roman"/>
          <w:bCs/>
          <w:noProof/>
          <w:sz w:val="24"/>
          <w:szCs w:val="24"/>
        </w:rPr>
        <w:t xml:space="preserve"> </w:t>
      </w:r>
      <w:r>
        <w:rPr>
          <w:rFonts w:ascii="Times New Roman" w:hAnsi="Times New Roman"/>
          <w:noProof/>
          <w:sz w:val="24"/>
          <w:szCs w:val="24"/>
        </w:rPr>
        <w:t xml:space="preserve">See nõuab tervet rida konkreetseid meetmeid ning järjepidevat ja selget ühist lähenemisviisi. </w:t>
      </w:r>
      <w:r>
        <w:rPr>
          <w:rFonts w:ascii="Times New Roman" w:hAnsi="Times New Roman"/>
          <w:b/>
          <w:noProof/>
          <w:sz w:val="24"/>
          <w:szCs w:val="24"/>
        </w:rPr>
        <w:t>Peamine on kõigi asjaomaste osaliste tihe koostöö.</w:t>
      </w:r>
    </w:p>
    <w:p>
      <w:pPr>
        <w:spacing w:before="100" w:beforeAutospacing="1" w:after="100" w:afterAutospacing="1" w:line="240" w:lineRule="auto"/>
        <w:jc w:val="both"/>
        <w:rPr>
          <w:rFonts w:ascii="Times New Roman" w:hAnsi="Times New Roman" w:cs="Times New Roman"/>
          <w:bCs/>
          <w:noProof/>
          <w:color w:val="000000"/>
          <w:sz w:val="24"/>
          <w:szCs w:val="24"/>
        </w:rPr>
      </w:pPr>
      <w:r>
        <w:rPr>
          <w:rFonts w:ascii="Times New Roman" w:hAnsi="Times New Roman"/>
          <w:b/>
          <w:bCs/>
          <w:noProof/>
          <w:sz w:val="24"/>
          <w:szCs w:val="24"/>
        </w:rPr>
        <w:t>Komisjon</w:t>
      </w:r>
      <w:r>
        <w:rPr>
          <w:rFonts w:ascii="Times New Roman" w:hAnsi="Times New Roman"/>
          <w:b/>
          <w:noProof/>
          <w:sz w:val="24"/>
          <w:szCs w:val="24"/>
        </w:rPr>
        <w:t xml:space="preserve"> kasutab kriisi ületamiseks täiel määral kõiki tema käsutuses olevaid vahendeid.</w:t>
      </w:r>
      <w:r>
        <w:rPr>
          <w:rFonts w:ascii="Times New Roman" w:hAnsi="Times New Roman"/>
          <w:noProof/>
          <w:sz w:val="24"/>
          <w:szCs w:val="24"/>
        </w:rPr>
        <w:t xml:space="preserve"> </w:t>
      </w:r>
      <w:r>
        <w:rPr>
          <w:rFonts w:ascii="Times New Roman" w:hAnsi="Times New Roman"/>
          <w:bCs/>
          <w:noProof/>
          <w:sz w:val="24"/>
          <w:szCs w:val="24"/>
        </w:rPr>
        <w:t>Lisaks koordineerimis- ja suunamistegevusele ning viiruse leviku piiramismeetmetele tegeleb komisjon pandeemia sotsiaal-majanduslike tagajärgede kõrvaldamise ja leevendamisega. Küsimus on ühtse turu terviklikkuses ja laiemalt tootmise ja jaotuse väärtusahelate säilimises, et tagada meie tervishoiusüsteemide varustamine. Küsimus on inimeste toetamises tagamaks, et pandeemia ei mõjutaks ülemäära sissetulekuid ja tööhõivet. Küsimus on ettevõtjate, eelkõige väikeste ja keskmise suurusega ettevõtjate (VKEd) toetamises. Küsimus on ka meie finantssektori likviidsuse tagamises ja ähvardava majanduslanguse ärahoidmises kõigil tasanditel võetavate meetmete abil. Lõpuks on küsimus ka raamistiku kindlustamises, mis võimaldaks liikmesriikidel otsustavalt ja kooskõlastatult tegutseda. Kokkuvõtlikult on küsimus sellest majandusšokist kiire taastumise ettevalmistamises.</w:t>
      </w:r>
    </w:p>
    <w:p>
      <w:pPr>
        <w:spacing w:before="192" w:after="192" w:line="240" w:lineRule="auto"/>
        <w:jc w:val="both"/>
        <w:rPr>
          <w:rFonts w:ascii="Times New Roman" w:hAnsi="Times New Roman" w:cs="Times New Roman"/>
          <w:bCs/>
          <w:noProof/>
          <w:color w:val="000000"/>
          <w:sz w:val="24"/>
          <w:szCs w:val="24"/>
        </w:rPr>
      </w:pPr>
      <w:r>
        <w:rPr>
          <w:rFonts w:ascii="Times New Roman" w:hAnsi="Times New Roman"/>
          <w:b/>
          <w:bCs/>
          <w:noProof/>
          <w:sz w:val="24"/>
          <w:szCs w:val="24"/>
        </w:rPr>
        <w:t>Käesolevas teatises antakse ülevaade komisjoni kiiretest meetmetest COVID-19 majandusliku mõju leevendamiseks.</w:t>
      </w:r>
      <w:r>
        <w:rPr>
          <w:rFonts w:ascii="Times New Roman" w:hAnsi="Times New Roman"/>
          <w:bCs/>
          <w:noProof/>
          <w:sz w:val="24"/>
          <w:szCs w:val="24"/>
        </w:rPr>
        <w:t xml:space="preserve"> Ehkki täna välja kuulutatud meetmed käsitlevad kõige akuutsemate probleemide lahendamist, peame me arvestama, et olukord muutub päevast päeva. Komisjon teeb nende meetmete kiireks rakendamiseks tihedat koostööd Euroopa Parlamendi, nõukogu, Euroopa Investeerimispanga (EIP) ja liikmesriikidega ning on valmis vajaduse korral uuteks algatusteks. Komisjon toetab ka rahvusvahelist tegevust pandeemia üleilmsete sotsiaal-majanduslike tagajärgede kõrvaldamiseks mitmepoolse raamistiku kaudu, pöörates erilist tähelepanu haavatavate tervishoiusüsteemidega partnerriikidele.</w:t>
      </w:r>
    </w:p>
    <w:p>
      <w:pPr>
        <w:rPr>
          <w:rFonts w:ascii="Times New Roman" w:hAnsi="Times New Roman" w:cs="Times New Roman"/>
          <w:bCs/>
          <w:noProof/>
          <w:color w:val="000000"/>
          <w:sz w:val="24"/>
          <w:szCs w:val="24"/>
        </w:rPr>
      </w:pPr>
      <w:r>
        <w:rPr>
          <w:noProof/>
          <w:sz w:val="24"/>
          <w:szCs w:val="24"/>
        </w:rPr>
        <w:br w:type="page"/>
      </w:r>
    </w:p>
    <w:p>
      <w:pPr>
        <w:spacing w:before="192" w:after="192" w:line="240" w:lineRule="auto"/>
        <w:jc w:val="both"/>
        <w:rPr>
          <w:rFonts w:ascii="Times New Roman" w:hAnsi="Times New Roman" w:cs="Times New Roman"/>
          <w:bCs/>
          <w:noProof/>
          <w:color w:val="000000"/>
          <w:sz w:val="24"/>
          <w:szCs w:val="24"/>
        </w:rPr>
      </w:pPr>
    </w:p>
    <w:p>
      <w:pPr>
        <w:pStyle w:val="Heading2"/>
        <w:numPr>
          <w:ilvl w:val="0"/>
          <w:numId w:val="5"/>
        </w:numPr>
        <w:spacing w:before="0" w:line="240" w:lineRule="auto"/>
        <w:ind w:left="357" w:hanging="357"/>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 xml:space="preserve">Sotsiaal-majanduslikud tagajärjed </w:t>
      </w:r>
    </w:p>
    <w:p>
      <w:pPr>
        <w:spacing w:before="240" w:line="240" w:lineRule="auto"/>
        <w:jc w:val="both"/>
        <w:rPr>
          <w:rFonts w:ascii="Times New Roman" w:hAnsi="Times New Roman" w:cs="Times New Roman"/>
          <w:noProof/>
          <w:sz w:val="24"/>
          <w:szCs w:val="24"/>
        </w:rPr>
      </w:pPr>
      <w:r>
        <w:rPr>
          <w:rFonts w:ascii="Times New Roman" w:hAnsi="Times New Roman"/>
          <w:b/>
          <w:noProof/>
          <w:sz w:val="24"/>
          <w:szCs w:val="24"/>
        </w:rPr>
        <w:t xml:space="preserve">COVID-19 pandeemia on suur šokk maailma ja Euroopa majandusele. </w:t>
      </w:r>
      <w:r>
        <w:rPr>
          <w:rFonts w:ascii="Times New Roman" w:hAnsi="Times New Roman"/>
          <w:noProof/>
          <w:sz w:val="24"/>
          <w:szCs w:val="24"/>
        </w:rPr>
        <w:t>Euroopa on saanud juba täna tunda olulist negatiivset majanduslikku mõju, mis jätkub vähemalt selle aasta esimese poole jooksul, ja kui ohjeldamismeetmed ei anna tulemusi, siis tõenäoliselt kauemgi</w:t>
      </w:r>
      <w:r>
        <w:rPr>
          <w:rStyle w:val="FootnoteReference"/>
          <w:rFonts w:ascii="Times New Roman" w:hAnsi="Times New Roman" w:cs="Times New Roman"/>
          <w:noProof/>
          <w:sz w:val="24"/>
          <w:szCs w:val="24"/>
        </w:rPr>
        <w:footnoteReference w:id="1"/>
      </w:r>
      <w:r>
        <w:rPr>
          <w:noProof/>
          <w:sz w:val="24"/>
          <w:szCs w:val="24"/>
        </w:rPr>
        <w:t>.</w:t>
      </w:r>
      <w:r>
        <w:rPr>
          <w:rFonts w:ascii="Times New Roman" w:hAnsi="Times New Roman"/>
          <w:noProof/>
          <w:sz w:val="24"/>
          <w:szCs w:val="24"/>
        </w:rPr>
        <w:t xml:space="preserve"> Reaalse SKP kasv võib langeda 2020. aastal COVID-19 tagajärjel alla nulli ja olla isegi märkimisväärselt negatiivne. Majanduslike tagasilöökide leevendamisel on võtmetähtsusega ELi institutsioonide ja liikmesriikide koordineeritud majanduslik reageerimine. </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Käesolev šokk mõjutab majandust erinevate kanalite kaudu</w:t>
      </w:r>
      <w:r>
        <w:rPr>
          <w:rFonts w:ascii="Times New Roman" w:hAnsi="Times New Roman"/>
          <w:noProof/>
          <w:sz w:val="24"/>
          <w:szCs w:val="24"/>
        </w:rPr>
        <w:t>:</w:t>
      </w:r>
    </w:p>
    <w:p>
      <w:pPr>
        <w:pStyle w:val="ListParagraph"/>
        <w:numPr>
          <w:ilvl w:val="0"/>
          <w:numId w:val="42"/>
        </w:numPr>
        <w:jc w:val="both"/>
        <w:rPr>
          <w:rFonts w:ascii="Times New Roman" w:hAnsi="Times New Roman" w:cs="Times New Roman"/>
          <w:noProof/>
          <w:sz w:val="24"/>
          <w:szCs w:val="24"/>
        </w:rPr>
      </w:pPr>
      <w:r>
        <w:rPr>
          <w:rFonts w:ascii="Times New Roman" w:hAnsi="Times New Roman"/>
          <w:noProof/>
          <w:sz w:val="24"/>
          <w:szCs w:val="24"/>
        </w:rPr>
        <w:t xml:space="preserve">šokk </w:t>
      </w:r>
      <w:r>
        <w:rPr>
          <w:rFonts w:ascii="Times New Roman" w:hAnsi="Times New Roman"/>
          <w:noProof/>
          <w:sz w:val="24"/>
          <w:szCs w:val="24"/>
          <w:u w:val="single"/>
        </w:rPr>
        <w:t>Hiina esialgsest majanduslangusest</w:t>
      </w:r>
      <w:r>
        <w:rPr>
          <w:rFonts w:ascii="Times New Roman" w:hAnsi="Times New Roman"/>
          <w:noProof/>
          <w:sz w:val="24"/>
          <w:szCs w:val="24"/>
        </w:rPr>
        <w:t xml:space="preserve"> 2020. aasta esimeses kvartalis; </w:t>
      </w:r>
    </w:p>
    <w:p>
      <w:pPr>
        <w:pStyle w:val="ListParagraph"/>
        <w:numPr>
          <w:ilvl w:val="0"/>
          <w:numId w:val="42"/>
        </w:numPr>
        <w:jc w:val="both"/>
        <w:rPr>
          <w:rFonts w:ascii="Times New Roman" w:hAnsi="Times New Roman" w:cs="Times New Roman"/>
          <w:noProof/>
          <w:sz w:val="24"/>
          <w:szCs w:val="24"/>
        </w:rPr>
      </w:pPr>
      <w:r>
        <w:rPr>
          <w:rFonts w:ascii="Times New Roman" w:hAnsi="Times New Roman"/>
          <w:noProof/>
          <w:sz w:val="24"/>
          <w:szCs w:val="24"/>
          <w:u w:val="single"/>
        </w:rPr>
        <w:t>tarnešokk</w:t>
      </w:r>
      <w:r>
        <w:rPr>
          <w:rFonts w:ascii="Times New Roman" w:hAnsi="Times New Roman"/>
          <w:noProof/>
          <w:sz w:val="24"/>
          <w:szCs w:val="24"/>
        </w:rPr>
        <w:t xml:space="preserve"> Euroopa ja maailmamajanduse jaoks, mis tuleneb tarneahelate katkemisest töölt puudumise tõttu;</w:t>
      </w:r>
    </w:p>
    <w:p>
      <w:pPr>
        <w:pStyle w:val="ListParagraph"/>
        <w:numPr>
          <w:ilvl w:val="0"/>
          <w:numId w:val="42"/>
        </w:numPr>
        <w:jc w:val="both"/>
        <w:rPr>
          <w:rFonts w:ascii="Times New Roman" w:hAnsi="Times New Roman" w:cs="Times New Roman"/>
          <w:noProof/>
          <w:sz w:val="24"/>
          <w:szCs w:val="24"/>
        </w:rPr>
      </w:pPr>
      <w:r>
        <w:rPr>
          <w:rFonts w:ascii="Times New Roman" w:hAnsi="Times New Roman"/>
          <w:noProof/>
          <w:sz w:val="24"/>
          <w:szCs w:val="24"/>
        </w:rPr>
        <w:t xml:space="preserve">tarbijate väiksemast nõudlusest tingitud </w:t>
      </w:r>
      <w:r>
        <w:rPr>
          <w:rFonts w:ascii="Times New Roman" w:hAnsi="Times New Roman"/>
          <w:noProof/>
          <w:sz w:val="24"/>
          <w:szCs w:val="24"/>
          <w:u w:val="single"/>
        </w:rPr>
        <w:t>nõudlusšokk</w:t>
      </w:r>
      <w:r>
        <w:rPr>
          <w:rFonts w:ascii="Times New Roman" w:hAnsi="Times New Roman"/>
          <w:noProof/>
          <w:sz w:val="24"/>
          <w:szCs w:val="24"/>
        </w:rPr>
        <w:t xml:space="preserve"> Euroopa ja maailmamajanduses ning ebakindluse negatiivne mõju investeerimiskavadele; </w:t>
      </w:r>
    </w:p>
    <w:p>
      <w:pPr>
        <w:pStyle w:val="ListParagraph"/>
        <w:numPr>
          <w:ilvl w:val="0"/>
          <w:numId w:val="42"/>
        </w:numPr>
        <w:jc w:val="both"/>
        <w:rPr>
          <w:rFonts w:ascii="Times New Roman" w:hAnsi="Times New Roman" w:cs="Times New Roman"/>
          <w:noProof/>
          <w:sz w:val="24"/>
          <w:szCs w:val="24"/>
        </w:rPr>
      </w:pPr>
      <w:r>
        <w:rPr>
          <w:rFonts w:ascii="Times New Roman" w:hAnsi="Times New Roman"/>
          <w:noProof/>
          <w:sz w:val="24"/>
          <w:szCs w:val="24"/>
        </w:rPr>
        <w:t xml:space="preserve">ning </w:t>
      </w:r>
      <w:r>
        <w:rPr>
          <w:rFonts w:ascii="Times New Roman" w:hAnsi="Times New Roman"/>
          <w:noProof/>
          <w:sz w:val="24"/>
          <w:szCs w:val="24"/>
          <w:u w:val="single"/>
        </w:rPr>
        <w:t>likviidsuspiirangute mõju</w:t>
      </w:r>
      <w:r>
        <w:rPr>
          <w:rFonts w:ascii="Times New Roman" w:hAnsi="Times New Roman"/>
          <w:noProof/>
          <w:sz w:val="24"/>
          <w:szCs w:val="24"/>
        </w:rPr>
        <w:t xml:space="preserve"> ettevõtjatele.</w:t>
      </w:r>
    </w:p>
    <w:p>
      <w:pPr>
        <w:pStyle w:val="ListParagraph"/>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Šokk on ajutine, kuid me peame tegema koostööd tagamaks, et see oleks võimalikult lühiajaline ja piiratud ning ei tekitaks meie majandusele püsivat kahju.</w:t>
      </w:r>
      <w:r>
        <w:rPr>
          <w:rFonts w:ascii="Times New Roman" w:hAnsi="Times New Roman"/>
          <w:noProof/>
          <w:sz w:val="24"/>
          <w:szCs w:val="24"/>
        </w:rPr>
        <w:t xml:space="preserve"> Tulevikus sõltub väljavaate negatiivsus mitmest asjaolust, näiteks kriitilise tähtsusega materjalidega varustamise puudumine, ohjeldamismeetmete mõjusus, tootmisseisakud ELis, ettevõtetes ja haldusasutustes kaotatud tööpäevade arv ning mõju nõudlusele (nt liikumispiirangud, reiside tühistamine).</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Liikmesriigid peavad olema valvsad ja kasutama kõiki liidu ja riiklikul tasandil kättesaadavaid vahendeid, et vältida olukorda, kus praegune kriis toob kaasa kriitilise tähtsusega varade ja tehnoloogia kadumise.</w:t>
      </w:r>
      <w:r>
        <w:rPr>
          <w:rFonts w:ascii="Times New Roman" w:hAnsi="Times New Roman"/>
          <w:noProof/>
          <w:sz w:val="24"/>
          <w:szCs w:val="24"/>
        </w:rPr>
        <w:t xml:space="preserve"> See hõlmab riiklikku julgeolekukontrolli ja muid julgeolekuga seotud vahendeid. Komisjon annab liikmesriikidele enne välismaiste otseinvesteeringute taustauuringute määruse kohaldamist juhiseid.</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 xml:space="preserve">Kuna COVID-19 levib ja mõjutab suurt osa kogu maailma ja liikmesriikide elanikkonnast, on selle majanduslik mõju märkimisväärne ja suureneb iga päevaga. </w:t>
      </w:r>
      <w:r>
        <w:rPr>
          <w:rFonts w:ascii="Times New Roman" w:hAnsi="Times New Roman"/>
          <w:noProof/>
          <w:sz w:val="24"/>
          <w:szCs w:val="24"/>
        </w:rPr>
        <w:t>Selle mõju on tunda kogu majanduses, eelkõige pandeemia leviku vältimiseks vajalikes lukustamisolukordades. Viiruse leviku tõkestamiseks kohalikul ja riiklikul tasandil võetud meetmed võivad mõjutada nii pakkumist kui ka nõudlust. Negatiivne nõudlus on eelkõige viiruse nende ohjeldamismeetmete tagajärg, mida valitsused on kohustatud rakendama ja mis mõjutavad era-, töö- ja seltskondlikku elu. Praegu on enim mõjutatud tervishoiu-, turismi- ja transpordisektor, eelkõige lennundus.</w:t>
      </w:r>
    </w:p>
    <w:p>
      <w:pPr>
        <w:spacing w:before="180" w:after="0" w:line="240" w:lineRule="auto"/>
        <w:jc w:val="both"/>
        <w:rPr>
          <w:rFonts w:ascii="Times New Roman" w:hAnsi="Times New Roman" w:cs="Times New Roman"/>
          <w:noProof/>
          <w:sz w:val="24"/>
          <w:szCs w:val="24"/>
        </w:rPr>
      </w:pPr>
      <w:r>
        <w:rPr>
          <w:rFonts w:ascii="Times New Roman" w:hAnsi="Times New Roman"/>
          <w:b/>
          <w:noProof/>
          <w:sz w:val="24"/>
          <w:szCs w:val="24"/>
        </w:rPr>
        <w:t xml:space="preserve">COVID-19 pandeemia mõjutab üleilmseid finantsturge. </w:t>
      </w:r>
      <w:r>
        <w:rPr>
          <w:rFonts w:ascii="Times New Roman" w:hAnsi="Times New Roman"/>
          <w:noProof/>
          <w:sz w:val="24"/>
          <w:szCs w:val="24"/>
        </w:rPr>
        <w:t xml:space="preserve">Veebruari lõpus langesid suurenenud nõudluse tõttu turvalisemate investeeringute järele tugevalt üleilmsed aktsiaturud ja muude suure riskiga varade turud . Samal ajal tõusid kasvava nõudluse tagajärjel kaitstud aladega seotud varade hinnad: USA lühiajaliste riigikassa võlakirjade („viimase abinõuna kasutatav turvaline finantsvara“) tootlus vähenes järsult. Aktsiahinnad langesid kõikjal maailmas. Kaitsetumate liikmesriikide riigivõlakirjade hinnavahed suurenesid. Muude kui investeerimisjärgu äriühingute võlakirjade tootlus kasvas. </w:t>
      </w:r>
    </w:p>
    <w:p>
      <w:pPr>
        <w:spacing w:before="180" w:after="0" w:line="240" w:lineRule="auto"/>
        <w:jc w:val="both"/>
        <w:rPr>
          <w:rFonts w:ascii="Times New Roman" w:hAnsi="Times New Roman" w:cs="Times New Roman"/>
          <w:noProof/>
          <w:sz w:val="24"/>
          <w:szCs w:val="24"/>
        </w:rPr>
      </w:pPr>
    </w:p>
    <w:p>
      <w:pPr>
        <w:spacing w:line="240" w:lineRule="auto"/>
        <w:jc w:val="both"/>
        <w:rPr>
          <w:rFonts w:ascii="Times New Roman" w:eastAsia="Calibri" w:hAnsi="Times New Roman" w:cs="Times New Roman"/>
          <w:noProof/>
          <w:sz w:val="24"/>
          <w:szCs w:val="24"/>
        </w:rPr>
      </w:pPr>
      <w:r>
        <w:rPr>
          <w:rFonts w:ascii="Times New Roman" w:hAnsi="Times New Roman"/>
          <w:b/>
          <w:noProof/>
          <w:sz w:val="24"/>
          <w:szCs w:val="24"/>
        </w:rPr>
        <w:t>Võttes arvesse COVID-19 makromajanduslikku ja finantsmõju, tuleks majanduspoliitilisi meetmeid võtta julgelt ja koordineeritult, et saavutada järgmised eesmärgid</w:t>
      </w:r>
      <w:r>
        <w:rPr>
          <w:rFonts w:ascii="Times New Roman" w:hAnsi="Times New Roman"/>
          <w:noProof/>
          <w:sz w:val="24"/>
          <w:szCs w:val="24"/>
        </w:rPr>
        <w:t>:</w:t>
      </w:r>
    </w:p>
    <w:p>
      <w:pPr>
        <w:pStyle w:val="ListParagraph"/>
        <w:numPr>
          <w:ilvl w:val="0"/>
          <w:numId w:val="22"/>
        </w:numPr>
        <w:spacing w:before="180"/>
        <w:contextualSpacing/>
        <w:jc w:val="both"/>
        <w:rPr>
          <w:rFonts w:ascii="Times New Roman" w:hAnsi="Times New Roman" w:cs="Times New Roman"/>
          <w:noProof/>
          <w:sz w:val="24"/>
          <w:szCs w:val="24"/>
        </w:rPr>
      </w:pPr>
      <w:r>
        <w:rPr>
          <w:rFonts w:ascii="Times New Roman" w:hAnsi="Times New Roman"/>
          <w:noProof/>
          <w:sz w:val="24"/>
          <w:szCs w:val="24"/>
        </w:rPr>
        <w:t>Aidata päästa elusid. Tagada vajalike varude kasutamine ja investeeringud pandeemia ohjeldamiseks ja raviks.</w:t>
      </w:r>
    </w:p>
    <w:p>
      <w:pPr>
        <w:pStyle w:val="ListParagraph"/>
        <w:numPr>
          <w:ilvl w:val="0"/>
          <w:numId w:val="22"/>
        </w:numPr>
        <w:spacing w:before="180"/>
        <w:contextualSpacing/>
        <w:jc w:val="both"/>
        <w:rPr>
          <w:rFonts w:ascii="Times New Roman" w:hAnsi="Times New Roman" w:cs="Times New Roman"/>
          <w:noProof/>
          <w:sz w:val="24"/>
          <w:szCs w:val="24"/>
        </w:rPr>
      </w:pPr>
      <w:r>
        <w:rPr>
          <w:rFonts w:ascii="Times New Roman" w:hAnsi="Times New Roman"/>
          <w:noProof/>
          <w:sz w:val="24"/>
          <w:szCs w:val="24"/>
        </w:rPr>
        <w:t>Tagada, et Euroopa töötajad (sealhulgas füüsilisest isikust ettevõtjad) oleksid kaitstud sissetulekuta jäämise eest, ning et kõige enam mõjutatud ettevõtjatele (eelkõige VKEd) ja sektoritele oleks tagatud vajalik toetus ja rahaline likviidsus.</w:t>
      </w:r>
    </w:p>
    <w:p>
      <w:pPr>
        <w:pStyle w:val="ListParagraph"/>
        <w:numPr>
          <w:ilvl w:val="0"/>
          <w:numId w:val="22"/>
        </w:numPr>
        <w:spacing w:before="180"/>
        <w:contextualSpacing/>
        <w:jc w:val="both"/>
        <w:rPr>
          <w:rFonts w:ascii="Times New Roman" w:hAnsi="Times New Roman" w:cs="Times New Roman"/>
          <w:noProof/>
          <w:sz w:val="24"/>
          <w:szCs w:val="24"/>
        </w:rPr>
      </w:pPr>
      <w:r>
        <w:rPr>
          <w:rFonts w:ascii="Times New Roman" w:hAnsi="Times New Roman"/>
          <w:noProof/>
          <w:sz w:val="24"/>
          <w:szCs w:val="24"/>
        </w:rPr>
        <w:t>Leevendada mõju majandusele tervikuna, kasutades selleks kõiki kättesaadavaid ELi vahendeid ja kasutada täiel määral paindlikku ELi raamistikku liikmesriikide meetmete jaoks.</w:t>
      </w:r>
    </w:p>
    <w:p>
      <w:pPr>
        <w:pStyle w:val="ListParagraph"/>
        <w:spacing w:before="180"/>
        <w:contextualSpacing/>
        <w:jc w:val="both"/>
        <w:rPr>
          <w:rFonts w:ascii="Times New Roman" w:hAnsi="Times New Roman" w:cs="Times New Roman"/>
          <w:noProof/>
          <w:sz w:val="24"/>
          <w:szCs w:val="24"/>
        </w:rPr>
      </w:pPr>
    </w:p>
    <w:p>
      <w:pPr>
        <w:pStyle w:val="Heading2"/>
        <w:numPr>
          <w:ilvl w:val="0"/>
          <w:numId w:val="5"/>
        </w:numPr>
        <w:spacing w:after="240" w:line="240" w:lineRule="auto"/>
        <w:ind w:left="357" w:hanging="357"/>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Solidaarsuse tagamine ühtsel turul</w:t>
      </w:r>
    </w:p>
    <w:p>
      <w:pPr>
        <w:pStyle w:val="Heading2"/>
        <w:numPr>
          <w:ilvl w:val="1"/>
          <w:numId w:val="5"/>
        </w:numPr>
        <w:spacing w:after="240" w:line="240" w:lineRule="auto"/>
        <w:ind w:left="788" w:hanging="431"/>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Meditsiiniseadmete tarnimine</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Ühtne turg on Euroopa Liidu tuum.</w:t>
      </w:r>
      <w:r>
        <w:rPr>
          <w:rFonts w:ascii="Times New Roman" w:hAnsi="Times New Roman"/>
          <w:noProof/>
          <w:sz w:val="24"/>
          <w:szCs w:val="24"/>
        </w:rPr>
        <w:t xml:space="preserve"> Kriisi ajal on solidaarsusfond see, millega tagada, et terviseriskide leevendamiseks olulised kaubad jõuaksid kõigi abivajajateni. Ühtne turg aitab kaitsta meie tervist, tagades nende kaupade kättesaadavuse kogu ELis. Tervishoiusüsteemide oluliste kaupade vaba liikumise ühepoolsed riiklikud piirangud tekitavad märkimisväärseid takistusi ja mõjutavad oluliselt liikmesriikide suutlikkust COVID-19 puhanguga toime tulla.</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On väga oluline, et riiklikud meetmed järgiksid tervisekaitse esmast eesmärki Euroopa solidaarsuse ja koostöö vaimus.</w:t>
      </w:r>
      <w:r>
        <w:rPr>
          <w:rFonts w:ascii="Times New Roman" w:hAnsi="Times New Roman"/>
          <w:noProof/>
          <w:sz w:val="24"/>
          <w:szCs w:val="24"/>
        </w:rPr>
        <w:t xml:space="preserve"> Mõned liikmesriigid on juba vastu võtnud või valmistavad ette riiklikke meetmeid, mis mõjutavad isikukaitsevahendite, näiteks kaitseprillide, näomaskide, kinnaste, kirurgiliste kombinesoonide ja kitlite ning ravimite eksporti. Need meetmed võivad takistada oluliste kaupade jõudmist nendeni, kes neid kõige enam vajavad, eelkõige tervishoiutöötajate, välise sekkumise meeskondade ja patsientideni mõjutatud piirkondades üle kogu Euroopa. Sellised meetmed tekitavad doominoefekti: liikmesriigid võtavad meetmeid, et leevendada teiste liikmesriikide võetud meetmete mõju. </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Lühikese aja jooksul on piirangud laienenud üha suuremale tootevalikule, alustades isikukaitsevahenditest kuni viimasel ajal ka ravimiteni.</w:t>
      </w:r>
      <w:r>
        <w:rPr>
          <w:rFonts w:ascii="Times New Roman" w:hAnsi="Times New Roman"/>
          <w:noProof/>
          <w:sz w:val="24"/>
          <w:szCs w:val="24"/>
        </w:rPr>
        <w:t xml:space="preserve"> Ekspordipiirangud ei võta arvesse integreeritud tarneahelaid. Piirangud tekitavad oluliste kaupade tootmisel kitsaskohti, sulgedes sisendid teatavates liikmesriikides. See häirib logistikat ja turustusahelaid, mis sõltuvad keskladudest. See omakorda stimuleerib tarneahelas varude kogumist. Lõppkokkuvõttes tekitavad nad taas sisepiirid ajal, mil liikmesriikide solidaarsust on kõige enam vaja. </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2. lisas antakse liikmesriikidele juhiseid selle kohta, kuidas kehtestada piisavad kontrollimehhanismid varustuskindluse tagamiseks kogu Euroopas</w:t>
      </w:r>
      <w:r>
        <w:rPr>
          <w:rStyle w:val="FootnoteReference"/>
          <w:rFonts w:ascii="Times New Roman" w:hAnsi="Times New Roman" w:cs="Times New Roman"/>
          <w:b/>
          <w:noProof/>
          <w:sz w:val="24"/>
          <w:szCs w:val="24"/>
        </w:rPr>
        <w:footnoteReference w:id="2"/>
      </w:r>
      <w:r>
        <w:rPr>
          <w:rFonts w:ascii="Times New Roman" w:hAnsi="Times New Roman"/>
          <w:b/>
          <w:noProof/>
          <w:sz w:val="24"/>
          <w:szCs w:val="24"/>
        </w:rPr>
        <w:t>.</w:t>
      </w:r>
      <w:r>
        <w:rPr>
          <w:rFonts w:ascii="Times New Roman" w:hAnsi="Times New Roman"/>
          <w:noProof/>
          <w:sz w:val="24"/>
          <w:szCs w:val="24"/>
        </w:rPr>
        <w:t xml:space="preserve"> Aluslepinguga lubatakse liikmesriikidel teatavatel rangetel tingimustel kalduda kõrvale ühtse turu eeskirjadest. Kõik ELi toimimise lepingu artikli 36 alusel inimeste elu ja tervise kaitseks võetud riiklikud piiravad meetmed peavad olema põhjendatud, st sobivad, vajalikud ja nende eesmärkidega proportsionaalsed, tagades asjaomastele isikutele piisavad tarned, vältides samal ajal oluliseks peetavate kaupade, nagu isikukaitsevahendid, meditsiiniseadmed või ravimid, nappuse esinemist või süvenemist. Igast kavandatavast siseriiklikust meetmest, millega piiratakse juurdepääsu meditsiini- ja kaitsevahenditele, tuleb teatada komisjonile, kes teavitab sellest teisi liikmesriike.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Komisjonile seni teatatud meetmeid on hinnatud, et tagada oluliste kaupade jõudmine nendeni, kes neid kõige rohkem vajavad. Komisjon käsitleb neid juhtumeid eelisjärjekorras ja toetab liikmesriike selliste meetmete muutmisel. Kui liikmesriigid oma eeskirju piisavalt ei kohanda, võtab komisjon õiguslikke meetmeid.</w:t>
      </w:r>
    </w:p>
    <w:p>
      <w:pPr>
        <w:pStyle w:val="PlainText"/>
        <w:spacing w:after="240"/>
        <w:jc w:val="both"/>
        <w:rPr>
          <w:rFonts w:ascii="Times New Roman" w:hAnsi="Times New Roman" w:cs="Times New Roman"/>
          <w:noProof/>
          <w:sz w:val="24"/>
          <w:szCs w:val="24"/>
        </w:rPr>
      </w:pPr>
      <w:r>
        <w:rPr>
          <w:rFonts w:ascii="Times New Roman" w:hAnsi="Times New Roman"/>
          <w:noProof/>
          <w:sz w:val="24"/>
          <w:szCs w:val="24"/>
        </w:rPr>
        <w:t xml:space="preserve">Mõned riiklikud meetmed takistavad oluliste kaupade eksporti kolmandatesse riikidesse, mille lõppeesmärk on säilitada ELi tervishoiusüsteemide elujõulisus. Kui eksport kolmandatesse riikidesse ohustab ELi reageerimisvõimet COVID-19 puhangule, võib komisjon võtta meetmeid ja kehtestada teatavate toodete ekspordilubade süsteemi. </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Komisjon võtab kõik vajalikud meetmed, et tagada kaitsevahendite piisav varu kogu Euroopas.</w:t>
      </w:r>
      <w:r>
        <w:rPr>
          <w:rFonts w:ascii="Times New Roman" w:hAnsi="Times New Roman"/>
          <w:noProof/>
          <w:sz w:val="24"/>
          <w:szCs w:val="24"/>
        </w:rPr>
        <w:t xml:space="preserve"> Võttes arvesse praegust ülemaailmset puudust, algatas komisjon 26 liikmesriigiga kiirendatud ühise hankemenetluse. Täiendava turvaabinõuna võtab komisjon ELi elanikkonnakaitse mehhanismi (rescEU) raames vastu meetme, et liit saaks selliseid vahendeid osta. Kui liikmesriigid selle heaks kiidavad, saab esimesed ostud teha aprilli alguses. Komisjon esitab ka soovituse vastavushindamise ja turujärelevalve menetluste kohta COVID-19 kontekstis. See võimaldab eelkõige suurendada teatavat liiki vahendite, näiteks ühekordselt kasutatavate näomaskide tarneid. </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Oluline on tegutseda koos, et avatult ja läbipaistvalt tagada ELis meditsiiniliste kaitsevahendite ja ravimite tootmine, ladustamine, kättesaadavus ja ratsionaalne kasutamine.</w:t>
      </w:r>
      <w:r>
        <w:rPr>
          <w:rFonts w:ascii="Times New Roman" w:hAnsi="Times New Roman"/>
          <w:noProof/>
          <w:sz w:val="24"/>
          <w:szCs w:val="24"/>
        </w:rPr>
        <w:t xml:space="preserve"> Komisjon on kitsaskohtade hindamiseks võtnud ühendust tarnijatega ja palunud neil tootmist viivitamata suurendada. Komisjon on loonud koos liikmesriikide ja Euroopa Ravimiametiga juhtrühma, et jälgida COVID-19st tulenevat võimalikku raviminappust. Lisaks jälgib ta olukorda meditsiiniseadmete koordineerimisrühma kaudu, sealhulgas erinevate diagnostikaseadmete kättesaadavust ja toimivust ning koostööd seoses erinevate riiklike lähenemisviisidega diagnostilistele analüüsidele. </w:t>
      </w:r>
    </w:p>
    <w:p>
      <w:pPr>
        <w:pStyle w:val="Heading2"/>
        <w:numPr>
          <w:ilvl w:val="1"/>
          <w:numId w:val="5"/>
        </w:numPr>
        <w:spacing w:line="240" w:lineRule="auto"/>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 xml:space="preserve"> Transport</w:t>
      </w:r>
    </w:p>
    <w:p>
      <w:pPr>
        <w:pStyle w:val="ListParagraph"/>
        <w:ind w:left="360"/>
        <w:jc w:val="both"/>
        <w:rPr>
          <w:rFonts w:ascii="Times New Roman" w:eastAsia="Times New Roman" w:hAnsi="Times New Roman" w:cs="Times New Roman"/>
          <w:b/>
          <w:smallCaps/>
          <w:noProof/>
          <w:sz w:val="24"/>
          <w:szCs w:val="24"/>
        </w:rPr>
      </w:pPr>
    </w:p>
    <w:p>
      <w:pPr>
        <w:spacing w:line="240" w:lineRule="auto"/>
        <w:jc w:val="both"/>
        <w:rPr>
          <w:rFonts w:ascii="Times New Roman" w:hAnsi="Times New Roman" w:cs="Times New Roman"/>
          <w:b/>
          <w:noProof/>
          <w:sz w:val="24"/>
          <w:szCs w:val="24"/>
        </w:rPr>
      </w:pPr>
      <w:r>
        <w:rPr>
          <w:rFonts w:ascii="Times New Roman" w:hAnsi="Times New Roman"/>
          <w:b/>
          <w:noProof/>
          <w:sz w:val="24"/>
          <w:szCs w:val="24"/>
        </w:rPr>
        <w:t xml:space="preserve">COVID-19 puhangul on suur mõju ka meie transpordisüsteemidele. </w:t>
      </w:r>
      <w:r>
        <w:rPr>
          <w:rFonts w:ascii="Times New Roman" w:hAnsi="Times New Roman"/>
          <w:noProof/>
          <w:sz w:val="24"/>
          <w:szCs w:val="24"/>
        </w:rPr>
        <w:t>Euroopa tarneahelad on omavahel tihedalt seotud. Neid ühendusi hallatakse ulatusliku kaubaveoteenuste võrgustiku kaudu. Kaubavoogude katkemine põhjustab tõsist majanduslikku kahju.</w:t>
      </w:r>
    </w:p>
    <w:p>
      <w:pPr>
        <w:spacing w:line="240" w:lineRule="auto"/>
        <w:jc w:val="both"/>
        <w:rPr>
          <w:rFonts w:ascii="Times New Roman" w:hAnsi="Times New Roman" w:cs="Times New Roman"/>
          <w:b/>
          <w:noProof/>
          <w:sz w:val="24"/>
          <w:szCs w:val="24"/>
        </w:rPr>
      </w:pPr>
      <w:r>
        <w:rPr>
          <w:rFonts w:ascii="Times New Roman" w:hAnsi="Times New Roman"/>
          <w:b/>
          <w:noProof/>
          <w:sz w:val="24"/>
          <w:szCs w:val="24"/>
        </w:rPr>
        <w:t xml:space="preserve">Haiguspuhang on eriti rängalt kahjustanud rahvusvahelist ja Euroopa lennundussektorit. </w:t>
      </w:r>
      <w:r>
        <w:rPr>
          <w:rFonts w:ascii="Times New Roman" w:hAnsi="Times New Roman"/>
          <w:noProof/>
          <w:sz w:val="24"/>
          <w:szCs w:val="24"/>
        </w:rPr>
        <w:t xml:space="preserve">Olukord halveneb iga päevaga. Eeldatavasti väheneb lennuliiklus lähinädalatel veelgi. Selleks et aidata leevendada haiguspuhangu mõju, esitab komisjon sellekohased õigusaktid, et pakkuda lennuettevõtjatele ajutiselt leevendust ELi õigusest tulenevate lennuväljade teenindusaegadega seotud kohustuste täitmisel. Kui need ükskord jõustuvad, võimaldab ajutine meede lennuettevõtjatel kohandada oma veomahtu vastavalt puhangust tingitud nõudluse vähenemisele. </w:t>
      </w:r>
    </w:p>
    <w:p>
      <w:pPr>
        <w:spacing w:line="240" w:lineRule="auto"/>
        <w:jc w:val="both"/>
        <w:rPr>
          <w:rFonts w:ascii="Times New Roman" w:hAnsi="Times New Roman" w:cs="Times New Roman"/>
          <w:b/>
          <w:noProof/>
          <w:sz w:val="24"/>
          <w:szCs w:val="24"/>
        </w:rPr>
      </w:pPr>
      <w:r>
        <w:rPr>
          <w:rFonts w:ascii="Times New Roman" w:hAnsi="Times New Roman"/>
          <w:b/>
          <w:noProof/>
          <w:sz w:val="24"/>
          <w:szCs w:val="24"/>
        </w:rPr>
        <w:t xml:space="preserve">Mis puutub maismaal asuvatesse tarneahelatesse, siis neid on rängalt mõjutanud sisenemiskeelu kehtestamine maismaapiiridel või piirangute kehtestamine teatavatesse liikmesriikidesse sisenevatele sõidukijuhtidele. </w:t>
      </w:r>
      <w:r>
        <w:rPr>
          <w:rFonts w:ascii="Times New Roman" w:hAnsi="Times New Roman"/>
          <w:noProof/>
          <w:sz w:val="24"/>
          <w:szCs w:val="24"/>
        </w:rPr>
        <w:t>See mõjutab kõiki kaupu, kuid eelkõige kriitilise tähtsusega tarnematerjale ja kergesti riknevaid kaupu, ning kuna valdav enamik sektori ettevõtjaid on VKEd, on see mõju kohene ja tõsine.</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Olenemata transpordiliigist teeb komisjon liikmesriikidega koostööd, et tagada majanduslik järjepidevus, kaubavood ja tarneahel, olulised reisimisvõimalused ning siseturu toimimine ja transpordi ohutus. </w:t>
      </w:r>
    </w:p>
    <w:p>
      <w:pPr>
        <w:pStyle w:val="Heading2"/>
        <w:numPr>
          <w:ilvl w:val="1"/>
          <w:numId w:val="5"/>
        </w:numPr>
        <w:spacing w:after="240" w:line="240" w:lineRule="auto"/>
        <w:ind w:left="788" w:hanging="431"/>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Turism</w:t>
      </w:r>
    </w:p>
    <w:p>
      <w:pPr>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Surve ELi turismitööstusele on enneolematu.</w:t>
      </w:r>
      <w:r>
        <w:rPr>
          <w:rFonts w:ascii="Times New Roman" w:hAnsi="Times New Roman"/>
          <w:noProof/>
          <w:sz w:val="24"/>
          <w:szCs w:val="24"/>
        </w:rPr>
        <w:t xml:space="preserve"> Ta seisab silmitsi rahvusvaheliste turistide märkimisväärse vähenemisega (massilised tühistamised ja broneeringute vähenemine näiteks Ameerika, Hiina, Jaapani ja Lõuna-Korea reisijate poolt). Mõju avaldab ka ELi-siseste ja riigisiseste reiside vähenemine, eelkõige ELi kodanike kasvava soovimatuse tõttu reisida ning riiklike ja/või piirkondlike ennetavate ohutusmeetmete tõttu. Turismi ja ärireiside üldine vähenemine mõjutab eriti kõnealuse sektori VKEsid. ELi-siseste ja riigisiseste reiside (mille arvele jääb 87 % saabuvatest turistidest) katkemine alates veebruari lõpust raskendab olukorda veelgi. Eelkõige mõjutab see messide ja kongresside sektorit, kus 2020. aasta esimeses kvartalis tühistati või lükati edasi rohkem kui 220 üritust. COVID-19 puhang ja jõupingutused selle leviku piiramiseks avaldavad üha suuremat survet ka teistele sellega seotud sektoritele, nagu toidu- ja joogiteenused ning haridus- ja kultuuritegevus.</w:t>
      </w:r>
    </w:p>
    <w:p>
      <w:pPr>
        <w:spacing w:after="240" w:line="240" w:lineRule="auto"/>
        <w:jc w:val="both"/>
        <w:rPr>
          <w:rFonts w:ascii="Times New Roman" w:hAnsi="Times New Roman" w:cs="Times New Roman"/>
          <w:b/>
          <w:noProof/>
          <w:sz w:val="24"/>
          <w:szCs w:val="24"/>
        </w:rPr>
      </w:pPr>
      <w:r>
        <w:rPr>
          <w:rFonts w:ascii="Times New Roman" w:hAnsi="Times New Roman"/>
          <w:b/>
          <w:noProof/>
          <w:sz w:val="24"/>
          <w:szCs w:val="24"/>
        </w:rPr>
        <w:t>Komisjon teeb koostööd liikmesriikide, rahvusvaheliste asutuste ja peamiste ELi kutseühingutega, et jälgida olukorda ja kooskõlastada toetusmeetmeid.</w:t>
      </w:r>
    </w:p>
    <w:p>
      <w:pPr>
        <w:pStyle w:val="Heading2"/>
        <w:numPr>
          <w:ilvl w:val="0"/>
          <w:numId w:val="5"/>
        </w:numPr>
        <w:spacing w:after="240" w:line="240" w:lineRule="auto"/>
        <w:ind w:left="357" w:hanging="357"/>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ELi eelarve kasutamine ja Euroopa Investeerimispanga grupi kaasamine</w:t>
      </w:r>
    </w:p>
    <w:p>
      <w:pPr>
        <w:pStyle w:val="Heading2"/>
        <w:numPr>
          <w:ilvl w:val="1"/>
          <w:numId w:val="5"/>
        </w:numPr>
        <w:spacing w:after="240" w:line="240" w:lineRule="auto"/>
        <w:ind w:left="788" w:hanging="431"/>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 xml:space="preserve">Likviidsusmeetmed: toetus ettevõtetele, sektoritele ja piirkondadele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Paljukannatanud VKEde kiireks abistamiseks antakse neile lisaks riiklikul tasandil võetavatele meetmetele ka </w:t>
      </w:r>
      <w:r>
        <w:rPr>
          <w:rFonts w:ascii="Times New Roman" w:hAnsi="Times New Roman"/>
          <w:b/>
          <w:noProof/>
          <w:sz w:val="24"/>
          <w:szCs w:val="24"/>
        </w:rPr>
        <w:t>likviidsustoetust juba olemasolevatest ELi eelarve vahenditest</w:t>
      </w:r>
      <w:r>
        <w:rPr>
          <w:rFonts w:ascii="Times New Roman" w:hAnsi="Times New Roman"/>
          <w:noProof/>
          <w:sz w:val="24"/>
          <w:szCs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Lähinädalatel tehakse ELi eelarvest Euroopa Investeerimisfondile (EIF) tagatisena kättesaadavaks üks miljard eurot, millega saab toetada käibekapitali rahastamist umbes 8 miljardi euro ulatuses. See toetus läheb vähemalt 100 000 Euroopa VKE-le ja väiksemale keskmise turukapitalisatsiooniga ettevõtjale</w:t>
      </w:r>
      <w:r>
        <w:rPr>
          <w:rFonts w:ascii="Times New Roman" w:hAnsi="Times New Roman" w:cs="Times New Roman"/>
          <w:noProof/>
          <w:sz w:val="24"/>
          <w:szCs w:val="24"/>
          <w:vertAlign w:val="superscript"/>
        </w:rPr>
        <w:footnoteReference w:id="3"/>
      </w:r>
      <w:r>
        <w:rPr>
          <w:rFonts w:ascii="Times New Roman" w:hAnsi="Times New Roman"/>
          <w:noProof/>
          <w:sz w:val="24"/>
          <w:szCs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Toetust antakse EIFi programmide investeerimistoetuse olemasolevate vahendite kaudu.</w:t>
      </w:r>
      <w:r>
        <w:rPr>
          <w:rFonts w:ascii="Times New Roman" w:hAnsi="Times New Roman"/>
          <w:noProof/>
          <w:sz w:val="24"/>
          <w:szCs w:val="24"/>
        </w:rPr>
        <w:t xml:space="preserve"> Õigusaktidega lubatud piires keskendutakse vähemalt 12kuise tähtajaga käibekapitalilaenude andmisele. Eelkõige suurendatakse ettevõtete konkurentsivõime ning väikeste ja keskmise suurusega ettevõtjate programmi (COSME) raames ning programmi „Horisont 2020“ raames InnovFin’i VKEde tagatisrahastust antavaid laenutagatisi, et pangad saaksid pakkuda üleminekuvahendeid mikroettevõtjatele, VKEdele ja väiksematele keskmise turukapitalisatsiooniga ettevõtjatele. Neid vahendeid suurendatakse lähinädalatel 750 miljoni euro võrra Euroopa Strateegiliste Investeeringute Fondist (EFSI). Lisaks käivitatakse veel üks sihtotstarbeline meede, mille raames EFSI koostöös ELi riiklike tugipankade ja institutsioonidega eraldab EIFile 250 miljonit eurot, et VKEsid saaks hakata toetama kiiresti.</w:t>
      </w:r>
    </w:p>
    <w:p>
      <w:p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Samade vahendite alusel hakatakse asjaomastele ettevõtjatele võimaldama ka laenupuhkust, lükates edasi laenude tagasimaksetähtajad. See leevendab survet ettevõtjate rahalisele seisule.</w:t>
      </w:r>
      <w:r>
        <w:rPr>
          <w:rFonts w:ascii="Times New Roman" w:hAnsi="Times New Roman"/>
          <w:noProof/>
          <w:sz w:val="24"/>
          <w:szCs w:val="24"/>
        </w:rPr>
        <w:t xml:space="preserve"> Rahastamisvajaduse katmiseks soovitatakse liikmesriikidel täielikult ära kasutada struktuurifondide olemasolevaid rahastuid ja kui vaja, laiendada struktuurifondide uute rahastamisvahendite kasutamist. Komisjon on valmis liikmesriike selles toetama. </w:t>
      </w:r>
    </w:p>
    <w:p>
      <w:pPr>
        <w:spacing w:before="12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Komisjon, kelle koostöö </w:t>
      </w:r>
      <w:r>
        <w:rPr>
          <w:rFonts w:ascii="Times New Roman" w:hAnsi="Times New Roman"/>
          <w:b/>
          <w:noProof/>
          <w:sz w:val="24"/>
          <w:szCs w:val="24"/>
        </w:rPr>
        <w:t>EIP grupi ning Euroopa Rekonstruktsiooni- ja Arengupangaga</w:t>
      </w:r>
      <w:r>
        <w:rPr>
          <w:rFonts w:ascii="Times New Roman" w:hAnsi="Times New Roman"/>
          <w:noProof/>
          <w:sz w:val="24"/>
          <w:szCs w:val="24"/>
        </w:rPr>
        <w:t xml:space="preserve"> on tihe, kutsub neid institutsioone üles võtma sektorite, toodete ja vahendite suhtes viivitamata selliseid meetmeid, millest asjaomastel ettevõtetel oleks kõige rohkem kasu, ning soovitab olukorra kiiret muutumist silmas pidades tegevust tihedalt koordineerida teiste partneritega.</w:t>
      </w:r>
    </w:p>
    <w:tbl>
      <w:tblPr>
        <w:tblStyle w:val="TableGrid"/>
        <w:tblW w:w="0" w:type="auto"/>
        <w:tblLook w:val="04A0" w:firstRow="1" w:lastRow="0" w:firstColumn="1" w:lastColumn="0" w:noHBand="0" w:noVBand="1"/>
      </w:tblPr>
      <w:tblGrid>
        <w:gridCol w:w="9286"/>
      </w:tblGrid>
      <w:tr>
        <w:tc>
          <w:tcPr>
            <w:tcW w:w="9288" w:type="dxa"/>
          </w:tcPr>
          <w:p>
            <w:pPr>
              <w:pStyle w:val="Heading2"/>
              <w:spacing w:before="0" w:after="240"/>
              <w:jc w:val="both"/>
              <w:outlineLvl w:val="1"/>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Likviidsuse säilitamine majanduses: pangandussektor</w:t>
            </w:r>
          </w:p>
          <w:p>
            <w:pPr>
              <w:spacing w:after="240"/>
              <w:jc w:val="both"/>
              <w:rPr>
                <w:rFonts w:ascii="Times New Roman" w:hAnsi="Times New Roman" w:cs="Times New Roman"/>
                <w:noProof/>
                <w:sz w:val="24"/>
                <w:szCs w:val="24"/>
              </w:rPr>
            </w:pPr>
            <w:r>
              <w:rPr>
                <w:rFonts w:ascii="Times New Roman" w:hAnsi="Times New Roman"/>
                <w:b/>
                <w:noProof/>
                <w:sz w:val="24"/>
                <w:szCs w:val="24"/>
              </w:rPr>
              <w:t>Pangandussektoril on COVID-19 puhangu mõju neutraliseerimisel keskne roll, säilitades krediidivoo majanduses.</w:t>
            </w:r>
            <w:r>
              <w:rPr>
                <w:rFonts w:ascii="Times New Roman" w:hAnsi="Times New Roman"/>
                <w:noProof/>
                <w:sz w:val="24"/>
                <w:szCs w:val="24"/>
              </w:rPr>
              <w:t xml:space="preserve"> Kui pangalaenude voog järsult väheneb, aeglustub järsult ka majandustegevus, sest ettevõtetel tekivad raskused tarnijatele ja töötajatele maksmisega. Pankade omavahendite suhtarvud on viimastel aastatel oluliselt paranenud, nende võlad on väiksemad ja kahanenud on sõltuvus lühiajalisest rahastamisest, mis võib olla volatiilne. </w:t>
            </w:r>
          </w:p>
          <w:p>
            <w:pPr>
              <w:spacing w:after="240"/>
              <w:jc w:val="both"/>
              <w:rPr>
                <w:rFonts w:ascii="Times New Roman" w:hAnsi="Times New Roman" w:cs="Times New Roman"/>
                <w:noProof/>
                <w:sz w:val="24"/>
                <w:szCs w:val="24"/>
              </w:rPr>
            </w:pPr>
            <w:r>
              <w:rPr>
                <w:rFonts w:ascii="Times New Roman" w:hAnsi="Times New Roman"/>
                <w:b/>
                <w:noProof/>
                <w:sz w:val="24"/>
                <w:szCs w:val="24"/>
              </w:rPr>
              <w:t>Pankadel peab olema klientidele laenamiseks piisavalt likviidsust.</w:t>
            </w:r>
            <w:r>
              <w:rPr>
                <w:rFonts w:ascii="Times New Roman" w:hAnsi="Times New Roman"/>
                <w:noProof/>
                <w:sz w:val="24"/>
                <w:szCs w:val="24"/>
              </w:rPr>
              <w:t xml:space="preserve"> Komisjon võtab teadmiseks EKP rahapoliitilised otsused, mis avaldati 12. märtsil 2020.</w:t>
            </w:r>
          </w:p>
          <w:p>
            <w:pPr>
              <w:spacing w:after="240"/>
              <w:jc w:val="both"/>
              <w:rPr>
                <w:rFonts w:ascii="Times New Roman" w:hAnsi="Times New Roman" w:cs="Times New Roman"/>
                <w:noProof/>
                <w:sz w:val="24"/>
                <w:szCs w:val="24"/>
              </w:rPr>
            </w:pPr>
            <w:r>
              <w:rPr>
                <w:rFonts w:ascii="Times New Roman" w:hAnsi="Times New Roman"/>
                <w:b/>
                <w:noProof/>
                <w:sz w:val="24"/>
                <w:szCs w:val="24"/>
              </w:rPr>
              <w:t>Pankadele antavat lisalikviidsust peab olema võimalik kasutada ettevõtjatele ja kodumajapidamistele uute laenude andmiseks.</w:t>
            </w:r>
            <w:r>
              <w:rPr>
                <w:rFonts w:ascii="Times New Roman" w:hAnsi="Times New Roman"/>
                <w:noProof/>
                <w:sz w:val="24"/>
                <w:szCs w:val="24"/>
              </w:rPr>
              <w:t xml:space="preserve"> Komisjon võtab teadmiseks ühtse järelevalvemehhanismi ja Euroopa Pangandusjärelevalve 12. märtsi avaldused meetmete kohta, millega leevendatakse COVID-19 mõju ELi pangandussektorile, ning kutsub pädevaid asutusi üles oma tegevust koordineerima ja määrama kindlaks ELi õigusraamistikuga lubatud paindlikkuse otstarbeka kasutamise võimalused. </w:t>
            </w:r>
          </w:p>
          <w:p>
            <w:pPr>
              <w:spacing w:after="240"/>
              <w:jc w:val="both"/>
              <w:rPr>
                <w:rFonts w:ascii="Times New Roman" w:hAnsi="Times New Roman" w:cs="Times New Roman"/>
                <w:noProof/>
                <w:sz w:val="24"/>
                <w:szCs w:val="24"/>
              </w:rPr>
            </w:pPr>
            <w:r>
              <w:rPr>
                <w:rFonts w:ascii="Times New Roman" w:hAnsi="Times New Roman"/>
                <w:b/>
                <w:noProof/>
                <w:sz w:val="24"/>
                <w:szCs w:val="24"/>
              </w:rPr>
              <w:t>ELi õigusraamistik võimaldab valitsusel vajaduse korral anda riigi tagatise vormis toetust pankadele, kellel on probleeme likviidsusele juurdepääsuga.</w:t>
            </w:r>
            <w:r>
              <w:rPr>
                <w:rFonts w:ascii="Times New Roman" w:hAnsi="Times New Roman"/>
                <w:noProof/>
                <w:sz w:val="24"/>
                <w:szCs w:val="24"/>
              </w:rPr>
              <w:t xml:space="preserve"> Kuigi praegu ei ole andmeid pankade likviidsuse vähenemise kohta, võib kriisi süvenedes mõne panga puhul see oht tekkida. Sel juhul ei suudaks need pangad enam ettevõtjatele laenu anda.</w:t>
            </w:r>
          </w:p>
          <w:p>
            <w:pPr>
              <w:spacing w:after="240"/>
              <w:jc w:val="both"/>
              <w:rPr>
                <w:rFonts w:ascii="Times New Roman" w:hAnsi="Times New Roman" w:cs="Times New Roman"/>
                <w:noProof/>
                <w:sz w:val="24"/>
                <w:szCs w:val="24"/>
              </w:rPr>
            </w:pPr>
            <w:r>
              <w:rPr>
                <w:rFonts w:ascii="Times New Roman" w:hAnsi="Times New Roman"/>
                <w:b/>
                <w:noProof/>
                <w:sz w:val="24"/>
                <w:szCs w:val="24"/>
              </w:rPr>
              <w:t>ELi toimimise lepingu artikli 107 lõike 2 punkti b kohast abi pankadele võivad liikmesriigid anda COVID-19 puhangu tõttu tekkinud otsese kahju hüvitamiseks</w:t>
            </w:r>
            <w:r>
              <w:rPr>
                <w:rFonts w:ascii="Times New Roman" w:hAnsi="Times New Roman"/>
                <w:noProof/>
                <w:sz w:val="24"/>
                <w:szCs w:val="24"/>
              </w:rPr>
              <w:t xml:space="preserve"> (vt täiendav selgitus eespool), kuid seda ei tohi anda krediidiasutuse või üksuse elujõulisuse, likviidsuse ega maksevõime säilitamiseks või taastamiseks. Viimasel juhul ei käsitataks sellist abi avaliku sektori erakorralise finantstoetusena.</w:t>
            </w:r>
          </w:p>
        </w:tc>
      </w:tr>
    </w:tbl>
    <w:p>
      <w:pPr>
        <w:spacing w:before="120" w:after="240" w:line="240" w:lineRule="auto"/>
        <w:jc w:val="both"/>
        <w:rPr>
          <w:rFonts w:ascii="Times New Roman" w:hAnsi="Times New Roman" w:cs="Times New Roman"/>
          <w:noProof/>
          <w:sz w:val="24"/>
          <w:szCs w:val="24"/>
        </w:rPr>
      </w:pPr>
    </w:p>
    <w:p>
      <w:pPr>
        <w:rPr>
          <w:rFonts w:ascii="Times New Roman" w:hAnsi="Times New Roman" w:cs="Times New Roman"/>
          <w:noProof/>
          <w:sz w:val="24"/>
          <w:szCs w:val="24"/>
        </w:rPr>
      </w:pPr>
      <w:r>
        <w:rPr>
          <w:noProof/>
          <w:sz w:val="24"/>
          <w:szCs w:val="24"/>
        </w:rPr>
        <w:br w:type="page"/>
      </w:r>
    </w:p>
    <w:p>
      <w:pPr>
        <w:pStyle w:val="Heading2"/>
        <w:numPr>
          <w:ilvl w:val="1"/>
          <w:numId w:val="5"/>
        </w:numPr>
        <w:spacing w:line="240" w:lineRule="auto"/>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Tööhõivele avalduva mõju leevendamine</w:t>
      </w:r>
    </w:p>
    <w:p>
      <w:pPr>
        <w:rPr>
          <w:noProof/>
          <w:sz w:val="24"/>
          <w:szCs w:val="24"/>
        </w:rPr>
      </w:pPr>
    </w:p>
    <w:p>
      <w:pPr>
        <w:pStyle w:val="Briefinglist1"/>
        <w:keepLines w:val="0"/>
        <w:numPr>
          <w:ilvl w:val="0"/>
          <w:numId w:val="0"/>
        </w:numPr>
        <w:spacing w:after="0"/>
        <w:rPr>
          <w:rFonts w:ascii="Times New Roman" w:hAnsi="Times New Roman" w:cs="Times New Roman"/>
          <w:noProof/>
          <w:sz w:val="24"/>
        </w:rPr>
      </w:pPr>
      <w:r>
        <w:rPr>
          <w:rFonts w:ascii="Times New Roman" w:hAnsi="Times New Roman"/>
          <w:b/>
          <w:noProof/>
          <w:sz w:val="24"/>
        </w:rPr>
        <w:t>Selleks et leevendada tootmise katkemise ja müügi vähenemise mõju inimeste tööhõivele ja kõige rängemini mõjutatud sektorite töötajate arvule, tuleb võtta erimeetmeid.</w:t>
      </w:r>
      <w:r>
        <w:rPr>
          <w:rFonts w:ascii="Times New Roman" w:hAnsi="Times New Roman"/>
          <w:noProof/>
          <w:sz w:val="24"/>
        </w:rPr>
        <w:t xml:space="preserve"> Me peame võimalust mööda kaitsma töötajaid haiguspuhangu tulemusel töö ja sissetuleku kaotamise eest. Mitmes liikmesriigis on edukalt rakendatud lühendatud tööaja kava, lühendades ajutiselt töötajate tööaega ja samal ajal toetades nende sissetulekut. Praegu on selline kava olemas 17 liikmesriigis. Oleks hea, kui see oleks olemas kõikjal ELis. Leibkondade sissetulekut saab toetada ka haigushüvitise ajutise pikendamise ning töötushüvitiste korra muutmisega. Viiruse mõju võib vähendada ka kaugtöö laiem kasutamine.</w:t>
      </w:r>
    </w:p>
    <w:p>
      <w:pPr>
        <w:pStyle w:val="Briefinglist1"/>
        <w:keepLines w:val="0"/>
        <w:numPr>
          <w:ilvl w:val="0"/>
          <w:numId w:val="0"/>
        </w:numPr>
        <w:spacing w:after="0"/>
        <w:rPr>
          <w:rFonts w:ascii="Times New Roman" w:hAnsi="Times New Roman" w:cs="Times New Roman"/>
          <w:noProof/>
          <w:sz w:val="24"/>
        </w:rPr>
      </w:pPr>
    </w:p>
    <w:p>
      <w:pPr>
        <w:pStyle w:val="Briefinglist1"/>
        <w:keepLines w:val="0"/>
        <w:numPr>
          <w:ilvl w:val="0"/>
          <w:numId w:val="0"/>
        </w:numPr>
        <w:spacing w:after="0"/>
        <w:rPr>
          <w:rFonts w:ascii="Times New Roman" w:hAnsi="Times New Roman" w:cs="Times New Roman"/>
          <w:noProof/>
          <w:sz w:val="24"/>
        </w:rPr>
      </w:pPr>
      <w:r>
        <w:rPr>
          <w:rFonts w:ascii="Times New Roman" w:hAnsi="Times New Roman"/>
          <w:b/>
          <w:noProof/>
          <w:sz w:val="24"/>
        </w:rPr>
        <w:t>EL on valmis, kus iganes võimalik, toetama liikmesriikide tegevust töötajate olukorra leevendamisel.</w:t>
      </w:r>
      <w:r>
        <w:rPr>
          <w:rFonts w:ascii="Times New Roman" w:hAnsi="Times New Roman"/>
          <w:noProof/>
          <w:sz w:val="24"/>
        </w:rPr>
        <w:t xml:space="preserve"> Ta juba toetab nende võitlust töötusega ELi struktuurifondide, sealhulgas Euroopa Sotsiaalfondi kaudu, ning koroonaviirusega võitlemise investeerimisalgatusega, mida on käsitletud allpool.</w:t>
      </w:r>
    </w:p>
    <w:p>
      <w:pPr>
        <w:pStyle w:val="Briefinglist1"/>
        <w:keepLines w:val="0"/>
        <w:numPr>
          <w:ilvl w:val="0"/>
          <w:numId w:val="0"/>
        </w:numPr>
        <w:spacing w:after="0"/>
        <w:rPr>
          <w:rFonts w:ascii="Times New Roman" w:hAnsi="Times New Roman" w:cs="Times New Roman"/>
          <w:noProof/>
          <w:sz w:val="24"/>
        </w:rPr>
      </w:pPr>
    </w:p>
    <w:p>
      <w:pPr>
        <w:pStyle w:val="Briefinglist1"/>
        <w:keepLines w:val="0"/>
        <w:numPr>
          <w:ilvl w:val="0"/>
          <w:numId w:val="0"/>
        </w:numPr>
        <w:spacing w:after="240"/>
        <w:rPr>
          <w:rFonts w:ascii="Times New Roman" w:hAnsi="Times New Roman" w:cs="Times New Roman"/>
          <w:noProof/>
          <w:sz w:val="24"/>
        </w:rPr>
      </w:pPr>
      <w:r>
        <w:rPr>
          <w:rFonts w:ascii="Times New Roman" w:hAnsi="Times New Roman"/>
          <w:b/>
          <w:noProof/>
          <w:sz w:val="24"/>
        </w:rPr>
        <w:t>Komisjon kiirendab ka Euroopa töötushüvitiste edasikindlustuskava käsitleva seadusandliku ettepaneku väljatöötamist.</w:t>
      </w:r>
      <w:r>
        <w:rPr>
          <w:rFonts w:ascii="Times New Roman" w:hAnsi="Times New Roman"/>
          <w:noProof/>
          <w:sz w:val="24"/>
        </w:rPr>
        <w:t xml:space="preserve"> Selle algatuse eesmärk on toetada töötajaid ja kaitsta suurte šokkide tõttu töö kaotanud inimesi. Lisaks soovitakse vähendada survet riikide rahandusele, tugevdades Euroopa sotsiaalset mõõdet ja suurendades ühtekuuluvust. Kava mõte on toetada riikide püüdlusi säilitada töökohti ja oskusi, kehtestades näiteks lühendatud tööajaga töötamise kava ja/või hõlbustades töö kaotanute töökohavahetust.</w:t>
      </w:r>
    </w:p>
    <w:p>
      <w:pPr>
        <w:pStyle w:val="Heading2"/>
        <w:numPr>
          <w:ilvl w:val="1"/>
          <w:numId w:val="5"/>
        </w:numPr>
        <w:spacing w:line="240" w:lineRule="auto"/>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 xml:space="preserve">Koroonaviirusega võitlemise investeerimisalgatus </w:t>
      </w:r>
    </w:p>
    <w:p>
      <w:pPr>
        <w:rPr>
          <w:noProof/>
          <w:sz w:val="24"/>
          <w:szCs w:val="24"/>
        </w:rPr>
      </w:pPr>
    </w:p>
    <w:p>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noProof/>
          <w:sz w:val="24"/>
          <w:szCs w:val="24"/>
        </w:rPr>
        <w:t>Täna esitas komisjon koroonaviirusega võitlemise investeerimisalgatuse, mille kohaselt eraldatakse ühtekuuluvuspoliitika raames 37 miljardit eurot COVID-19 puhangu ohjeldamisele ja rakendatakse see täielikult 2020. aastal erakorraliste ja kiirendatud menetluste kaudu.</w:t>
      </w:r>
    </w:p>
    <w:p>
      <w:p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szCs w:val="24"/>
        </w:rPr>
        <w:t xml:space="preserve">Selleks teeb komisjon ettepaneku loobuda käesoleval aastal kohustusest nõuda liikmesriikide käes olevate Euroopa struktuuri- ja investeerimisfondide kasutamata eelmaksete tagasimaksmist. Seega saavad liikmesriigid kogu ELis lisaks 29 miljardile eurole struktuurifondide vahenditele kasutada veel ligikaudu 8 miljardit eurot ELi eelarve vahendeid. See suurendab tuntavalt investeeringute mahtu 2020. aastal.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Lisaks peaks kriisiga võitlemisel olema toetuskõlblikud kuni 28 miljardit eurot struktuurifondide riiklikke assigneeringuid, sealhulgas riikide eneste osamaksete vahendeid, mille sihtotstarve on veel kindlaks määramata. See tagab liikmesriikidele vajalikud rahastamisallikad. </w:t>
      </w:r>
    </w:p>
    <w:p>
      <w:p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szCs w:val="24"/>
        </w:rPr>
        <w:t>Komisjon moodustab kõrgeimal tasandil rakkerühma, kes teeb koostööd liikmesriikidega, et tagada selle alusel meetmete võtmine nädalate jooksul.</w:t>
      </w:r>
    </w:p>
    <w:p>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noProof/>
          <w:sz w:val="24"/>
          <w:szCs w:val="24"/>
        </w:rPr>
        <w:t>Ettepaneku põhielement on see, et alates 1. veebruarist 2020 võib struktuurifondidest rahastada kõiki COVID-19 puhangu vastu võitlemisega seotud kulutusi. See võimaldab liikmesriikidel hakata kiiresti kasutama vahendeid puhangu vastu võitlemiseks. Lisaks teeb komisjon ettepaneku võimaldada märkimisväärsete summade ümberpaigutamist programmide raames lihtsustatud viisil. Need meetmed peaksid võimaldama kõigil liikmesriikidel lähinädalatel hinnata ümber prioriteedid ja suunata toetus sinna, kus seda kõige rohkem vajatakse. Eelkõige tuleks:</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toetada tervishoiusüsteemi, näiteks rahastades tervishoiuvahendeid ja ravimeid, testimis- ja raviasutusi, haiguste ennetamist, e-tervise lahendusi, kaitsevahendite ja meditsiiniseadmetega varustamist, kohandada töökeskkonda tervishoiusektoris ja tagada tervishoiuteenuste kättesaadavus haavatavatele elanikkonnarühmadele;</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pakkuda ettevõtetele likviidsust, et need suudaksid tulla toime koroonaviiruse kriisist tingitud lühiajaliste finantsšokkidega, näiteks pakkudes VKEde käibekapitali, et katta kriisist tingitud kahjusid, ja pöörates erilist tähelepanu sektoritele, mis on eriti rängalt kannatanud;</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ajutiselt toetada riikide lühendatud tööaja kavasid, mis aitavad leevendada šokki, kombineerides neid täiendus- ja ümberõppe meetmetega.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Kui programmi muutmist peetakse vajalikuks, teeb komisjon tihedat koostööd riiklike ja piirkondlike ametiasutustega, et ühtlustada ja kiirendada vastavaid menetlusi, võttes arvesse koroonaviirusest tingitud kriisi mõju liikmesriikide haldussuutlikkusele.</w:t>
      </w:r>
    </w:p>
    <w:p>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b/>
          <w:noProof/>
          <w:sz w:val="24"/>
          <w:szCs w:val="24"/>
        </w:rPr>
        <w:t>Koroonaviirusega võitlemise investeerimisalgatuse tulemuslikkus sõltub sellest, kas liikmesriigid tagavad nende meetmete kiire rakendamise ja kas kaasseadusandjad suudavad kiiresti reageerida.</w:t>
      </w:r>
      <w:r>
        <w:rPr>
          <w:rFonts w:ascii="Times New Roman" w:hAnsi="Times New Roman"/>
          <w:noProof/>
          <w:sz w:val="24"/>
          <w:szCs w:val="24"/>
        </w:rPr>
        <w:t xml:space="preserve"> Pidades silmas enneolematuid asjaolusid, kutsub komisjon nõukogu ja Euroopa Parlamenti üles käesolevat komisjoni ettepanekut kiiresti heaks kiitma. </w:t>
      </w:r>
    </w:p>
    <w:p>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b/>
          <w:noProof/>
          <w:sz w:val="24"/>
          <w:szCs w:val="24"/>
        </w:rPr>
        <w:t>Samal ajal võtab komisjon viivitamata ühendust nende liikmesriikidega, keda algatus rohkem puudutab, et alustada algatuse rakendamise ettevalmistamist.</w:t>
      </w:r>
      <w:r>
        <w:rPr>
          <w:rFonts w:ascii="Times New Roman" w:hAnsi="Times New Roman"/>
          <w:noProof/>
          <w:sz w:val="24"/>
          <w:szCs w:val="24"/>
        </w:rPr>
        <w:t xml:space="preserve"> Samuti aitab komisjon liikmesriikidel täielikult ära kasutada ELi programmide raames juba ette nähtud paindlikkust. Liikmesriike kutsutakse üles määrama seda koordineerima valitsuse kõrgema ministri ja kõrgema riigiteenistuja.</w:t>
      </w:r>
      <w:r>
        <w:rPr>
          <w:noProof/>
          <w:sz w:val="24"/>
          <w:szCs w:val="24"/>
        </w:rPr>
        <w:t xml:space="preserve"> </w:t>
      </w:r>
    </w:p>
    <w:p>
      <w:pPr>
        <w:spacing w:line="240" w:lineRule="auto"/>
        <w:jc w:val="both"/>
        <w:rPr>
          <w:rFonts w:ascii="Times New Roman" w:hAnsi="Times New Roman" w:cs="Times New Roman"/>
          <w:b/>
          <w:noProof/>
          <w:sz w:val="24"/>
          <w:szCs w:val="24"/>
        </w:rPr>
      </w:pPr>
      <w:r>
        <w:rPr>
          <w:rFonts w:ascii="Times New Roman" w:hAnsi="Times New Roman"/>
          <w:noProof/>
          <w:sz w:val="24"/>
          <w:szCs w:val="24"/>
        </w:rPr>
        <w:t xml:space="preserve">Lisaks teeb komisjon selle algatuse raames ettepaneku laiendada </w:t>
      </w:r>
      <w:r>
        <w:rPr>
          <w:rFonts w:ascii="Times New Roman" w:hAnsi="Times New Roman"/>
          <w:b/>
          <w:noProof/>
          <w:sz w:val="24"/>
          <w:szCs w:val="24"/>
        </w:rPr>
        <w:t>ELi Solidaarsusfondi</w:t>
      </w:r>
      <w:r>
        <w:rPr>
          <w:rFonts w:ascii="Times New Roman" w:hAnsi="Times New Roman"/>
          <w:noProof/>
          <w:sz w:val="24"/>
          <w:szCs w:val="24"/>
        </w:rPr>
        <w:t xml:space="preserve"> kohaldamisala, lisades sellesse ka rahvatervise kriisi. 2020. aastal on kasutada kuni 800 miljonit eurot.</w:t>
      </w:r>
      <w:r>
        <w:rPr>
          <w:rFonts w:ascii="Times New Roman" w:hAnsi="Times New Roman"/>
          <w:b/>
          <w:noProof/>
          <w:sz w:val="24"/>
          <w:szCs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Koondatud töötajate ja füüsilisest isikust ettevõtjate toetamiseks võiks kasutada ka </w:t>
      </w:r>
      <w:r>
        <w:rPr>
          <w:rFonts w:ascii="Times New Roman" w:hAnsi="Times New Roman"/>
          <w:b/>
          <w:noProof/>
          <w:sz w:val="24"/>
          <w:szCs w:val="24"/>
        </w:rPr>
        <w:t>Globaliseerumisega Kohanemise Euroopa Fondi</w:t>
      </w:r>
      <w:r>
        <w:rPr>
          <w:rFonts w:ascii="Times New Roman" w:hAnsi="Times New Roman"/>
          <w:noProof/>
          <w:sz w:val="24"/>
          <w:szCs w:val="24"/>
        </w:rPr>
        <w:t>. 2020. aastal on kasutada kuni 179 miljonit eurot.</w:t>
      </w:r>
    </w:p>
    <w:p>
      <w:pPr>
        <w:rPr>
          <w:rFonts w:ascii="Times New Roman" w:hAnsi="Times New Roman" w:cs="Times New Roman"/>
          <w:noProof/>
          <w:sz w:val="24"/>
          <w:szCs w:val="24"/>
        </w:rPr>
      </w:pPr>
      <w:r>
        <w:rPr>
          <w:noProof/>
          <w:sz w:val="24"/>
          <w:szCs w:val="24"/>
        </w:rPr>
        <w:br w:type="page"/>
      </w:r>
    </w:p>
    <w:p>
      <w:pPr>
        <w:pStyle w:val="Heading2"/>
        <w:numPr>
          <w:ilvl w:val="0"/>
          <w:numId w:val="5"/>
        </w:numPr>
        <w:spacing w:before="0" w:after="240" w:line="240" w:lineRule="auto"/>
        <w:ind w:left="357" w:hanging="357"/>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 xml:space="preserve">Riigiabi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Võttes arvesse ELi eelarve piiratud mahtu, rahastatakse koroonaviiruse ohjeldamiseks võetavaid fiskaalmeetmeid peamiselt liikmesriikide eelarvetest. ELi riigiabi eeskirjad võimaldavad liikmesriikidel võtta COVID-19 puhangu tõttu majandusraskustesse sattunud kodanike ja ettevõtjate, eelkõige VKEde toetamiseks kiireid ja tulemuslikke meetmeid. Need tagavad ka riigiabi jõudmise abi vajavate ettevõteteni ja hoiavad ära kahjuliku subsideerimisvõidujooksu, mille puhul rohkem vahendeid omavad liikmesriigid saavad kulutada naabritest rohkem, kahjustades seeläbi ühtekuuluvust ELis. </w:t>
      </w:r>
    </w:p>
    <w:p>
      <w:pPr>
        <w:spacing w:line="240" w:lineRule="auto"/>
        <w:jc w:val="both"/>
        <w:rPr>
          <w:rFonts w:ascii="Times New Roman" w:hAnsi="Times New Roman" w:cs="Times New Roman"/>
          <w:b/>
          <w:noProof/>
          <w:sz w:val="24"/>
          <w:szCs w:val="24"/>
        </w:rPr>
      </w:pPr>
      <w:r>
        <w:rPr>
          <w:rFonts w:ascii="Times New Roman" w:hAnsi="Times New Roman"/>
          <w:b/>
          <w:noProof/>
          <w:sz w:val="24"/>
          <w:szCs w:val="24"/>
        </w:rPr>
        <w:t>Liikmesriigid võivad kavandada ulatuslikke toetusmeetmeid kooskõlas kehtivate riigiabi eeskirjadega</w:t>
      </w:r>
      <w:r>
        <w:rPr>
          <w:rStyle w:val="FootnoteReference"/>
          <w:rFonts w:ascii="Times New Roman" w:hAnsi="Times New Roman" w:cs="Times New Roman"/>
          <w:b/>
          <w:noProof/>
          <w:sz w:val="24"/>
          <w:szCs w:val="24"/>
        </w:rPr>
        <w:footnoteReference w:id="4"/>
      </w:r>
      <w:r>
        <w:rPr>
          <w:noProof/>
          <w:sz w:val="24"/>
          <w:szCs w:val="24"/>
        </w:rPr>
        <w:t>.</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 xml:space="preserve">Esiteks võivad liikmesriigid võtta meetmeid, mida kohaldatakse kõigi ettevõtete suhtes, näiteks palgatoetused ning ettevõtte tulumaksu ja käibemaksu või sotsiaalkindlustusmaksete maksmise peatamine. Need meetmed leevendavad otseselt ja tõhusalt ettevõtete finantsraskusi. Need ei kuulu riigiabi kontrolli alla ja liikmesriigid võivad need kehtestada viivitamata ilma komisjoni osaluseta. </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 xml:space="preserve">Teiseks võivad liikmesriigid anda rahalist toetust otse tarbijatele, nt tühistatud teenuste või piletite eest, mida asjaomased ettevõtjad ei hüvita. Ka need meetmed ei kuulu riigiabi kontrolli alla ja liikmesriigid võivad need kehtestada viivitamata ilma komisjoni osaluseta. </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 xml:space="preserve">Kolmandaks võimaldavad ELi toimimise lepingu artikli 107 lõike 3 punktil c põhinevad riigiabi eeskirjad liikmesriikidel komisjoni heakskiidul rahuldada teravaid likviidsusvajadusi ja toetada ettevõtteid, mis on COVID-19 puhangu tõttu pankroti äärel. </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Neljandaks võivad liikmesriigid ELi toimimise lepingu artikli 107 lõike 2 punkti b alusel komisjoni heakskiidul hüvitada ettevõtetele kahju, mis on tekkinud erandlikel asjaoludel, näiteks COVID-19 puhangu tõttu. See hõlmab meetmeid, millega hüvitatakse eriti rängalt kannatada saanud sektorites (nt transport, turism ja majutus) tegutsevatele ettevõtetele ja tühistatud sündmuste korraldajatele viiruse puhangu tõttu tekkinud kahju.</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Viiendaks võib seda täiendada mitmesuguste lisameetmetega (näiteks vähese tähtsusega abi määruse</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ja üldise grupierandi määruse</w:t>
      </w:r>
      <w:r>
        <w:rPr>
          <w:noProof/>
          <w:sz w:val="24"/>
          <w:szCs w:val="24"/>
        </w:rPr>
        <w:footnoteReference w:id="6"/>
      </w:r>
      <w:r>
        <w:rPr>
          <w:rFonts w:ascii="Times New Roman" w:hAnsi="Times New Roman"/>
          <w:noProof/>
          <w:sz w:val="24"/>
          <w:szCs w:val="24"/>
        </w:rPr>
        <w:t xml:space="preserve"> alusel), mida liikmesriigid võivad samuti võtta viivitamata ilma komisjoni osaluseta.</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Itaalias praegu leviva COVID-19 puhangu mõju iseloom ja ulatus võimaldab kohaldada ELi toimimise lepingu artikli 107 lõike 3 punkti b sätteid.</w:t>
      </w:r>
      <w:r>
        <w:rPr>
          <w:rFonts w:ascii="Times New Roman" w:hAnsi="Times New Roman"/>
          <w:noProof/>
          <w:sz w:val="24"/>
          <w:szCs w:val="24"/>
        </w:rPr>
        <w:t xml:space="preserve"> See võimaldab komisjonil heaks kiita täiendavad riiklikud toetusmeetmed mõne liikmesriigi majanduses tõsise häire kõrvaldamiseks, mis komisjoni arvates Itaalias esineb. Sellele järeldusele jõudmisel kaalus komisjon mitmeid erinevaid tegureid, sealhulgas, kuid mitte ainult SKP eeldatavat vähenemist, kehtestatud rangeid avaliku sektori meetmeid, sealhulgas ürituste keelamist, koolide sulgemist, liikumispiiranguid, riikliku tervishoiusüsteemi piiranguid, samuti lendude tühistamist ja teiste riikide kehtestatud reisipiiranguid. </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Komisjoni hinnangutes artikli 107 lõike 3 punkti b kasutamise kohta teiste liikmesriikide puhul kavatsetakse hinnata COVID-19 puhangu mõju nende majandustele sarnasel viisil.</w:t>
      </w:r>
      <w:r>
        <w:rPr>
          <w:rFonts w:ascii="Times New Roman" w:hAnsi="Times New Roman"/>
          <w:noProof/>
          <w:sz w:val="24"/>
          <w:szCs w:val="24"/>
        </w:rPr>
        <w:t xml:space="preserve"> Tegemist on muutuva ja areneva olukorraga. Komisjon jälgib tihedas koostöös liikmesriikidega pidevalt olukorda kogu ELis. Komisjon valmistab ELi toimimise lepingu artikli 107 lõike 3 punkti b alusel ette eriõigusraamistikku, mis vajaduse korral vastu võetakse. Sarnaselt on erandkorras toimitud ka üks kord varem, kui komisjon võttis 2008. aasta finantskriisi ajal 2009. aastal vastu ajutise raamistiku</w:t>
      </w:r>
      <w:r>
        <w:rPr>
          <w:rStyle w:val="FootnoteReference"/>
          <w:rFonts w:ascii="Times New Roman" w:hAnsi="Times New Roman" w:cs="Times New Roman"/>
          <w:noProof/>
          <w:sz w:val="24"/>
          <w:szCs w:val="24"/>
        </w:rPr>
        <w:footnoteReference w:id="7"/>
      </w:r>
      <w:r>
        <w:rPr>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Komisjon on kehtestanud kõik vajalikud menetluslikud lihtsustused, et tagada sujuv komisjoni heakskiitmisprotsess.</w:t>
      </w:r>
      <w:r>
        <w:rPr>
          <w:rFonts w:ascii="Times New Roman" w:hAnsi="Times New Roman"/>
          <w:noProof/>
          <w:sz w:val="24"/>
          <w:szCs w:val="24"/>
        </w:rPr>
        <w:t xml:space="preserve"> Vajaduse korral tehakse otsused paari päeva jooksul pärast liikmesriikidelt täieliku riigiabi teatise saamist. Komisjon on avanud liikmesriikide võimalikele päringutele vastamiseks spetsiaalse e-posti aadressi ja telefoninumbri. Liikmesriikide kiire tegutsemise täiendavaks hõlbustamiseks on komisjon valmis tegema kättesaadavaks vormid, mis põhinevad varasematel otsustel allpool esitatud võimaluste kohta anda ettevõtetele abi kooskõlas kehtivate ELi riigiabi eeskirjadega.</w:t>
      </w:r>
    </w:p>
    <w:p>
      <w:pPr>
        <w:spacing w:after="240" w:line="240" w:lineRule="auto"/>
        <w:jc w:val="both"/>
        <w:rPr>
          <w:rFonts w:ascii="Times New Roman" w:hAnsi="Times New Roman" w:cs="Times New Roman"/>
          <w:noProof/>
          <w:sz w:val="24"/>
          <w:szCs w:val="24"/>
        </w:rPr>
      </w:pPr>
    </w:p>
    <w:p>
      <w:pPr>
        <w:pStyle w:val="Heading2"/>
        <w:numPr>
          <w:ilvl w:val="0"/>
          <w:numId w:val="5"/>
        </w:numPr>
        <w:spacing w:before="0" w:after="240" w:line="240" w:lineRule="auto"/>
        <w:ind w:left="357" w:hanging="357"/>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Euroopa eelarveraamistiku kogu paindlikkuse kasutamine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Suunatud eelarvepoliitilisi toetusmeetmeid tuleks rakendada kooskõlas punktis 5 kirjeldatud põhimõtetega, et võidelda viiruspuhangu vahetute negatiivsete sotsiaal-majanduslike tagajärgedega. See hõlmab toetust konkreetsete sektorite ja piirkondade ettevõtjatele, eelkõige VKEdele, kes seisavad silmitsi tootmis- või müügihäiretega ja keda seetõttu mõjutab likviidsussurve. Meetmed võiksid hõlmata järgmist.</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 xml:space="preserve">Mõjutatud piirkondade ja sektorite ettevõtjatele suunatud maksumeetmed (nt äriühingu tulumaksu, sotsiaalkindlustusmaksete ja käibemaksu tasumise edasilükkamine; valitsemissektori maksete ja võlgnevuste ettemaksmine; maksusoodustused; otsene rahaline toetus). </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 xml:space="preserve">Tagatised pankadele, et aidata käibekapitali ja ekspordigarantiiga ettevõtjaid, mida võib täiendada järelevalvemeetmetega.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Need fiskaalmeetmed ja meetmed töötajate kaitsmiseks sissetuleku vähenemise eest on kiireloomulised, eesmärgiga toetada majandustegevust ja neid tuleks kasutada majanduslanguse leevendamiseks. Hästi koordineeritud fiskaalmeetmete eesmärk peaks olema võidelda usalduse kadumise ja sellega seotud nõudluse vähenemise vastu. Otsustav tegutsemine praegu aitab maksimeerida meie meetmete mõju ja nende hilisemat tulemuslikkust. </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Komisjon teeb nõukogule ettepaneku kohaldada ELi eelarveraamistiku kogu paindlikkust, et aidata liikmesriikidel tegeleda COVID-19 puhangu ja selle tagajärgedega. </w:t>
      </w:r>
    </w:p>
    <w:p>
      <w:pPr>
        <w:spacing w:after="0" w:line="240" w:lineRule="auto"/>
        <w:jc w:val="both"/>
        <w:rPr>
          <w:rFonts w:ascii="Times New Roman" w:hAnsi="Times New Roman" w:cs="Times New Roman"/>
          <w:noProof/>
          <w:sz w:val="24"/>
          <w:szCs w:val="24"/>
        </w:rPr>
      </w:pP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 xml:space="preserve">ELi eelarve-eeskirjade järgimise hindamisel teeb komisjon nõukogule ettepaneku mitte arvestada COVID-19 majandusliku mõju tasakaalustamiseks võetud ühekordsete fiskaalmeetmete mõju eelarvele. Stabiilsuse ja kasvu pakt võtab arvesse sihtotstarbelisi erakorralisi kulutusi. Sellised toetusmeetmeid, mis on vajalikud selleks, et i) piirata ja hallata pandeemiat, ii) tagada ettevõtjatele ja sektoritele likviidsustoetus, iii) tagada mõjutatud töötajate töökohtade ja sissetulekute säilimine, võib pidada ühekordseteks eelarvekuludeks. </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Komisjon leiab, et praeguses olukorras tuleks kohaldada paindlikkust, et võtta arvesse valitsuse kontrolli alt väljunud erakorralisi sündmusi. Kui valitsuse kontrolli alt väljas olev erakorraline sündmus mõjutab oluliselt liikmesriigi eelarvepositsiooni, nähakse stabiilsuse ja kasvu paktiga ette, et liikmesriigid võivad nõutavatest eelarvekohandustest ajutiselt kõrvale kalduda. Selle tulemusena võib see klausel hõlmata ka erakorralisi kulutusi COVID-19 puhangu ohjeldamiseks. Seda klauslit võib eelkõige kohaldada tervishoiukulude ning ettevõtjatele ja töötajatele suunatud sihtotstarbeliste leevendusmeetmete suhtes, tingimusel et need on ajutised ja puhanguga seotud. Komisjon järgib nõukogule ettepanekute ja soovituste tegemisel kõnealust lähenemisviisi.</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Komisjon teeb nõukogule ettepaneku, et liidu institutsioonid muudaksid liikmesriikidelt nõutavat eelarvekohandust vastavalt ELi eelarve-eeskirjadele. See võimaldaks majanduslanguse või majandustegevuse olulise aeglustumise korral võtta arvesse iga riigi konkreetset olukorda.</w:t>
      </w:r>
    </w:p>
    <w:p>
      <w:pPr>
        <w:pStyle w:val="ListParagraph"/>
        <w:numPr>
          <w:ilvl w:val="0"/>
          <w:numId w:val="11"/>
        </w:numPr>
        <w:spacing w:after="240"/>
        <w:jc w:val="both"/>
        <w:rPr>
          <w:rFonts w:ascii="Times New Roman" w:hAnsi="Times New Roman" w:cs="Times New Roman"/>
          <w:noProof/>
          <w:sz w:val="24"/>
          <w:szCs w:val="24"/>
        </w:rPr>
      </w:pPr>
      <w:r>
        <w:rPr>
          <w:rFonts w:ascii="Times New Roman" w:hAnsi="Times New Roman"/>
          <w:noProof/>
          <w:sz w:val="24"/>
          <w:szCs w:val="24"/>
        </w:rPr>
        <w:t>Komisjon on valmis tegema nõukogule ettepaneku, et liidu institutsioonid aktiveeriksid üldise vabastusklausli, võimaldamaks üldisemat eelarvepoliitilist toetust. Selle klausliga peatataks koostöös nõukoguga euroala või ELi tõsise majanduslanguse korral nõukogu soovitatud eelarve kohandamine.</w:t>
      </w:r>
    </w:p>
    <w:p>
      <w:pPr>
        <w:pStyle w:val="ListParagraph"/>
        <w:spacing w:after="240"/>
        <w:jc w:val="both"/>
        <w:rPr>
          <w:rFonts w:ascii="Times New Roman" w:hAnsi="Times New Roman" w:cs="Times New Roman"/>
          <w:noProof/>
          <w:sz w:val="24"/>
          <w:szCs w:val="24"/>
        </w:rPr>
      </w:pPr>
    </w:p>
    <w:p>
      <w:pPr>
        <w:pStyle w:val="Heading2"/>
        <w:numPr>
          <w:ilvl w:val="0"/>
          <w:numId w:val="5"/>
        </w:numPr>
        <w:spacing w:line="240" w:lineRule="auto"/>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 xml:space="preserve">Kokkuvõte </w:t>
      </w:r>
    </w:p>
    <w:p>
      <w:pPr>
        <w:rPr>
          <w:noProof/>
          <w:sz w:val="24"/>
          <w:szCs w:val="24"/>
        </w:rPr>
      </w:pPr>
    </w:p>
    <w:p>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COVID-19 puhangu sotsiaal-majanduslike mõjude tasakaalustamiseks on vaja ELi poliitikakujundajate õigeaegselt ja koordineeritult võetud julgeid meetmeid. Käesolevas teatises kirjeldatud meetmete kiire rakendamine täidab selles püüdluses keskset rolli. Komisjon jälgib olukorra arengut tähelepanelikult. Ta on vajaduse korral valmis uuteks algatusteks. </w:t>
      </w:r>
    </w:p>
    <w:p>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noProof/>
          <w:sz w:val="24"/>
          <w:szCs w:val="24"/>
        </w:rPr>
        <w:t>Väljakuulutatud meetmed käsitlevad tänast olukorda.</w:t>
      </w:r>
    </w:p>
    <w:p>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noProof/>
          <w:sz w:val="24"/>
          <w:szCs w:val="24"/>
        </w:rPr>
        <w:t>Peame arvestama, et olukord muutub kogu aeg. Välistada ei saa majandusväljavaadete edasist halvenemist.</w:t>
      </w:r>
    </w:p>
    <w:p>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noProof/>
          <w:sz w:val="24"/>
          <w:szCs w:val="24"/>
        </w:rPr>
        <w:t>Alates viimasest finantskriisist on liidu käsutuses võimsad vahendid, millega toetada liikmesriike ja tagada finantsturgude stabiilsus. Oleme varasematest aastatest õppinud ja tegutseme, kasutades kõiki olemasolevaid vahendeid. Liit peaks tegema kõik endast oleneva, et minimeerida COVID-19 ja sellega seotud tõkestamismeetmete mõju meie kodanikele, ettevõtjatele ja majandusele. Meie koordineeritud ja julgete meetmete ühe osana tehakse teatavaks ka teatises väljakuulutatust ulatuslikumad riiklikud meetmed, mida rakendatakse solidaarsuse vaimus ühiselt ja ELi vahendeid võimalikult hästi ära kasutades.</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66717648"/>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Vt 1. lisa.</w:t>
      </w: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Vt 2. lisa.</w:t>
      </w:r>
    </w:p>
  </w:footnote>
  <w:footnote w:id="3">
    <w:p>
      <w:pPr>
        <w:spacing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Toetuse allikad ja otstarve: </w:t>
      </w:r>
    </w:p>
    <w:p>
      <w:pPr>
        <w:pStyle w:val="ListParagraph"/>
        <w:numPr>
          <w:ilvl w:val="0"/>
          <w:numId w:val="23"/>
        </w:numPr>
        <w:jc w:val="both"/>
        <w:rPr>
          <w:rFonts w:ascii="Times New Roman" w:hAnsi="Times New Roman" w:cs="Times New Roman"/>
          <w:sz w:val="20"/>
          <w:szCs w:val="20"/>
        </w:rPr>
      </w:pPr>
      <w:r>
        <w:rPr>
          <w:rFonts w:ascii="Times New Roman" w:hAnsi="Times New Roman"/>
          <w:sz w:val="20"/>
          <w:szCs w:val="20"/>
        </w:rPr>
        <w:t>500 miljonit eurot EFSI ELi tagatist eraldatakse COSME programmi laenutagatistele ja muutuvad kättesaadavaks lähinädalatel;</w:t>
      </w:r>
    </w:p>
    <w:p>
      <w:pPr>
        <w:pStyle w:val="ListParagraph"/>
        <w:numPr>
          <w:ilvl w:val="0"/>
          <w:numId w:val="23"/>
        </w:numPr>
        <w:contextualSpacing/>
        <w:jc w:val="both"/>
        <w:rPr>
          <w:rFonts w:ascii="Times New Roman" w:hAnsi="Times New Roman" w:cs="Times New Roman"/>
          <w:sz w:val="20"/>
          <w:szCs w:val="20"/>
        </w:rPr>
      </w:pPr>
      <w:r>
        <w:rPr>
          <w:rFonts w:ascii="Times New Roman" w:hAnsi="Times New Roman"/>
          <w:sz w:val="20"/>
          <w:szCs w:val="20"/>
        </w:rPr>
        <w:t>100 miljonit eurot EFSI ELi tagatisest nähakse ette InnovFin’i VKEde tagatisrahastule ja muutuvad kättesaadavaks lähinädalatel;</w:t>
      </w:r>
    </w:p>
    <w:p>
      <w:pPr>
        <w:pStyle w:val="ListParagraph"/>
        <w:numPr>
          <w:ilvl w:val="0"/>
          <w:numId w:val="23"/>
        </w:numPr>
        <w:contextualSpacing/>
        <w:jc w:val="both"/>
        <w:rPr>
          <w:rFonts w:ascii="Times New Roman" w:hAnsi="Times New Roman" w:cs="Times New Roman"/>
          <w:sz w:val="20"/>
          <w:szCs w:val="20"/>
        </w:rPr>
      </w:pPr>
      <w:r>
        <w:rPr>
          <w:rFonts w:ascii="Times New Roman" w:hAnsi="Times New Roman"/>
          <w:sz w:val="20"/>
          <w:szCs w:val="20"/>
        </w:rPr>
        <w:t>EFSI taristu- ja innovatsioonikomponendi raames on juba kättesaadav 250 miljonit eurot, mis suunatakse ümber VKEde toetamise vahenditesse, võimalust mööda koordineerides tegevust ELi riiklike tugipankadega;</w:t>
      </w:r>
    </w:p>
    <w:p>
      <w:pPr>
        <w:pStyle w:val="ListParagraph"/>
        <w:numPr>
          <w:ilvl w:val="0"/>
          <w:numId w:val="23"/>
        </w:numPr>
        <w:contextualSpacing/>
        <w:jc w:val="both"/>
        <w:rPr>
          <w:rFonts w:ascii="Times New Roman" w:hAnsi="Times New Roman" w:cs="Times New Roman"/>
        </w:rPr>
      </w:pPr>
      <w:r>
        <w:rPr>
          <w:rFonts w:ascii="Times New Roman" w:hAnsi="Times New Roman"/>
          <w:sz w:val="20"/>
          <w:szCs w:val="20"/>
        </w:rPr>
        <w:t>150 miljonit eurot EFSI VKEde komponendi vahendeid suunatakse pikemaajaliste konkreetsete meetmete asemel kiirema mõjuga lühemaajalistesse meetmetesse.</w:t>
      </w:r>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Eri liiki instrumentide üksikasjad on esitatud 3. lisas.</w:t>
      </w:r>
    </w:p>
  </w:footnote>
  <w:footnote w:id="5">
    <w:p>
      <w:pPr>
        <w:pStyle w:val="FootnoteText"/>
      </w:pPr>
      <w:r>
        <w:rPr>
          <w:rStyle w:val="FootnoteReference"/>
        </w:rPr>
        <w:footnoteRef/>
      </w:r>
      <w:r>
        <w:t xml:space="preserve"> </w:t>
      </w:r>
      <w:r>
        <w:rPr>
          <w:rFonts w:ascii="Times New Roman" w:hAnsi="Times New Roman"/>
        </w:rPr>
        <w:t>Vähese tähtsusega abi määruse (18. detsembri 2013. aasta määrus (EL) nr 1407/2013, milles käsitletakse Euroopa Liidu toimimise lepingu artiklite 107 ja 108 kohaldamist vähese tähtsusega abi suhtes) kohaselt ei kujuta kolme aasta jooksul antav kuni 200 000 euro suurune toetus endast riigiabi. Autokaubaveo sektoris on künnis 100 000 eurot kolme aasta jooksul. Põllumajanduse ja kalanduse puhul on künnis vastavalt 25 000 eurot ja 30 000 eurot.</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Komisjoni 17. juuni 2014. aasta määrus (EL) nr 651/2014. </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Ajutine ühenduse riigiabi meetmete raamistik praeguses finants- ja majanduskriisis rahastamisele juurdepääsu toetamiseks, esialgne versioon (ELT C 16, 22.1.2009, lk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BAA"/>
    <w:multiLevelType w:val="hybridMultilevel"/>
    <w:tmpl w:val="A95CA4A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A00AC"/>
    <w:multiLevelType w:val="hybridMultilevel"/>
    <w:tmpl w:val="FD3C8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E30E31"/>
    <w:multiLevelType w:val="hybridMultilevel"/>
    <w:tmpl w:val="46C8B522"/>
    <w:lvl w:ilvl="0" w:tplc="900455D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E58E3"/>
    <w:multiLevelType w:val="hybridMultilevel"/>
    <w:tmpl w:val="962E0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C3C0013"/>
    <w:multiLevelType w:val="hybridMultilevel"/>
    <w:tmpl w:val="B914D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745F87"/>
    <w:multiLevelType w:val="hybridMultilevel"/>
    <w:tmpl w:val="F886E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4996626"/>
    <w:multiLevelType w:val="hybridMultilevel"/>
    <w:tmpl w:val="F028CB88"/>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785"/>
        </w:tabs>
        <w:ind w:left="785"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8D2C52"/>
    <w:multiLevelType w:val="hybridMultilevel"/>
    <w:tmpl w:val="08089484"/>
    <w:lvl w:ilvl="0" w:tplc="DE948FA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C23A54"/>
    <w:multiLevelType w:val="hybridMultilevel"/>
    <w:tmpl w:val="E374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C23D58"/>
    <w:multiLevelType w:val="hybridMultilevel"/>
    <w:tmpl w:val="AE9C2F4C"/>
    <w:lvl w:ilvl="0" w:tplc="BE5EB706">
      <w:start w:val="1"/>
      <w:numFmt w:val="bullet"/>
      <w:pStyle w:val="Briefinglist2"/>
      <w:lvlText w:val=""/>
      <w:lvlJc w:val="left"/>
      <w:pPr>
        <w:tabs>
          <w:tab w:val="num" w:pos="1724"/>
        </w:tabs>
        <w:ind w:left="172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nsid w:val="2ACC132B"/>
    <w:multiLevelType w:val="hybridMultilevel"/>
    <w:tmpl w:val="E16C912A"/>
    <w:lvl w:ilvl="0" w:tplc="7A185360">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75128E"/>
    <w:multiLevelType w:val="hybridMultilevel"/>
    <w:tmpl w:val="40D24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9902C2"/>
    <w:multiLevelType w:val="hybridMultilevel"/>
    <w:tmpl w:val="015A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A37F47"/>
    <w:multiLevelType w:val="hybridMultilevel"/>
    <w:tmpl w:val="1032929E"/>
    <w:lvl w:ilvl="0" w:tplc="900455D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F30698"/>
    <w:multiLevelType w:val="hybridMultilevel"/>
    <w:tmpl w:val="B914D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F9427D"/>
    <w:multiLevelType w:val="hybridMultilevel"/>
    <w:tmpl w:val="CC600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AD2C3E"/>
    <w:multiLevelType w:val="hybridMultilevel"/>
    <w:tmpl w:val="E22660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nsid w:val="36517F7A"/>
    <w:multiLevelType w:val="hybridMultilevel"/>
    <w:tmpl w:val="578AC880"/>
    <w:lvl w:ilvl="0" w:tplc="08090013">
      <w:start w:val="1"/>
      <w:numFmt w:val="upperRoman"/>
      <w:lvlText w:val="%1."/>
      <w:lvlJc w:val="right"/>
      <w:pPr>
        <w:ind w:left="720" w:hanging="360"/>
      </w:pPr>
      <w:rPr>
        <w:i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8">
    <w:nsid w:val="3900727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D64B73"/>
    <w:multiLevelType w:val="hybridMultilevel"/>
    <w:tmpl w:val="8D6C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F476B4"/>
    <w:multiLevelType w:val="hybridMultilevel"/>
    <w:tmpl w:val="704A64C6"/>
    <w:lvl w:ilvl="0" w:tplc="08090013">
      <w:start w:val="1"/>
      <w:numFmt w:val="upperRoman"/>
      <w:lvlText w:val="%1."/>
      <w:lvlJc w:val="right"/>
      <w:pPr>
        <w:ind w:left="644"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46434DAA"/>
    <w:multiLevelType w:val="hybridMultilevel"/>
    <w:tmpl w:val="45F421C8"/>
    <w:lvl w:ilvl="0" w:tplc="2EBC46BE">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150F2E"/>
    <w:multiLevelType w:val="hybridMultilevel"/>
    <w:tmpl w:val="28DA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B72C0C"/>
    <w:multiLevelType w:val="hybridMultilevel"/>
    <w:tmpl w:val="F34C6F18"/>
    <w:lvl w:ilvl="0" w:tplc="00CAB8E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3176F6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2E6099"/>
    <w:multiLevelType w:val="hybridMultilevel"/>
    <w:tmpl w:val="2506BE86"/>
    <w:lvl w:ilvl="0" w:tplc="0809000F">
      <w:start w:val="1"/>
      <w:numFmt w:val="decimal"/>
      <w:lvlText w:val="%1."/>
      <w:lvlJc w:val="left"/>
      <w:pPr>
        <w:ind w:left="644"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58306392"/>
    <w:multiLevelType w:val="hybridMultilevel"/>
    <w:tmpl w:val="CD6410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7">
    <w:nsid w:val="627D1D76"/>
    <w:multiLevelType w:val="hybridMultilevel"/>
    <w:tmpl w:val="899E1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167BCF"/>
    <w:multiLevelType w:val="hybridMultilevel"/>
    <w:tmpl w:val="21D8A0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B1F53E9"/>
    <w:multiLevelType w:val="hybridMultilevel"/>
    <w:tmpl w:val="FC32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7A28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E690B7C"/>
    <w:multiLevelType w:val="hybridMultilevel"/>
    <w:tmpl w:val="B56A2EC8"/>
    <w:lvl w:ilvl="0" w:tplc="F3885454">
      <w:start w:val="1"/>
      <w:numFmt w:val="decimal"/>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nsid w:val="6F1F4A4E"/>
    <w:multiLevelType w:val="hybridMultilevel"/>
    <w:tmpl w:val="93CED3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168752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16E5CFF"/>
    <w:multiLevelType w:val="hybridMultilevel"/>
    <w:tmpl w:val="FF90E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43327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9202462"/>
    <w:multiLevelType w:val="hybridMultilevel"/>
    <w:tmpl w:val="1462462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38">
    <w:nsid w:val="7FDF534D"/>
    <w:multiLevelType w:val="hybridMultilevel"/>
    <w:tmpl w:val="DC2C2E94"/>
    <w:lvl w:ilvl="0" w:tplc="4C6883F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21"/>
  </w:num>
  <w:num w:numId="5">
    <w:abstractNumId w:val="33"/>
  </w:num>
  <w:num w:numId="6">
    <w:abstractNumId w:val="2"/>
  </w:num>
  <w:num w:numId="7">
    <w:abstractNumId w:val="13"/>
  </w:num>
  <w:num w:numId="8">
    <w:abstractNumId w:val="2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5"/>
  </w:num>
  <w:num w:numId="12">
    <w:abstractNumId w:val="16"/>
  </w:num>
  <w:num w:numId="13">
    <w:abstractNumId w:val="3"/>
  </w:num>
  <w:num w:numId="14">
    <w:abstractNumId w:val="20"/>
  </w:num>
  <w:num w:numId="15">
    <w:abstractNumId w:val="17"/>
  </w:num>
  <w:num w:numId="16">
    <w:abstractNumId w:val="31"/>
  </w:num>
  <w:num w:numId="17">
    <w:abstractNumId w:val="38"/>
  </w:num>
  <w:num w:numId="18">
    <w:abstractNumId w:val="19"/>
  </w:num>
  <w:num w:numId="19">
    <w:abstractNumId w:val="27"/>
  </w:num>
  <w:num w:numId="20">
    <w:abstractNumId w:val="14"/>
  </w:num>
  <w:num w:numId="21">
    <w:abstractNumId w:val="34"/>
  </w:num>
  <w:num w:numId="22">
    <w:abstractNumId w:val="22"/>
  </w:num>
  <w:num w:numId="23">
    <w:abstractNumId w:val="23"/>
  </w:num>
  <w:num w:numId="24">
    <w:abstractNumId w:val="32"/>
  </w:num>
  <w:num w:numId="25">
    <w:abstractNumId w:val="4"/>
  </w:num>
  <w:num w:numId="26">
    <w:abstractNumId w:val="1"/>
  </w:num>
  <w:num w:numId="27">
    <w:abstractNumId w:val="8"/>
  </w:num>
  <w:num w:numId="28">
    <w:abstractNumId w:val="37"/>
    <w:lvlOverride w:ilvl="0">
      <w:startOverride w:val="1"/>
    </w:lvlOverride>
  </w:num>
  <w:num w:numId="29">
    <w:abstractNumId w:val="30"/>
  </w:num>
  <w:num w:numId="30">
    <w:abstractNumId w:val="29"/>
  </w:num>
  <w:num w:numId="31">
    <w:abstractNumId w:val="15"/>
  </w:num>
  <w:num w:numId="32">
    <w:abstractNumId w:val="35"/>
  </w:num>
  <w:num w:numId="33">
    <w:abstractNumId w:val="7"/>
  </w:num>
  <w:num w:numId="34">
    <w:abstractNumId w:val="18"/>
  </w:num>
  <w:num w:numId="35">
    <w:abstractNumId w:val="36"/>
  </w:num>
  <w:num w:numId="36">
    <w:abstractNumId w:val="6"/>
  </w:num>
  <w:num w:numId="37">
    <w:abstractNumId w:val="24"/>
  </w:num>
  <w:num w:numId="38">
    <w:abstractNumId w:val="12"/>
  </w:num>
  <w:num w:numId="39">
    <w:abstractNumId w:val="28"/>
  </w:num>
  <w:num w:numId="40">
    <w:abstractNumId w:val="10"/>
  </w:num>
  <w:num w:numId="41">
    <w:abstractNumId w:val="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E3B161C-C3DF-4337-AFA4-DA97FCA00A1C"/>
    <w:docVar w:name="LW_COVERPAGE_TYPE" w:val="1"/>
    <w:docVar w:name="LW_CROSSREFERENCE" w:val="&lt;UNUSED&gt;"/>
    <w:docVar w:name="LW_DocType" w:val="NORMAL"/>
    <w:docVar w:name="LW_EMISSION" w:val="13.3.2020"/>
    <w:docVar w:name="LW_EMISSION_ISODATE" w:val="2020-03-13"/>
    <w:docVar w:name="LW_EMISSION_LOCATION" w:val="BRX"/>
    <w:docVar w:name="LW_EMISSION_PREFIX" w:val="Brüssel,"/>
    <w:docVar w:name="LW_EMISSION_SUFFIX" w:val=" "/>
    <w:docVar w:name="LW_ID_DOCTYPE_NONLW" w:val="CP-009"/>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20) 1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roopa koordineeritud majanduslikud meetmed COVID-19 puhangule reageerimiseks"/>
    <w:docVar w:name="LW_TYPE.DOC.CP" w:val="KOMISJONI TEATIS"/>
    <w:docVar w:name="LW_TYPE.DOC.CP.USERTEXT" w:val="EUROOPA PARLAMENDILE, ÜLEMKOGULE, EUROOPA NÕUKOGULE, EUROOPA KESKPANGALE, EUROOPA INVESTEERIMISPANGALE JA EURORÜHMA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Pr>
      <w:b/>
      <w:bCs/>
    </w:rPr>
  </w:style>
  <w:style w:type="character" w:customStyle="1" w:styleId="prdnormal">
    <w:name w:val="prdnormal"/>
    <w:basedOn w:val="DefaultParagraphFont"/>
  </w:style>
  <w:style w:type="paragraph" w:customStyle="1" w:styleId="Briefinglist1">
    <w:name w:val="Briefing list 1"/>
    <w:basedOn w:val="Normal"/>
    <w:pPr>
      <w:keepLines/>
      <w:numPr>
        <w:numId w:val="1"/>
      </w:numPr>
      <w:spacing w:after="120" w:line="240" w:lineRule="auto"/>
      <w:jc w:val="both"/>
    </w:pPr>
    <w:rPr>
      <w:rFonts w:ascii="Arial" w:eastAsia="Times New Roman" w:hAnsi="Arial" w:cs="Arial"/>
      <w:szCs w:val="24"/>
    </w:rPr>
  </w:style>
  <w:style w:type="paragraph" w:customStyle="1" w:styleId="Briefinglist2">
    <w:name w:val="Briefing list 2"/>
    <w:basedOn w:val="Normal"/>
    <w:pPr>
      <w:keepLines/>
      <w:numPr>
        <w:numId w:val="2"/>
      </w:numPr>
      <w:spacing w:after="120" w:line="240" w:lineRule="auto"/>
      <w:jc w:val="both"/>
    </w:pPr>
    <w:rPr>
      <w:rFonts w:ascii="Arial" w:eastAsia="Times New Roman" w:hAnsi="Arial" w:cs="Arial"/>
      <w:szCs w:val="24"/>
    </w:rPr>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rPr>
      <w:rFonts w:ascii="Calibri" w:hAnsi="Calibri" w:cs="Calibri"/>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before="0"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paragraph" w:customStyle="1" w:styleId="Considrant">
    <w:name w:val="Considérant"/>
    <w:basedOn w:val="Normal"/>
    <w:pPr>
      <w:numPr>
        <w:numId w:val="28"/>
      </w:numPr>
      <w:spacing w:before="120" w:after="120" w:line="240" w:lineRule="auto"/>
      <w:jc w:val="both"/>
    </w:pPr>
    <w:rPr>
      <w:rFonts w:ascii="Times New Roman" w:hAnsi="Times New Roman" w:cs="Times New Roman"/>
      <w:sz w:val="24"/>
      <w:szCs w:val="24"/>
      <w:lang w:eastAsia="en-GB"/>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lang w:val="et-EE"/>
    </w:rPr>
  </w:style>
  <w:style w:type="character" w:customStyle="1" w:styleId="Bodytext2">
    <w:name w:val="Body text|2_"/>
    <w:basedOn w:val="DefaultParagraphFont"/>
    <w:link w:val="Bodytext20"/>
    <w:rPr>
      <w:rFonts w:ascii="Arial" w:eastAsia="Arial" w:hAnsi="Arial" w:cs="Arial"/>
      <w:sz w:val="19"/>
      <w:szCs w:val="19"/>
      <w:shd w:val="clear" w:color="auto" w:fill="FFFFFF"/>
    </w:rPr>
  </w:style>
  <w:style w:type="paragraph" w:customStyle="1" w:styleId="Bodytext20">
    <w:name w:val="Body text|2"/>
    <w:basedOn w:val="Normal"/>
    <w:link w:val="Bodytext2"/>
    <w:qFormat/>
    <w:pPr>
      <w:widowControl w:val="0"/>
      <w:shd w:val="clear" w:color="auto" w:fill="FFFFFF"/>
      <w:spacing w:after="220" w:line="212" w:lineRule="exact"/>
    </w:pPr>
    <w:rPr>
      <w:rFonts w:ascii="Arial" w:eastAsia="Arial" w:hAnsi="Arial" w:cs="Arial"/>
      <w:sz w:val="19"/>
      <w:szCs w:val="19"/>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Pr>
      <w:b/>
      <w:bCs/>
    </w:rPr>
  </w:style>
  <w:style w:type="character" w:customStyle="1" w:styleId="prdnormal">
    <w:name w:val="prdnormal"/>
    <w:basedOn w:val="DefaultParagraphFont"/>
  </w:style>
  <w:style w:type="paragraph" w:customStyle="1" w:styleId="Briefinglist1">
    <w:name w:val="Briefing list 1"/>
    <w:basedOn w:val="Normal"/>
    <w:pPr>
      <w:keepLines/>
      <w:numPr>
        <w:numId w:val="1"/>
      </w:numPr>
      <w:spacing w:after="120" w:line="240" w:lineRule="auto"/>
      <w:jc w:val="both"/>
    </w:pPr>
    <w:rPr>
      <w:rFonts w:ascii="Arial" w:eastAsia="Times New Roman" w:hAnsi="Arial" w:cs="Arial"/>
      <w:szCs w:val="24"/>
    </w:rPr>
  </w:style>
  <w:style w:type="paragraph" w:customStyle="1" w:styleId="Briefinglist2">
    <w:name w:val="Briefing list 2"/>
    <w:basedOn w:val="Normal"/>
    <w:pPr>
      <w:keepLines/>
      <w:numPr>
        <w:numId w:val="2"/>
      </w:numPr>
      <w:spacing w:after="120" w:line="240" w:lineRule="auto"/>
      <w:jc w:val="both"/>
    </w:pPr>
    <w:rPr>
      <w:rFonts w:ascii="Arial" w:eastAsia="Times New Roman" w:hAnsi="Arial" w:cs="Arial"/>
      <w:szCs w:val="24"/>
    </w:rPr>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rPr>
      <w:rFonts w:ascii="Calibri" w:hAnsi="Calibri" w:cs="Calibri"/>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before="0"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paragraph" w:customStyle="1" w:styleId="Considrant">
    <w:name w:val="Considérant"/>
    <w:basedOn w:val="Normal"/>
    <w:pPr>
      <w:numPr>
        <w:numId w:val="28"/>
      </w:numPr>
      <w:spacing w:before="120" w:after="120" w:line="240" w:lineRule="auto"/>
      <w:jc w:val="both"/>
    </w:pPr>
    <w:rPr>
      <w:rFonts w:ascii="Times New Roman" w:hAnsi="Times New Roman" w:cs="Times New Roman"/>
      <w:sz w:val="24"/>
      <w:szCs w:val="24"/>
      <w:lang w:eastAsia="en-GB"/>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lang w:val="et-EE"/>
    </w:rPr>
  </w:style>
  <w:style w:type="character" w:customStyle="1" w:styleId="Bodytext2">
    <w:name w:val="Body text|2_"/>
    <w:basedOn w:val="DefaultParagraphFont"/>
    <w:link w:val="Bodytext20"/>
    <w:rPr>
      <w:rFonts w:ascii="Arial" w:eastAsia="Arial" w:hAnsi="Arial" w:cs="Arial"/>
      <w:sz w:val="19"/>
      <w:szCs w:val="19"/>
      <w:shd w:val="clear" w:color="auto" w:fill="FFFFFF"/>
    </w:rPr>
  </w:style>
  <w:style w:type="paragraph" w:customStyle="1" w:styleId="Bodytext20">
    <w:name w:val="Body text|2"/>
    <w:basedOn w:val="Normal"/>
    <w:link w:val="Bodytext2"/>
    <w:qFormat/>
    <w:pPr>
      <w:widowControl w:val="0"/>
      <w:shd w:val="clear" w:color="auto" w:fill="FFFFFF"/>
      <w:spacing w:after="220" w:line="212" w:lineRule="exact"/>
    </w:pPr>
    <w:rPr>
      <w:rFonts w:ascii="Arial" w:eastAsia="Arial" w:hAnsi="Arial" w:cs="Arial"/>
      <w:sz w:val="19"/>
      <w:szCs w:val="19"/>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4450">
      <w:bodyDiv w:val="1"/>
      <w:marLeft w:val="0"/>
      <w:marRight w:val="0"/>
      <w:marTop w:val="0"/>
      <w:marBottom w:val="0"/>
      <w:divBdr>
        <w:top w:val="none" w:sz="0" w:space="0" w:color="auto"/>
        <w:left w:val="none" w:sz="0" w:space="0" w:color="auto"/>
        <w:bottom w:val="none" w:sz="0" w:space="0" w:color="auto"/>
        <w:right w:val="none" w:sz="0" w:space="0" w:color="auto"/>
      </w:divBdr>
    </w:div>
    <w:div w:id="462315573">
      <w:bodyDiv w:val="1"/>
      <w:marLeft w:val="0"/>
      <w:marRight w:val="0"/>
      <w:marTop w:val="0"/>
      <w:marBottom w:val="0"/>
      <w:divBdr>
        <w:top w:val="none" w:sz="0" w:space="0" w:color="auto"/>
        <w:left w:val="none" w:sz="0" w:space="0" w:color="auto"/>
        <w:bottom w:val="none" w:sz="0" w:space="0" w:color="auto"/>
        <w:right w:val="none" w:sz="0" w:space="0" w:color="auto"/>
      </w:divBdr>
    </w:div>
    <w:div w:id="524830687">
      <w:bodyDiv w:val="1"/>
      <w:marLeft w:val="0"/>
      <w:marRight w:val="0"/>
      <w:marTop w:val="0"/>
      <w:marBottom w:val="0"/>
      <w:divBdr>
        <w:top w:val="none" w:sz="0" w:space="0" w:color="auto"/>
        <w:left w:val="none" w:sz="0" w:space="0" w:color="auto"/>
        <w:bottom w:val="none" w:sz="0" w:space="0" w:color="auto"/>
        <w:right w:val="none" w:sz="0" w:space="0" w:color="auto"/>
      </w:divBdr>
    </w:div>
    <w:div w:id="538319336">
      <w:bodyDiv w:val="1"/>
      <w:marLeft w:val="0"/>
      <w:marRight w:val="0"/>
      <w:marTop w:val="0"/>
      <w:marBottom w:val="0"/>
      <w:divBdr>
        <w:top w:val="none" w:sz="0" w:space="0" w:color="auto"/>
        <w:left w:val="none" w:sz="0" w:space="0" w:color="auto"/>
        <w:bottom w:val="none" w:sz="0" w:space="0" w:color="auto"/>
        <w:right w:val="none" w:sz="0" w:space="0" w:color="auto"/>
      </w:divBdr>
    </w:div>
    <w:div w:id="845946447">
      <w:bodyDiv w:val="1"/>
      <w:marLeft w:val="0"/>
      <w:marRight w:val="0"/>
      <w:marTop w:val="0"/>
      <w:marBottom w:val="0"/>
      <w:divBdr>
        <w:top w:val="none" w:sz="0" w:space="0" w:color="auto"/>
        <w:left w:val="none" w:sz="0" w:space="0" w:color="auto"/>
        <w:bottom w:val="none" w:sz="0" w:space="0" w:color="auto"/>
        <w:right w:val="none" w:sz="0" w:space="0" w:color="auto"/>
      </w:divBdr>
    </w:div>
    <w:div w:id="1053651900">
      <w:bodyDiv w:val="1"/>
      <w:marLeft w:val="0"/>
      <w:marRight w:val="0"/>
      <w:marTop w:val="0"/>
      <w:marBottom w:val="0"/>
      <w:divBdr>
        <w:top w:val="none" w:sz="0" w:space="0" w:color="auto"/>
        <w:left w:val="none" w:sz="0" w:space="0" w:color="auto"/>
        <w:bottom w:val="none" w:sz="0" w:space="0" w:color="auto"/>
        <w:right w:val="none" w:sz="0" w:space="0" w:color="auto"/>
      </w:divBdr>
    </w:div>
    <w:div w:id="1186292264">
      <w:bodyDiv w:val="1"/>
      <w:marLeft w:val="0"/>
      <w:marRight w:val="0"/>
      <w:marTop w:val="0"/>
      <w:marBottom w:val="0"/>
      <w:divBdr>
        <w:top w:val="none" w:sz="0" w:space="0" w:color="auto"/>
        <w:left w:val="none" w:sz="0" w:space="0" w:color="auto"/>
        <w:bottom w:val="none" w:sz="0" w:space="0" w:color="auto"/>
        <w:right w:val="none" w:sz="0" w:space="0" w:color="auto"/>
      </w:divBdr>
    </w:div>
    <w:div w:id="1295646776">
      <w:bodyDiv w:val="1"/>
      <w:marLeft w:val="0"/>
      <w:marRight w:val="0"/>
      <w:marTop w:val="0"/>
      <w:marBottom w:val="0"/>
      <w:divBdr>
        <w:top w:val="none" w:sz="0" w:space="0" w:color="auto"/>
        <w:left w:val="none" w:sz="0" w:space="0" w:color="auto"/>
        <w:bottom w:val="none" w:sz="0" w:space="0" w:color="auto"/>
        <w:right w:val="none" w:sz="0" w:space="0" w:color="auto"/>
      </w:divBdr>
    </w:div>
    <w:div w:id="1528173405">
      <w:bodyDiv w:val="1"/>
      <w:marLeft w:val="0"/>
      <w:marRight w:val="0"/>
      <w:marTop w:val="0"/>
      <w:marBottom w:val="0"/>
      <w:divBdr>
        <w:top w:val="none" w:sz="0" w:space="0" w:color="auto"/>
        <w:left w:val="none" w:sz="0" w:space="0" w:color="auto"/>
        <w:bottom w:val="none" w:sz="0" w:space="0" w:color="auto"/>
        <w:right w:val="none" w:sz="0" w:space="0" w:color="auto"/>
      </w:divBdr>
    </w:div>
    <w:div w:id="16660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8E3BE-61B4-4C9E-8F58-E5492042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3620</Words>
  <Characters>28496</Characters>
  <Application>Microsoft Office Word</Application>
  <DocSecurity>0</DocSecurity>
  <Lines>445</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cp:lastPrinted>2020-03-12T20:13:00Z</cp:lastPrinted>
  <dcterms:created xsi:type="dcterms:W3CDTF">2020-03-13T10:59:00Z</dcterms:created>
  <dcterms:modified xsi:type="dcterms:W3CDTF">2020-03-16T08:31:00Z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ies>
</file>