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E3C0917-75EA-48FE-986C-680FADA32268" style="width:450.8pt;height:334.2pt">
            <v:imagedata r:id="rId9" o:title=""/>
          </v:shape>
        </w:pict>
      </w:r>
    </w:p>
    <w:bookmarkEnd w:id="0"/>
    <w:p>
      <w:pPr>
        <w:pStyle w:val="Pagedecouverture"/>
        <w:rPr>
          <w:noProof/>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2"/>
        <w:numPr>
          <w:ilvl w:val="0"/>
          <w:numId w:val="5"/>
        </w:numPr>
        <w:spacing w:before="0" w:after="240" w:line="240" w:lineRule="auto"/>
        <w:ind w:left="357" w:hanging="357"/>
        <w:jc w:val="both"/>
        <w:rPr>
          <w:rFonts w:ascii="Times New Roman" w:eastAsia="Times New Roman" w:hAnsi="Times New Roman" w:cs="Times New Roman"/>
          <w:b/>
          <w:smallCaps/>
          <w:noProof/>
          <w:color w:val="auto"/>
          <w:sz w:val="24"/>
          <w:szCs w:val="24"/>
        </w:rPr>
      </w:pPr>
      <w:bookmarkStart w:id="1" w:name="_GoBack"/>
      <w:bookmarkEnd w:id="1"/>
      <w:r>
        <w:rPr>
          <w:rFonts w:ascii="Times New Roman" w:hAnsi="Times New Roman"/>
          <w:b/>
          <w:smallCaps/>
          <w:noProof/>
          <w:color w:val="auto"/>
          <w:sz w:val="24"/>
          <w:szCs w:val="24"/>
        </w:rPr>
        <w:lastRenderedPageBreak/>
        <w:t>Uvod</w:t>
      </w:r>
    </w:p>
    <w:p>
      <w:pPr>
        <w:spacing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Zaradi izbruha COVID-19, znanega kot koronavirus, so nastale hude izredne razmere na področju javnega zdravja, ki vplivajo na državljane, družbe in gospodarstva. </w:t>
      </w:r>
      <w:r>
        <w:rPr>
          <w:rFonts w:ascii="Times New Roman" w:hAnsi="Times New Roman"/>
          <w:noProof/>
          <w:sz w:val="24"/>
          <w:szCs w:val="24"/>
        </w:rPr>
        <w:t>Pandemija, ki se je razširila iz Kitajske, je zdaj povzročila okužbe v vseh državah članicah. Najbolj je prizadeta Italija, v državah članicah pa število okužb narašča in razmere se hitro spreminjajo. Pandemija je veliko breme za posameznike in družbe, zdravstveni sistemi pa so pod hudim pritiskom.</w:t>
      </w:r>
      <w:r>
        <w:rPr>
          <w:rFonts w:ascii="Times New Roman" w:hAnsi="Times New Roman"/>
          <w:b/>
          <w:noProof/>
          <w:sz w:val="24"/>
          <w:szCs w:val="24"/>
        </w:rPr>
        <w:t xml:space="preserve"> </w:t>
      </w:r>
      <w:r>
        <w:rPr>
          <w:rFonts w:ascii="Times New Roman" w:hAnsi="Times New Roman"/>
          <w:noProof/>
          <w:sz w:val="24"/>
          <w:szCs w:val="24"/>
        </w:rPr>
        <w:t>Sodelovati moramo, da zmanjšamo širjenje okužbe, okrepimo odpornost naših zdravstvenih sistemov, da bomo lahko pomagali pomoči potrebnim in pripomogli k napredku pri raziskavah in razvoju.</w:t>
      </w:r>
    </w:p>
    <w:p>
      <w:pPr>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b/>
          <w:noProof/>
          <w:sz w:val="24"/>
          <w:szCs w:val="24"/>
        </w:rPr>
        <w:t xml:space="preserve">Poleg znatnega vpliva na družbo in človeške razsežnosti je izbruh zaradi koronavirusa tudi zadal hud udarec gospodarstvu EU, kar zahteva odločen usklajen gospodarski odziv. </w:t>
      </w:r>
      <w:r>
        <w:rPr>
          <w:rFonts w:ascii="Times New Roman" w:hAnsi="Times New Roman"/>
          <w:noProof/>
          <w:sz w:val="24"/>
          <w:szCs w:val="24"/>
        </w:rPr>
        <w:t xml:space="preserve">Širjenje virusa povzroča motnje svetovnih dobavnih verig, nestanovitnost na finančnih trgih, šoke pri povpraševanju potrošnikov ter negativno vpliva na ključne sektorje, kot so potovanja in turizem. </w:t>
      </w:r>
      <w:r>
        <w:rPr>
          <w:rFonts w:ascii="Times New Roman" w:hAnsi="Times New Roman"/>
          <w:bCs/>
          <w:noProof/>
          <w:sz w:val="24"/>
          <w:szCs w:val="24"/>
        </w:rPr>
        <w:t xml:space="preserve">Evropski borzni trgi so od srede februarja upadli za približno 30 %, kar je največji mesečni upad od začetka finančne krize leta 2008, negotovost zaradi razvoja izbruha v prihodnjih tednih in mesecih pa ostaja velika.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Samo s solidarnostjo in usklajenimi rešitvami po vsej Evropi bomo lahko učinkovito obvladali te izredne razmere na področju javnega zdravja. </w:t>
      </w:r>
      <w:r>
        <w:rPr>
          <w:rFonts w:ascii="Times New Roman" w:hAnsi="Times New Roman"/>
          <w:noProof/>
          <w:sz w:val="24"/>
          <w:szCs w:val="24"/>
        </w:rPr>
        <w:t xml:space="preserve">Potrebujemo solidarnost med državami, regijami, mesti in državljani, da bi omejili </w:t>
      </w:r>
      <w:r>
        <w:rPr>
          <w:rFonts w:ascii="Times New Roman" w:hAnsi="Times New Roman"/>
          <w:bCs/>
          <w:noProof/>
          <w:sz w:val="24"/>
          <w:szCs w:val="24"/>
        </w:rPr>
        <w:t xml:space="preserve">širjenje virusa, pomagali pacientom in preprečili gospodarsko škodo. </w:t>
      </w:r>
      <w:r>
        <w:rPr>
          <w:rFonts w:ascii="Times New Roman" w:hAnsi="Times New Roman"/>
          <w:noProof/>
          <w:sz w:val="24"/>
          <w:szCs w:val="24"/>
        </w:rPr>
        <w:t xml:space="preserve">To pa zahteva niz ključnih ukrepov ter dosleden in jasen skupni pristop. </w:t>
      </w:r>
      <w:r>
        <w:rPr>
          <w:rFonts w:ascii="Times New Roman" w:hAnsi="Times New Roman"/>
          <w:b/>
          <w:noProof/>
          <w:sz w:val="24"/>
          <w:szCs w:val="24"/>
        </w:rPr>
        <w:t>Ključno je tesno sodelovanje med vsemi zadevnimi akterji.</w:t>
      </w:r>
    </w:p>
    <w:p>
      <w:pPr>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b/>
          <w:bCs/>
          <w:noProof/>
          <w:sz w:val="24"/>
          <w:szCs w:val="24"/>
        </w:rPr>
        <w:t>Komisija</w:t>
      </w:r>
      <w:r>
        <w:rPr>
          <w:rFonts w:ascii="Times New Roman" w:hAnsi="Times New Roman"/>
          <w:b/>
          <w:noProof/>
          <w:sz w:val="24"/>
          <w:szCs w:val="24"/>
        </w:rPr>
        <w:t xml:space="preserve"> bo v celoti izkoristila vsa orodja, ki jih ima na voljo, da bo premagala to krizo.</w:t>
      </w:r>
      <w:r>
        <w:rPr>
          <w:rFonts w:ascii="Times New Roman" w:hAnsi="Times New Roman"/>
          <w:noProof/>
          <w:sz w:val="24"/>
          <w:szCs w:val="24"/>
        </w:rPr>
        <w:t xml:space="preserve"> </w:t>
      </w:r>
      <w:r>
        <w:rPr>
          <w:rFonts w:ascii="Times New Roman" w:hAnsi="Times New Roman"/>
          <w:bCs/>
          <w:noProof/>
          <w:sz w:val="24"/>
          <w:szCs w:val="24"/>
        </w:rPr>
        <w:t>Poleg naših prizadevanj za usklajevanje in usmerjanje ter naših ukrepov za omejitev širjenja virusa si Komisija prizadeva za reševanje in blažitev socialno-ekonomskih posledic pandemije. Gre za celovitost enotnega trga in bolj na splošno ohranitev vrednostne verige proizvodnje in distribucije, da bi našim zdravstvenim sistemom zagotovili dobavo potrebnih zalog. S tem naj bi državljanom pomagali in tako zagotovili, da pandemija ne bo nesorazmerno vplivala na dohodke in delovna mesta. Gre za podporo podjetjem, zlasti malim in srednjim podjetjem (MSP). Gre tudi za zagotavljanje likvidnosti našega finančnega sektorja in preprečevanje grozeče recesije z ukrepi na vseh ravneh. Poleg tega je treba zagotoviti okvir, ki bo državam članicam omogočal odločno ukrepanje na usklajen način. Skratka, gre za pripravo na hitro okrevanje po tem gospodarskem šoku.</w:t>
      </w:r>
    </w:p>
    <w:p>
      <w:pPr>
        <w:spacing w:before="192" w:after="192" w:line="240" w:lineRule="auto"/>
        <w:jc w:val="both"/>
        <w:rPr>
          <w:rFonts w:ascii="Times New Roman" w:hAnsi="Times New Roman" w:cs="Times New Roman"/>
          <w:bCs/>
          <w:noProof/>
          <w:sz w:val="24"/>
          <w:szCs w:val="24"/>
        </w:rPr>
      </w:pPr>
      <w:r>
        <w:rPr>
          <w:rFonts w:ascii="Times New Roman" w:hAnsi="Times New Roman"/>
          <w:b/>
          <w:bCs/>
          <w:noProof/>
          <w:sz w:val="24"/>
          <w:szCs w:val="24"/>
        </w:rPr>
        <w:t>To sporočilo predstavlja takojšen odziv Komisije za ublažitev učinkov izbruha COVID-19 na gospodarstvo.</w:t>
      </w:r>
      <w:r>
        <w:rPr>
          <w:rFonts w:ascii="Times New Roman" w:hAnsi="Times New Roman"/>
          <w:bCs/>
          <w:noProof/>
          <w:sz w:val="24"/>
          <w:szCs w:val="24"/>
        </w:rPr>
        <w:t xml:space="preserve"> Čeprav opisani ukrepi, napovedani danes, obravnavajo najnujnejše izzive, se moramo zavedati, da se razmere spreminjajo vsak dan. Komisija bo tesno sodelovala z Evropskim parlamentom, Svetom, Evropsko investicijsko banko (EIB) in državami članicami za hitro izvajanje teh ukrepov in je pripravljena sprejeti vse nadaljnje pobude, ki bi bile potrebne. Komisija podpira tudi mednarodni odziv za obravnavanje svetovnih socialno-ekonomskih posledic pandemije v večstranskem okviru, s posebnim poudarkom na partnerskih državah z ranljivimi zdravstvenimi sistemi.</w:t>
      </w:r>
    </w:p>
    <w:p>
      <w:pPr>
        <w:rPr>
          <w:rFonts w:ascii="Times New Roman" w:hAnsi="Times New Roman" w:cs="Times New Roman"/>
          <w:bCs/>
          <w:noProof/>
          <w:sz w:val="24"/>
          <w:szCs w:val="24"/>
        </w:rPr>
      </w:pPr>
      <w:r>
        <w:rPr>
          <w:noProof/>
          <w:sz w:val="24"/>
          <w:szCs w:val="24"/>
        </w:rPr>
        <w:br w:type="page"/>
      </w:r>
    </w:p>
    <w:p>
      <w:pPr>
        <w:spacing w:before="192" w:after="192" w:line="240" w:lineRule="auto"/>
        <w:jc w:val="both"/>
        <w:rPr>
          <w:rFonts w:ascii="Times New Roman" w:hAnsi="Times New Roman" w:cs="Times New Roman"/>
          <w:bCs/>
          <w:noProof/>
          <w:sz w:val="24"/>
          <w:szCs w:val="24"/>
        </w:rPr>
      </w:pPr>
    </w:p>
    <w:p>
      <w:pPr>
        <w:pStyle w:val="Heading2"/>
        <w:numPr>
          <w:ilvl w:val="0"/>
          <w:numId w:val="5"/>
        </w:numPr>
        <w:spacing w:before="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Socialno-ekonomske posledice </w:t>
      </w:r>
    </w:p>
    <w:p>
      <w:pPr>
        <w:spacing w:before="240" w:line="240" w:lineRule="auto"/>
        <w:jc w:val="both"/>
        <w:rPr>
          <w:rFonts w:ascii="Times New Roman" w:hAnsi="Times New Roman" w:cs="Times New Roman"/>
          <w:noProof/>
          <w:sz w:val="24"/>
          <w:szCs w:val="24"/>
        </w:rPr>
      </w:pPr>
      <w:r>
        <w:rPr>
          <w:rFonts w:ascii="Times New Roman" w:hAnsi="Times New Roman"/>
          <w:b/>
          <w:noProof/>
          <w:sz w:val="24"/>
          <w:szCs w:val="24"/>
        </w:rPr>
        <w:t xml:space="preserve">Pandemija COVID-19 pomeni velik šok za svetovno in evropsko gospodarstvo. </w:t>
      </w:r>
      <w:r>
        <w:rPr>
          <w:rFonts w:ascii="Times New Roman" w:hAnsi="Times New Roman"/>
          <w:noProof/>
          <w:sz w:val="24"/>
          <w:szCs w:val="24"/>
        </w:rPr>
        <w:t>Že zdaj ima velike negativne gospodarske posledice na Evropo, ki bodo trajale vsaj polovico tega leta in po možnosti dlje, če ukrepi za omejitev izbruha ne bodo učinkoviti</w:t>
      </w:r>
      <w:r>
        <w:rPr>
          <w:rStyle w:val="FootnoteReference"/>
          <w:rFonts w:ascii="Times New Roman" w:hAnsi="Times New Roman" w:cs="Times New Roman"/>
          <w:noProof/>
          <w:sz w:val="24"/>
          <w:szCs w:val="24"/>
        </w:rPr>
        <w:footnoteReference w:id="1"/>
      </w:r>
      <w:r>
        <w:rPr>
          <w:noProof/>
          <w:sz w:val="24"/>
          <w:szCs w:val="24"/>
        </w:rPr>
        <w:t>.</w:t>
      </w:r>
      <w:r>
        <w:rPr>
          <w:rFonts w:ascii="Times New Roman" w:hAnsi="Times New Roman"/>
          <w:noProof/>
          <w:sz w:val="24"/>
          <w:szCs w:val="24"/>
        </w:rPr>
        <w:t xml:space="preserve"> Realna rast BDP v letu 2020 bi lahko zaradi COVID-19 zdrsnila precej pod ničlo ali bi celo bila znatno negativna, usklajen gospodarski odziv institucij EU in držav članic pa je ključnega pomena za ublažitev gospodarskih posledic.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Ta šok vpliva na gospodarstvo na različne načine:</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rPr>
        <w:t xml:space="preserve">šok, ki ga je povzročilo </w:t>
      </w:r>
      <w:r>
        <w:rPr>
          <w:rFonts w:ascii="Times New Roman" w:hAnsi="Times New Roman"/>
          <w:noProof/>
          <w:sz w:val="24"/>
          <w:szCs w:val="24"/>
          <w:u w:val="single"/>
        </w:rPr>
        <w:t>začetno krčenje gospodarske dejavnosti na Kitajskem</w:t>
      </w:r>
      <w:r>
        <w:rPr>
          <w:rFonts w:ascii="Times New Roman" w:hAnsi="Times New Roman"/>
          <w:noProof/>
          <w:sz w:val="24"/>
          <w:szCs w:val="24"/>
        </w:rPr>
        <w:t xml:space="preserve"> v prvem četrtletju leta 2020; </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u w:val="single"/>
        </w:rPr>
        <w:t>šok pri dobavah</w:t>
      </w:r>
      <w:r>
        <w:rPr>
          <w:rFonts w:ascii="Times New Roman" w:hAnsi="Times New Roman"/>
          <w:noProof/>
          <w:sz w:val="24"/>
          <w:szCs w:val="24"/>
        </w:rPr>
        <w:t xml:space="preserve"> evropskemu in svetovnemu gospodarstva zaradi motenj v dobavnih verigah in odsotnosti z delovnega mesta;</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u w:val="single"/>
        </w:rPr>
        <w:t>šok pri povpraševanju</w:t>
      </w:r>
      <w:r>
        <w:rPr>
          <w:rFonts w:ascii="Times New Roman" w:hAnsi="Times New Roman"/>
          <w:noProof/>
          <w:sz w:val="24"/>
          <w:szCs w:val="24"/>
        </w:rPr>
        <w:t xml:space="preserve"> v evropskem in svetovnem gospodarstvu zaradi manjšega povpraševanja potrošnikov in negativnega učinka negotovosti na naložbene načrte ter </w:t>
      </w:r>
    </w:p>
    <w:p>
      <w:pPr>
        <w:pStyle w:val="ListParagraph"/>
        <w:numPr>
          <w:ilvl w:val="0"/>
          <w:numId w:val="42"/>
        </w:numPr>
        <w:jc w:val="both"/>
        <w:rPr>
          <w:rFonts w:ascii="Times New Roman" w:hAnsi="Times New Roman" w:cs="Times New Roman"/>
          <w:noProof/>
          <w:sz w:val="24"/>
          <w:szCs w:val="24"/>
        </w:rPr>
      </w:pPr>
      <w:r>
        <w:rPr>
          <w:rFonts w:ascii="Times New Roman" w:hAnsi="Times New Roman"/>
          <w:noProof/>
          <w:sz w:val="24"/>
          <w:szCs w:val="24"/>
          <w:u w:val="single"/>
        </w:rPr>
        <w:t>učinek likvidnostnih omejitev</w:t>
      </w:r>
      <w:r>
        <w:rPr>
          <w:rFonts w:ascii="Times New Roman" w:hAnsi="Times New Roman"/>
          <w:noProof/>
          <w:sz w:val="24"/>
          <w:szCs w:val="24"/>
        </w:rPr>
        <w:t xml:space="preserve"> v podjetjih.</w:t>
      </w:r>
    </w:p>
    <w:p>
      <w:pPr>
        <w:pStyle w:val="ListParagraph"/>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Šok bo začasen, vendar moramo sodelovati, da bi bil čim krajši in čim bolj omejen ter da ne bo ustvarjal trajne škode za naša gospodarstva.</w:t>
      </w:r>
      <w:r>
        <w:rPr>
          <w:rFonts w:ascii="Times New Roman" w:hAnsi="Times New Roman"/>
          <w:noProof/>
          <w:sz w:val="24"/>
          <w:szCs w:val="24"/>
        </w:rPr>
        <w:t xml:space="preserve"> V prihodnosti bo stopnja negativnih obetov odvisna od številnih parametrov, kot so pomanjkanje ponudbe kritičnih materialov, učinkovitost ukrepov za omejitev, prekinitev proizvodnje v EU v delovnih dneh, ki so jih izgubila podjetja in javne uprave, ter učinki na povpraševanje (npr. omejitve mobilnosti, preklici potovanj).</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Države članice morajo biti pozorne in uporabljati vsa orodja, ki so na voljo na ravni Unije in na nacionalni ravni za preprečitev, da bi sedanja kriza povzročila izgubo kritičnih sredstev in tehnologije</w:t>
      </w:r>
      <w:r>
        <w:rPr>
          <w:rFonts w:ascii="Times New Roman" w:hAnsi="Times New Roman"/>
          <w:noProof/>
          <w:sz w:val="24"/>
          <w:szCs w:val="24"/>
        </w:rPr>
        <w:t>. To vključuje orodja, kot so nacionalno varnostno preverjanje in drugi instrumenti, povezani z varnostjo.  Komisija bo države članice usmerjala že pred začetkom uporabe uredbe o pregledovanju neposrednih tujih naložb.</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 xml:space="preserve">S širjenjem COVID-19, ki vpliva na velik del prebivalstva na svetovni ravni in v državah članicah, so učinki na gospodarstvo znatni in se vsak dan povečujejo. </w:t>
      </w:r>
      <w:r>
        <w:rPr>
          <w:rFonts w:ascii="Times New Roman" w:hAnsi="Times New Roman"/>
          <w:noProof/>
          <w:sz w:val="24"/>
          <w:szCs w:val="24"/>
        </w:rPr>
        <w:t>Učinki se občutijo v celotnem gospodarstvu, zlasti ko je karantena nujna za preprečitev širjenja pandemije. Ukrepi, sprejeti za zajezitev virusa na lokalni in nacionalni ravni, lahko vplivajo na ponudbo in povpraševanje. Negativno povpraševanje je zlasti posledica ukrepov za zajezitev virusa, ki jih morajo izvajati vlade in ki vplivajo na zasebno, poklicno in družabno življenje. Danes so najbolj prizadeti sektorji v zdravstvu, turizmu, prometu, zlasti v letalskem sektorju.</w:t>
      </w:r>
    </w:p>
    <w:p>
      <w:pPr>
        <w:spacing w:before="180" w:after="0" w:line="240" w:lineRule="auto"/>
        <w:jc w:val="both"/>
        <w:rPr>
          <w:rFonts w:ascii="Times New Roman" w:hAnsi="Times New Roman" w:cs="Times New Roman"/>
          <w:noProof/>
          <w:sz w:val="24"/>
          <w:szCs w:val="24"/>
        </w:rPr>
      </w:pPr>
      <w:r>
        <w:rPr>
          <w:rFonts w:ascii="Times New Roman" w:hAnsi="Times New Roman"/>
          <w:b/>
          <w:noProof/>
          <w:sz w:val="24"/>
          <w:szCs w:val="24"/>
        </w:rPr>
        <w:t xml:space="preserve">Pandemija COVID-19 vpliva na svetovne finančne trge. </w:t>
      </w:r>
      <w:r>
        <w:rPr>
          <w:rFonts w:ascii="Times New Roman" w:hAnsi="Times New Roman"/>
          <w:noProof/>
          <w:sz w:val="24"/>
          <w:szCs w:val="24"/>
        </w:rPr>
        <w:t xml:space="preserve">Konec februarja so svetovni trgi lastniških vrednostnih papirjev in trgi drugih sredstev z visokim tveganjem močno padli zaradi umika k varnim naložbam. Hkrati pa so cene sredstev, ki veljajo za varne naložbe, zvišale zaradi povečanega povpraševanja: donosnost državnih obveznic ZDA („varno finančno sredstvo v skrajni sili“) se je močno zmanjšala. Cene delnic so se na splošno znižale, in sicer na svetovni ravni. Razlike v državnih obveznicah ranljivejših držav članic so se povečale. Donosi špekulativnih tveganih podjetniških obveznic so se povečali. </w:t>
      </w:r>
    </w:p>
    <w:p>
      <w:pPr>
        <w:spacing w:before="180" w:after="0" w:line="240" w:lineRule="auto"/>
        <w:jc w:val="both"/>
        <w:rPr>
          <w:rFonts w:ascii="Times New Roman" w:hAnsi="Times New Roman" w:cs="Times New Roman"/>
          <w:noProof/>
          <w:sz w:val="24"/>
          <w:szCs w:val="24"/>
        </w:rPr>
      </w:pPr>
    </w:p>
    <w:p>
      <w:pPr>
        <w:spacing w:line="240" w:lineRule="auto"/>
        <w:jc w:val="both"/>
        <w:rPr>
          <w:rFonts w:ascii="Times New Roman" w:eastAsia="Calibri" w:hAnsi="Times New Roman" w:cs="Times New Roman"/>
          <w:noProof/>
          <w:sz w:val="24"/>
          <w:szCs w:val="24"/>
        </w:rPr>
      </w:pPr>
      <w:r>
        <w:rPr>
          <w:rFonts w:ascii="Times New Roman" w:hAnsi="Times New Roman"/>
          <w:b/>
          <w:noProof/>
          <w:sz w:val="24"/>
          <w:szCs w:val="24"/>
        </w:rPr>
        <w:t>Glede na makroekonomski in finančni vpliv COVID-19 bi bilo treba odziv gospodarske politike sprejeti odločno in usklajeno, da se dosežejo naslednji cilji</w:t>
      </w:r>
      <w:r>
        <w:rPr>
          <w:rFonts w:ascii="Times New Roman" w:hAnsi="Times New Roman"/>
          <w:noProof/>
          <w:sz w:val="24"/>
          <w:szCs w:val="24"/>
        </w:rPr>
        <w:t>:</w:t>
      </w:r>
    </w:p>
    <w:p>
      <w:pPr>
        <w:pStyle w:val="ListParagraph"/>
        <w:numPr>
          <w:ilvl w:val="0"/>
          <w:numId w:val="22"/>
        </w:numPr>
        <w:spacing w:before="180"/>
        <w:contextualSpacing/>
        <w:jc w:val="both"/>
        <w:rPr>
          <w:rFonts w:ascii="Times New Roman" w:hAnsi="Times New Roman" w:cs="Times New Roman"/>
          <w:noProof/>
          <w:sz w:val="24"/>
          <w:szCs w:val="24"/>
        </w:rPr>
      </w:pPr>
      <w:r>
        <w:rPr>
          <w:rFonts w:ascii="Times New Roman" w:hAnsi="Times New Roman"/>
          <w:noProof/>
          <w:sz w:val="24"/>
          <w:szCs w:val="24"/>
        </w:rPr>
        <w:t>prispevati k reševanju življenj. Zagotavljanje potrebnih sredstev in naložb za potrebščine, ki se bodo uporabile za obvladovanje in zdravljenje pandemije;</w:t>
      </w:r>
    </w:p>
    <w:p>
      <w:pPr>
        <w:pStyle w:val="ListParagraph"/>
        <w:numPr>
          <w:ilvl w:val="0"/>
          <w:numId w:val="22"/>
        </w:numPr>
        <w:spacing w:before="180"/>
        <w:contextualSpacing/>
        <w:jc w:val="both"/>
        <w:rPr>
          <w:rFonts w:ascii="Times New Roman" w:hAnsi="Times New Roman" w:cs="Times New Roman"/>
          <w:noProof/>
          <w:sz w:val="24"/>
          <w:szCs w:val="24"/>
        </w:rPr>
      </w:pPr>
      <w:r>
        <w:rPr>
          <w:rFonts w:ascii="Times New Roman" w:hAnsi="Times New Roman"/>
          <w:noProof/>
          <w:sz w:val="24"/>
          <w:szCs w:val="24"/>
        </w:rPr>
        <w:t>zagotoviti, da so zaposleni v Evropi (vključno s samozaposlenimi) zaščiteni pred izgubo dohodka in da imajo najbolj prizadeta podjetja (zlasti MSP) in sektorji potrebno podporo in finančno likvidnost;</w:t>
      </w:r>
    </w:p>
    <w:p>
      <w:pPr>
        <w:pStyle w:val="ListParagraph"/>
        <w:numPr>
          <w:ilvl w:val="0"/>
          <w:numId w:val="22"/>
        </w:numPr>
        <w:spacing w:before="180"/>
        <w:contextualSpacing/>
        <w:jc w:val="both"/>
        <w:rPr>
          <w:rFonts w:ascii="Times New Roman" w:hAnsi="Times New Roman" w:cs="Times New Roman"/>
          <w:noProof/>
          <w:sz w:val="24"/>
          <w:szCs w:val="24"/>
        </w:rPr>
      </w:pPr>
      <w:r>
        <w:rPr>
          <w:rFonts w:ascii="Times New Roman" w:hAnsi="Times New Roman"/>
          <w:noProof/>
          <w:sz w:val="24"/>
          <w:szCs w:val="24"/>
        </w:rPr>
        <w:t>ublažiti vpliv na celotno gospodarstvo z vsemi razpoložljivimi instrumenti EU in polnim izkoriščanjem prožnosti okvira EU za ukrepe držav članic.</w:t>
      </w:r>
    </w:p>
    <w:p>
      <w:pPr>
        <w:pStyle w:val="ListParagraph"/>
        <w:spacing w:before="180"/>
        <w:contextualSpacing/>
        <w:jc w:val="both"/>
        <w:rPr>
          <w:rFonts w:ascii="Times New Roman" w:hAnsi="Times New Roman" w:cs="Times New Roman"/>
          <w:noProof/>
          <w:sz w:val="24"/>
          <w:szCs w:val="24"/>
        </w:rPr>
      </w:pPr>
    </w:p>
    <w:p>
      <w:pPr>
        <w:pStyle w:val="Heading2"/>
        <w:numPr>
          <w:ilvl w:val="0"/>
          <w:numId w:val="5"/>
        </w:numPr>
        <w:spacing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Zagotavljanje solidarnosti na enotnem trgu   </w:t>
      </w:r>
    </w:p>
    <w:p>
      <w:pPr>
        <w:pStyle w:val="Heading2"/>
        <w:numPr>
          <w:ilvl w:val="1"/>
          <w:numId w:val="5"/>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Dobava medicinske opreme</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Enotni trg je osrednji del Evropske unije.</w:t>
      </w:r>
      <w:r>
        <w:rPr>
          <w:rFonts w:ascii="Times New Roman" w:hAnsi="Times New Roman"/>
          <w:noProof/>
          <w:sz w:val="24"/>
          <w:szCs w:val="24"/>
        </w:rPr>
        <w:t xml:space="preserve"> V času krize je solidarnostni instrument tisti, ki zagotavlja, da lahko osnovno blago, ki je potrebno za ublažitev izbruha zdravstvenih tveganj, doseže vse, ki ga potrebujejo. Enotni trg s tem, ko zagotavlja, da je to blago na voljo po vsej EU, prispeva k varovanju našega zdravja. Enostranske nacionalne omejitve prostega pretoka osnovnih potrebščin v sisteme zdravstvenega varstva ustvarjajo znatne ovire in močno vplivajo na zmožnost držav članic za upravljanje izbruha COVID-19.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Bistvenega pomena je, da nacionalni ukrepi uresničujejo osnovni cilj varovanja zdravja v duhu evropske solidarnosti in sodelovanja.</w:t>
      </w:r>
      <w:r>
        <w:rPr>
          <w:rFonts w:ascii="Times New Roman" w:hAnsi="Times New Roman"/>
          <w:noProof/>
          <w:sz w:val="24"/>
          <w:szCs w:val="24"/>
        </w:rPr>
        <w:t xml:space="preserve"> Nekatere države članice so že sprejele ali pripravljajo nacionalne ukrepe, ki vplivajo na izvoz osebne zaščitne opreme, kot so zaščitna očala, maske za obraz, rokavice, kirurški kombinezoni in halje  ter zdravila. Ti ukrepi lahko preprečijo, da bi tako osnovno blago doseglo tiste, ki jih najbolj potrebujejo, zlasti zdravstvene delavce, ekipe za posredovanje na terenu in bolnike na prizadetih območjih po vsej Evropi. Ustvarjajo verižne učinke, saj države članice sprejmejo ukrepe za ublažitev učinkov ukrepov, ki so jih sprejele druge države članice.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Omejitve so se v kratkem obdobju širile na vse več proizvodov, začenši z osebno zaščitno opremo, pred kratkim pa so se razširile še na zdravila.</w:t>
      </w:r>
      <w:r>
        <w:rPr>
          <w:rFonts w:ascii="Times New Roman" w:hAnsi="Times New Roman"/>
          <w:noProof/>
          <w:sz w:val="24"/>
          <w:szCs w:val="24"/>
        </w:rPr>
        <w:t xml:space="preserve"> Omejitve izvoza ne upoštevajo povezanih dobavnih verig. S tem, da v določenih državah članicah zadržujejo surovine, ustvarjajo ozka grla za proizvodnjo osnovnih potrebščin. Ovirajo logistiko in distribucijske verige, ki so odvisne od centralnih skladišč. Spodbujajo kopičenje zalog v dobavni verigi. Navsezadnje so ponovno uvedle notranje meje v času, ko je solidarnost med državami članicami najbolj potrebna.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Priloga 2 vsebuje navodila za države članice o vzpostavitvi ustreznih nadzornih mehanizmov za zagotovitev zanesljivosti dobav po vsej Evropi</w:t>
      </w:r>
      <w:r>
        <w:rPr>
          <w:rStyle w:val="FootnoteReference"/>
          <w:rFonts w:ascii="Times New Roman" w:hAnsi="Times New Roman" w:cs="Times New Roman"/>
          <w:b/>
          <w:noProof/>
          <w:sz w:val="24"/>
          <w:szCs w:val="24"/>
        </w:rPr>
        <w:footnoteReference w:id="2"/>
      </w:r>
      <w:r>
        <w:rPr>
          <w:noProof/>
          <w:sz w:val="24"/>
          <w:szCs w:val="24"/>
        </w:rPr>
        <w:t>.</w:t>
      </w:r>
      <w:r>
        <w:rPr>
          <w:rFonts w:ascii="Times New Roman" w:hAnsi="Times New Roman"/>
          <w:noProof/>
          <w:sz w:val="24"/>
          <w:szCs w:val="24"/>
        </w:rPr>
        <w:t xml:space="preserve"> Pogodba dovoljuje državam članicam, da pod nekaterimi strogo določenimi pogoji odstopajo od pravil enotnega trga. Kakršen koli nacionalni omejevalni ukrep, sprejet na podlagi člena 36 PDEU, za varovanje zdravja in življenja ljudi mora biti upravičen, tj. ustrezen, potreben in sorazmeren takim ciljem, in sicer z zagotavljanjem ustreznih dobav zadevnih oseb in hkratnim preprečevanjem pomanjkanja potrebščin, ki se štejejo za osnovne, kot so osebna zaščitna oprema, medicinski pripomočki in zdravila, ali poslabšanja takega pomanjkanja. O kakršnem koli načrtovanem nacionalnem ukrepu za omejevanje dostopa do medicinske in zaščitne opreme je treba uradno obvestiti Komisijo, ki mora o njem obvestiti druge države članice.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Ukrepi, o katerih je bila Komisija doslej uradno obveščena, so bili ocenjeni z vidika zagotavljanja, da osnovne potrebščine pridejo do tistih, ki jih najbolj potrebujejo. Komisija te primere obravnava prednostno in podpira države članice pri popravljanju kakršnega koli takega ukrepa. Če države članice svojih pravil ne bodo dovolj prilagodile, bo Komisija sprožila sodni postopek.</w:t>
      </w:r>
    </w:p>
    <w:p>
      <w:pPr>
        <w:pStyle w:val="PlainText"/>
        <w:spacing w:after="240"/>
        <w:jc w:val="both"/>
        <w:rPr>
          <w:rFonts w:ascii="Times New Roman" w:hAnsi="Times New Roman" w:cs="Times New Roman"/>
          <w:noProof/>
          <w:sz w:val="24"/>
          <w:szCs w:val="24"/>
        </w:rPr>
      </w:pPr>
      <w:r>
        <w:rPr>
          <w:rFonts w:ascii="Times New Roman" w:hAnsi="Times New Roman"/>
          <w:noProof/>
          <w:sz w:val="24"/>
          <w:szCs w:val="24"/>
        </w:rPr>
        <w:t xml:space="preserve">Nekateri nacionalni ukrepi prepovedujejo izvoz osnovnih potrebščin v tretje države, njihov cilj pa je v končni fazi, da ohranijo sposobnost delovanja zdravstvenih sistemov EU. Če bi bila zaradi izvoza v tretje države ogrožena sposobnost odzivanja EU na izbruh virusa COVID-19, lahko Komisija ukrepa in uvede sistem dovoljenj za izvoz nekaterih izdelkov.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Komisija sprejema vse potrebne ukrepe za zagotovitev ustrezne oskrbe z zaščitno opremo po vsej Evropi.</w:t>
      </w:r>
      <w:r>
        <w:rPr>
          <w:rFonts w:ascii="Times New Roman" w:hAnsi="Times New Roman"/>
          <w:noProof/>
          <w:sz w:val="24"/>
          <w:szCs w:val="24"/>
        </w:rPr>
        <w:t xml:space="preserve"> Glede na sedanje pomanjkanje v svetovnem merilu je začela izvajati pospešen postopek skupnega naročanja s 26 državami članicami. Kot nadaljnje varovalo bo sprejela ukrep na podlagi mehanizma EU na področju civilne zaščite (rescEU), da bo Unija lahko kupila tako opremo. Tako bi bili prvi nakupi možni do začetka aprila, če jih odobrijo države članice. Komisija predlaga tudi priporočilo Komisije o postopkih ugotavljanja skladnosti in tržnega nadzora v zvezi z virusom COVID-19. Tako bo mogoče predvsem okrepiti oskrbo z nekaterimi vrstami opreme, kot so zaščitne maske za enkratno uporabo.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Ključnega pomena je skupno ukrepanje za zagotovitev proizvodnje, zalog, razpoložljivosti in razumne uporabe zaščitne medicinske opreme in zdravil v EU, kar mora potekati odprto in pregledno.</w:t>
      </w:r>
      <w:r>
        <w:rPr>
          <w:rFonts w:ascii="Times New Roman" w:hAnsi="Times New Roman"/>
          <w:noProof/>
          <w:sz w:val="24"/>
          <w:szCs w:val="24"/>
        </w:rPr>
        <w:t xml:space="preserve"> Komisija se je obrnila na dobavitelje, da ocenijo pomanjkanje, in jih zaprosila, da nemudoma povečajo proizvodnjo. Skupaj z državami članicami in Evropsko agencijo za zdravila je ustanovila tudi izvršno usmerjevalno skupino za spremljanje možnega pomanjkanja zdravil zaradi virusa COVID-19. Razmere spremlja tudi prek koordinacijske skupine za medicinske pripomočke, tudi glede razpoložljivosti in zmogljivosti različnih diagnostičnih naprav ter sodelovanja v zvezi z različnimi nacionalnimi pristopi k diagnostičnim testom. </w:t>
      </w:r>
    </w:p>
    <w:p>
      <w:pPr>
        <w:pStyle w:val="Heading2"/>
        <w:numPr>
          <w:ilvl w:val="1"/>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 Promet</w:t>
      </w:r>
    </w:p>
    <w:p>
      <w:pPr>
        <w:pStyle w:val="ListParagraph"/>
        <w:ind w:left="360"/>
        <w:jc w:val="both"/>
        <w:rPr>
          <w:rFonts w:ascii="Times New Roman" w:eastAsia="Times New Roman" w:hAnsi="Times New Roman" w:cs="Times New Roman"/>
          <w:b/>
          <w:smallCaps/>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Izbruh COVID-19 močno vpliva tudi na naše prometne sisteme </w:t>
      </w:r>
      <w:r>
        <w:rPr>
          <w:rFonts w:ascii="Times New Roman" w:hAnsi="Times New Roman"/>
          <w:noProof/>
          <w:sz w:val="24"/>
          <w:szCs w:val="24"/>
        </w:rPr>
        <w:t>Evropske dobavne verige so tesno povezane. Te povezave se vzdržujejo z obsežnim omrežjem storitev tovornega prometa. Prekinitve teh tokov blaga bi lahko povzročile hudo gospodarsko škodo.</w:t>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Izbruh je že hudo prizadel mednarodno in evropsko letalsko industrijo </w:t>
      </w:r>
      <w:r>
        <w:rPr>
          <w:rFonts w:ascii="Times New Roman" w:hAnsi="Times New Roman"/>
          <w:noProof/>
          <w:sz w:val="24"/>
          <w:szCs w:val="24"/>
        </w:rPr>
        <w:t xml:space="preserve">Položaj se še vedno iz dneva v dan slabša. V naslednjih tednih bo promet po pričakovanjih še upadel. Da bi pomagala ublažiti vpliv izbruha, Komisija predlaga ciljno usmerjeno zakonodajo, s katero bi bile letalske družbe začasno oproščene obveznosti uporabe letaliških slotov v skladu s pravom EU.  Ko bo ta začasni ukrep začel veljati, bodo letalske družbe lahko prilagodile svoje zmogljivosti glede na upad povpraševanja zaradi izbruha virusa. </w:t>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 xml:space="preserve">Dobavne verige, ki potekajo po kopnem, so hudo prizadele prepovedi vstopa na državnih mejah ali omejitve za voznike, ki vstopajo v nekatere države članice. </w:t>
      </w:r>
      <w:r>
        <w:rPr>
          <w:rFonts w:ascii="Times New Roman" w:hAnsi="Times New Roman"/>
          <w:noProof/>
          <w:sz w:val="24"/>
          <w:szCs w:val="24"/>
        </w:rPr>
        <w:t>To vpliva na vse blago, zlasti na dobavo kritičnih materialov in pokvarljivega blaga, in ker je velika večina podjetij v tem sektorju MSP, so ti vplivi neposredni in resni.</w:t>
      </w:r>
      <w:r>
        <w:rPr>
          <w:rFonts w:ascii="Times New Roman" w:hAnsi="Times New Roman"/>
          <w:b/>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Ne glede na način prevoza Komisija sodeluje z državami članicami, da bi zagotovile neprekinjeno delovanje gospodarstva, pretok blaga in dobavno verigo ter omogočile nujna potovanja, delovanje notranjega trga in prometno varnost. </w:t>
      </w:r>
    </w:p>
    <w:p>
      <w:pPr>
        <w:pStyle w:val="Heading2"/>
        <w:numPr>
          <w:ilvl w:val="1"/>
          <w:numId w:val="5"/>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Turizem</w:t>
      </w:r>
    </w:p>
    <w:p>
      <w:pPr>
        <w:spacing w:after="120" w:line="240" w:lineRule="auto"/>
        <w:jc w:val="both"/>
        <w:rPr>
          <w:rFonts w:ascii="Times New Roman" w:hAnsi="Times New Roman" w:cs="Times New Roman"/>
          <w:noProof/>
          <w:sz w:val="24"/>
          <w:szCs w:val="24"/>
        </w:rPr>
      </w:pPr>
      <w:r>
        <w:rPr>
          <w:rFonts w:ascii="Times New Roman" w:hAnsi="Times New Roman"/>
          <w:b/>
          <w:bCs/>
          <w:noProof/>
          <w:sz w:val="24"/>
          <w:szCs w:val="24"/>
        </w:rPr>
        <w:t>Pritisk na turistično industrijo v EU je hujši kot kdaj koli prej</w:t>
      </w:r>
      <w:r>
        <w:rPr>
          <w:rFonts w:ascii="Times New Roman" w:hAnsi="Times New Roman"/>
          <w:noProof/>
          <w:sz w:val="24"/>
          <w:szCs w:val="24"/>
        </w:rPr>
        <w:t>. Sooča se z znatnim upadom mednarodnih prihodov (množične odpovedi in upad rezervacij npr. ameriških, kitajskih, japonskih in južnokorejskih potnikov). Nanjo vpliva tudi upočasnitev potovanj znotraj EU in v nacionalnem okviru, zlasti zaradi vse večjega odpora državljanov EU do potovanj ter nacionalnih in/ali regionalnih preventivnih varnostnih ukrepov. Ta splošni upad turističnih in poslovnih potovanj je prizadel zlasti MSP v tem sektorju. Zaradi motenj pri potovanju znotraj EU in v nacionalnem okviru (ki predstavlja 87 % turističnih prihodov) od konca februarja se položaj še slabša. Še posebej hudo je prizadet sektor sejmov in kongresov, saj je bilo v Evropi odpovedanih ali preloženih več kot 220 prireditev za prvo četrtletje 2020. Zaradi izbruha virusa COVID-19 in prizadevanj za omejitev njegovega širjenja je vse večji tudi pritisk na druge sektorje, kot so strežba jedi in pijač ter izobraževalne in kulturne dejavnosti.</w:t>
      </w:r>
    </w:p>
    <w:p>
      <w:p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Komisija v povezavi z državami članicami, mednarodnimi organi in ključnimi strokovnimi združenji spremlja položaj in usklajuje podporne ukrepe</w:t>
      </w:r>
    </w:p>
    <w:p>
      <w:pPr>
        <w:pStyle w:val="Heading2"/>
        <w:numPr>
          <w:ilvl w:val="0"/>
          <w:numId w:val="5"/>
        </w:numPr>
        <w:spacing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Mobilizacija proračuna EU in Evropske investicijske banke</w:t>
      </w:r>
    </w:p>
    <w:p>
      <w:pPr>
        <w:pStyle w:val="Heading2"/>
        <w:numPr>
          <w:ilvl w:val="1"/>
          <w:numId w:val="5"/>
        </w:numPr>
        <w:spacing w:after="240" w:line="240" w:lineRule="auto"/>
        <w:ind w:left="788" w:hanging="431"/>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Likvidnostni ukrepi: pomoč podjetjem, sektorjem in regijam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Za lažjo neposredno pomoč prizadetim MSP bo </w:t>
      </w:r>
      <w:r>
        <w:rPr>
          <w:rFonts w:ascii="Times New Roman" w:hAnsi="Times New Roman"/>
          <w:b/>
          <w:noProof/>
          <w:sz w:val="24"/>
          <w:szCs w:val="24"/>
        </w:rPr>
        <w:t>proračun EU uporabil obstoječe instrumente, da bi jih podprl z likvidnimi sredstvi</w:t>
      </w:r>
      <w:r>
        <w:rPr>
          <w:rFonts w:ascii="Times New Roman" w:hAnsi="Times New Roman"/>
          <w:noProof/>
          <w:sz w:val="24"/>
          <w:szCs w:val="24"/>
        </w:rPr>
        <w:t xml:space="preserve">, kar bo dopolnilo ukrepe, sprejete na nacionalni ravni.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Iz proračuna EU bo v prihodnjih tednih na voljo milijarda EUR v obliki jamstva za Evropski investicijski sklad (EIF) kot podpora približno 8 milijardam financiranja obratnega kapitala in pomoč najmanj 100 000 evropskim MSP in malim podjetjem s srednjo tržno kapitalizacijo</w:t>
      </w:r>
      <w:r>
        <w:rPr>
          <w:rFonts w:ascii="Times New Roman" w:hAnsi="Times New Roman" w:cs="Times New Roman"/>
          <w:noProof/>
          <w:sz w:val="24"/>
          <w:szCs w:val="24"/>
          <w:vertAlign w:val="superscript"/>
        </w:rPr>
        <w:footnoteReference w:id="3"/>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Podpora bo usmerjena prek obstoječih instrumentov programov EIF, ki podpirajo naložbe.</w:t>
      </w:r>
      <w:r>
        <w:rPr>
          <w:rFonts w:ascii="Times New Roman" w:hAnsi="Times New Roman"/>
          <w:noProof/>
          <w:sz w:val="24"/>
          <w:szCs w:val="24"/>
        </w:rPr>
        <w:t xml:space="preserve"> Glavni poudarek pri kreditiranju bo v mejah veljavne zakonodaje na posojilih za obratna sredstva z zapadlostjo najmanj 12 mesecev. Okrepljena bodo zlasti jamstva za posojila v okviru COSME – programa EU za konkurenčnost malih in srednjih podjetij – skupaj z jamstvi sklada za MSP InnovFin v programu Obzorje 2020, tako da bodo banke omogočile dostop za premostitveno financiranje mikropodjetjem, MSP in malim podjetjem s srednjo tržno kapitalizacijo. Te instrumente bo v naslednjih tednih še okrepilo 750 milijonov EUR prek Evropskega sklada za strateške naložbe (EFSI). Poleg tega bo EFSI kot dodaten posebni ukrep EIF zagotovil še 250 milijonov EUR za hitro izvajanje podpore MSP skupaj z nacionalnimi spodbujevalnimi bankami in institucijami.</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Poleg tega bodo za prizadeta podjetja v okviru istih instrumentov uvedene „posojilne počitnice“, ki bodo omogočale odplačilo posojil z zamikom, to pa bo zmanjšalo pritisk na njihove finance.</w:t>
      </w:r>
      <w:r>
        <w:rPr>
          <w:rFonts w:ascii="Times New Roman" w:hAnsi="Times New Roman"/>
          <w:noProof/>
          <w:sz w:val="24"/>
          <w:szCs w:val="24"/>
        </w:rPr>
        <w:t xml:space="preserve"> Države članice pozivamo, da v celoti izkoristijo obstoječe finančne instrumente v okviru strukturnih skladov za reševanje potreb po financiranju in zagotovijo čim večje izkoriščanje strukturnih skladov prek novih finančnih instrumentov, kakor je ustrezno. Komisija je pripravljena pri tem pomagati državam članicam.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Komisija bo še naprej tesno sodelovala s skupino EIB in Evropsko banko za obnovo in razvoj ter ju pozvala k takojšnjim ukrepom, s katerimi naj prednostno razvrstita sektorje, produkte in instrumente, kar bo zagotovilo čim uspešnejšo in učinkovitejšo podporo prizadetim podjetjem, prosila pa ju bo tudi za tesno usklajevanje z drugimi partnerji pri odzivanju na spreminjajoče se razmere.</w:t>
      </w:r>
    </w:p>
    <w:tbl>
      <w:tblPr>
        <w:tblStyle w:val="TableGrid"/>
        <w:tblW w:w="0" w:type="auto"/>
        <w:tblLook w:val="04A0" w:firstRow="1" w:lastRow="0" w:firstColumn="1" w:lastColumn="0" w:noHBand="0" w:noVBand="1"/>
      </w:tblPr>
      <w:tblGrid>
        <w:gridCol w:w="9286"/>
      </w:tblGrid>
      <w:tr>
        <w:tc>
          <w:tcPr>
            <w:tcW w:w="9288" w:type="dxa"/>
          </w:tcPr>
          <w:p>
            <w:pPr>
              <w:pStyle w:val="Heading2"/>
              <w:spacing w:before="0" w:after="240"/>
              <w:jc w:val="both"/>
              <w:outlineLvl w:val="1"/>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Nadaljnje zagotavljanje likvidnosti gospodarstvu – bančni sektor</w:t>
            </w:r>
          </w:p>
          <w:p>
            <w:pPr>
              <w:spacing w:after="240"/>
              <w:jc w:val="both"/>
              <w:rPr>
                <w:rFonts w:ascii="Times New Roman" w:hAnsi="Times New Roman" w:cs="Times New Roman"/>
                <w:noProof/>
                <w:sz w:val="24"/>
                <w:szCs w:val="24"/>
              </w:rPr>
            </w:pPr>
            <w:r>
              <w:rPr>
                <w:rFonts w:ascii="Times New Roman" w:hAnsi="Times New Roman"/>
                <w:b/>
                <w:noProof/>
                <w:sz w:val="24"/>
                <w:szCs w:val="24"/>
              </w:rPr>
              <w:t>Bančni sektor ima ključno vlogo pri spopadanju s posledicami izbruha virusa COVID-19, saj mora nadaljevati s kreditiranjem gospodarstva.</w:t>
            </w:r>
            <w:r>
              <w:rPr>
                <w:rFonts w:ascii="Times New Roman" w:hAnsi="Times New Roman"/>
                <w:noProof/>
                <w:sz w:val="24"/>
                <w:szCs w:val="24"/>
              </w:rPr>
              <w:t xml:space="preserve"> Če bo se tok bančnih kreditov preveč zmanjša, bo gospodarska dejavnost močno upadla, saj bodo podjetja s težavo plačevala svoje dobavitelje in zaposlene.  Kapitalski količniki bank so se v zadnjih letih precej izboljšali, banke so manj zadolžene, prav tako se je zmanjšala njihova odvisnost od včasih nestanovitnega kratkoročnega financiranja. </w:t>
            </w:r>
          </w:p>
          <w:p>
            <w:pPr>
              <w:spacing w:after="240"/>
              <w:jc w:val="both"/>
              <w:rPr>
                <w:rFonts w:ascii="Times New Roman" w:hAnsi="Times New Roman" w:cs="Times New Roman"/>
                <w:noProof/>
                <w:sz w:val="24"/>
                <w:szCs w:val="24"/>
              </w:rPr>
            </w:pPr>
            <w:r>
              <w:rPr>
                <w:rFonts w:ascii="Times New Roman" w:hAnsi="Times New Roman"/>
                <w:b/>
                <w:noProof/>
                <w:sz w:val="24"/>
                <w:szCs w:val="24"/>
              </w:rPr>
              <w:t>Banke morajo imeti zadostno likvidnost za posojanje svojim strankam.</w:t>
            </w:r>
            <w:r>
              <w:rPr>
                <w:rFonts w:ascii="Times New Roman" w:hAnsi="Times New Roman"/>
                <w:noProof/>
                <w:sz w:val="24"/>
                <w:szCs w:val="24"/>
              </w:rPr>
              <w:t xml:space="preserve"> Komisija upošteva odločitve glede monetarne politike, ki jih je ECB napovedala 12. marca 2020.</w:t>
            </w:r>
          </w:p>
          <w:p>
            <w:pPr>
              <w:spacing w:after="240"/>
              <w:jc w:val="both"/>
              <w:rPr>
                <w:rFonts w:ascii="Times New Roman" w:hAnsi="Times New Roman" w:cs="Times New Roman"/>
                <w:noProof/>
                <w:sz w:val="24"/>
                <w:szCs w:val="24"/>
              </w:rPr>
            </w:pPr>
            <w:r>
              <w:rPr>
                <w:rFonts w:ascii="Times New Roman" w:hAnsi="Times New Roman"/>
                <w:b/>
                <w:noProof/>
                <w:sz w:val="24"/>
                <w:szCs w:val="24"/>
              </w:rPr>
              <w:t>Banke morajo biti sposobne uporabiti to dodatno likvidnost za zagotavljanje novih kreditov podjetjem in gospodinjstvom.</w:t>
            </w:r>
            <w:r>
              <w:rPr>
                <w:rFonts w:ascii="Times New Roman" w:hAnsi="Times New Roman"/>
                <w:noProof/>
                <w:sz w:val="24"/>
                <w:szCs w:val="24"/>
              </w:rPr>
              <w:t xml:space="preserve"> Komisija je seznanjena z izjavami enotnega nadzornega mehanizma in Evropskega bančnega organa (EBA) o ukrepih za blaženje posledic virusa COVID-19 v bančnem sektorju, ki so bile sprejete 12. marca, ter poziva pristojne organe, naj sprejmejo usklajen pristop in nadalje določijo, kako najbolje uporabiti prožnost, ki jo omogoča okvir EU. </w:t>
            </w:r>
          </w:p>
          <w:p>
            <w:pPr>
              <w:spacing w:after="240"/>
              <w:jc w:val="both"/>
              <w:rPr>
                <w:rFonts w:ascii="Times New Roman" w:hAnsi="Times New Roman" w:cs="Times New Roman"/>
                <w:noProof/>
                <w:sz w:val="24"/>
                <w:szCs w:val="24"/>
              </w:rPr>
            </w:pPr>
            <w:r>
              <w:rPr>
                <w:rFonts w:ascii="Times New Roman" w:hAnsi="Times New Roman"/>
                <w:b/>
                <w:noProof/>
                <w:sz w:val="24"/>
                <w:szCs w:val="24"/>
              </w:rPr>
              <w:t>Okvir EU dopušča nacionalnim vladam, da po potrebi bankam zagotavljajo pomoč v obliki državnih jamstev, če imajo te težave z dostopanjem do likvidnosti.</w:t>
            </w:r>
            <w:r>
              <w:rPr>
                <w:rFonts w:ascii="Times New Roman" w:hAnsi="Times New Roman"/>
                <w:noProof/>
                <w:sz w:val="24"/>
                <w:szCs w:val="24"/>
              </w:rPr>
              <w:t xml:space="preserve"> Trenutno sicer ni nobenih dokazov, da bi banke imele kakršne koli likvidnostne omejitve, vendar pa bi nekatere banke lahko imele težave, če se kriza močno poslabša. V takšnih okoliščinah banke s težavami ne bi mogle vzdrževati svoje sposobnosti posojanja gospodarstvu.</w:t>
            </w:r>
          </w:p>
          <w:p>
            <w:pPr>
              <w:spacing w:after="240"/>
              <w:jc w:val="both"/>
              <w:rPr>
                <w:rFonts w:ascii="Times New Roman" w:hAnsi="Times New Roman" w:cs="Times New Roman"/>
                <w:noProof/>
                <w:sz w:val="24"/>
                <w:szCs w:val="24"/>
              </w:rPr>
            </w:pPr>
            <w:r>
              <w:rPr>
                <w:rFonts w:ascii="Times New Roman" w:hAnsi="Times New Roman"/>
                <w:b/>
                <w:noProof/>
                <w:sz w:val="24"/>
                <w:szCs w:val="24"/>
              </w:rPr>
              <w:t>Pomoč, ki so jo države članice odobrile bankam na podlagi člena 107(2)(b) PDEU za nadomestilo neposredne škode, ki so jo utrpele zaradi izbruha virusa COVID-19</w:t>
            </w:r>
            <w:r>
              <w:rPr>
                <w:rFonts w:ascii="Times New Roman" w:hAnsi="Times New Roman"/>
                <w:noProof/>
                <w:sz w:val="24"/>
                <w:szCs w:val="24"/>
              </w:rPr>
              <w:t xml:space="preserve"> (za podrobno razlago glej zgoraj), ni namenjena ohranitvi ali obnovitvi sposobnosti preživetja, likvidnosti ali solventnosti institucije ali subjekta. Posledično se pomoč ne bi štela za izredno javnofinančno pomoč.</w:t>
            </w:r>
          </w:p>
        </w:tc>
      </w:tr>
    </w:tbl>
    <w:p>
      <w:pPr>
        <w:spacing w:before="120" w:after="240" w:line="240" w:lineRule="auto"/>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sz w:val="24"/>
          <w:szCs w:val="24"/>
        </w:rPr>
        <w:br w:type="page"/>
      </w:r>
    </w:p>
    <w:p>
      <w:pPr>
        <w:pStyle w:val="Heading2"/>
        <w:numPr>
          <w:ilvl w:val="1"/>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Blaženje učinkov na zaposlenost</w:t>
      </w:r>
    </w:p>
    <w:p>
      <w:pPr>
        <w:rPr>
          <w:noProof/>
          <w:sz w:val="24"/>
          <w:szCs w:val="24"/>
        </w:rPr>
      </w:pPr>
    </w:p>
    <w:p>
      <w:pPr>
        <w:pStyle w:val="Briefinglist1"/>
        <w:keepLines w:val="0"/>
        <w:numPr>
          <w:ilvl w:val="0"/>
          <w:numId w:val="0"/>
        </w:numPr>
        <w:spacing w:after="0"/>
        <w:rPr>
          <w:rFonts w:ascii="Times New Roman" w:hAnsi="Times New Roman" w:cs="Times New Roman"/>
          <w:noProof/>
          <w:sz w:val="24"/>
        </w:rPr>
      </w:pPr>
      <w:r>
        <w:rPr>
          <w:rFonts w:ascii="Times New Roman" w:hAnsi="Times New Roman"/>
          <w:b/>
          <w:noProof/>
          <w:sz w:val="24"/>
        </w:rPr>
        <w:t>Potrebni so specifični ukrepi, da se ublažijo učinki na zaposlenost za posameznike in najbolj prizadete sektorje, ko je proizvodnja motena ali prodaja upade.</w:t>
      </w:r>
      <w:r>
        <w:rPr>
          <w:rFonts w:ascii="Times New Roman" w:hAnsi="Times New Roman"/>
          <w:noProof/>
          <w:sz w:val="24"/>
        </w:rPr>
        <w:t xml:space="preserve"> Delavce moramo zaščititi pred izgubo zaposlitve in izgubo dohodka, če je mogoče, saj ne bi smeli postati žrtve tega izbruha. Skrajšan delovni čas se je izkazal za učinkovito ureditev v številnih državah članicah, saj dopušča začasno zmanjšanje števila delovnih ur in hkrati zagotavlja dohodek delavcem. Trenutno tovrstno ureditev uporablja 17 držav članic. Koristno bi jo bilo razširiti na celotno EU. Poleg tega se lahko za podporo dohodku gospodinjstev uporabljajo tudi začasno podaljšanje nadomestila za čas bolezni ali spremembe ureditev denarnih nadomestil za brezposelnost. Posledice lahko ublaži tudi spodbujanje dela na daljavo.</w:t>
      </w:r>
    </w:p>
    <w:p>
      <w:pPr>
        <w:pStyle w:val="Briefinglist1"/>
        <w:keepLines w:val="0"/>
        <w:numPr>
          <w:ilvl w:val="0"/>
          <w:numId w:val="0"/>
        </w:numPr>
        <w:spacing w:after="0"/>
        <w:rPr>
          <w:rFonts w:ascii="Times New Roman" w:hAnsi="Times New Roman" w:cs="Times New Roman"/>
          <w:noProof/>
          <w:sz w:val="24"/>
        </w:rPr>
      </w:pPr>
    </w:p>
    <w:p>
      <w:pPr>
        <w:pStyle w:val="Briefinglist1"/>
        <w:keepLines w:val="0"/>
        <w:numPr>
          <w:ilvl w:val="0"/>
          <w:numId w:val="0"/>
        </w:numPr>
        <w:spacing w:after="0"/>
        <w:rPr>
          <w:rFonts w:ascii="Times New Roman" w:hAnsi="Times New Roman" w:cs="Times New Roman"/>
          <w:noProof/>
          <w:sz w:val="24"/>
        </w:rPr>
      </w:pPr>
      <w:r>
        <w:rPr>
          <w:rFonts w:ascii="Times New Roman" w:hAnsi="Times New Roman"/>
          <w:b/>
          <w:noProof/>
          <w:sz w:val="24"/>
        </w:rPr>
        <w:t>EU je pripravljena državam članicam pomagati ublažiti posledice za delavce, kjer je to mogoče.</w:t>
      </w:r>
      <w:r>
        <w:rPr>
          <w:rFonts w:ascii="Times New Roman" w:hAnsi="Times New Roman"/>
          <w:noProof/>
          <w:sz w:val="24"/>
        </w:rPr>
        <w:t xml:space="preserve"> Državam že pomaga pri preprečevanju in zmanjševanju brezposelnosti, na primer prek strukturnih skladov EU, vključno z evropskim socialnim skladom in novo naložbeno pobudo v odziv na koronavirus, kot je opisana v nadaljevanju.</w:t>
      </w:r>
    </w:p>
    <w:p>
      <w:pPr>
        <w:pStyle w:val="Briefinglist1"/>
        <w:keepLines w:val="0"/>
        <w:numPr>
          <w:ilvl w:val="0"/>
          <w:numId w:val="0"/>
        </w:numPr>
        <w:spacing w:after="0"/>
        <w:rPr>
          <w:rFonts w:ascii="Times New Roman" w:hAnsi="Times New Roman" w:cs="Times New Roman"/>
          <w:noProof/>
          <w:sz w:val="24"/>
        </w:rPr>
      </w:pPr>
    </w:p>
    <w:p>
      <w:pPr>
        <w:pStyle w:val="Briefinglist1"/>
        <w:keepLines w:val="0"/>
        <w:numPr>
          <w:ilvl w:val="0"/>
          <w:numId w:val="0"/>
        </w:numPr>
        <w:spacing w:after="240"/>
        <w:rPr>
          <w:rFonts w:ascii="Times New Roman" w:hAnsi="Times New Roman" w:cs="Times New Roman"/>
          <w:noProof/>
          <w:sz w:val="24"/>
        </w:rPr>
      </w:pPr>
      <w:r>
        <w:rPr>
          <w:rFonts w:ascii="Times New Roman" w:hAnsi="Times New Roman"/>
          <w:b/>
          <w:noProof/>
          <w:sz w:val="24"/>
        </w:rPr>
        <w:t>Komisija bo tudi pospešila pripravo zakonodajnega predloga za evropski sistem pozavarovanja za primer brezposelnosti.</w:t>
      </w:r>
      <w:r>
        <w:rPr>
          <w:rFonts w:ascii="Times New Roman" w:hAnsi="Times New Roman"/>
          <w:noProof/>
          <w:sz w:val="24"/>
        </w:rPr>
        <w:t xml:space="preserve"> Namen pobude je pomagati tistim, ki delajo, in zaščititi tiste, ki so izgubili zaposlitev v primeru obsežnih šokov, zmanjšati pritisk na nacionalne javne finance ter tako okrepiti socialno razsežnost Evrope in povečati njeno kohezijo. Ureditev bi bila zlasti namenjena podpori nacionalnih politik, katerih namen je ohraniti delovna mesta ter znanja in spretnosti, na primer s skrajšanjem delovnega časa in /ali olajšanjem prehoda brezposelnim z ene zaposlitve na drugo.</w:t>
      </w:r>
    </w:p>
    <w:p>
      <w:pPr>
        <w:pStyle w:val="Heading2"/>
        <w:numPr>
          <w:ilvl w:val="1"/>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Naložbena pobuda v odziv na koronavirus </w:t>
      </w:r>
    </w:p>
    <w:p>
      <w:pPr>
        <w:rPr>
          <w:noProof/>
          <w:sz w:val="24"/>
          <w:szCs w:val="24"/>
        </w:rPr>
      </w:pP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Z danes predlagano </w:t>
      </w:r>
      <w:r>
        <w:rPr>
          <w:rFonts w:ascii="Times New Roman" w:hAnsi="Times New Roman"/>
          <w:b/>
          <w:noProof/>
          <w:sz w:val="24"/>
          <w:szCs w:val="24"/>
        </w:rPr>
        <w:t xml:space="preserve">naložbeno pobudo v odziv na koronavirus (CRII) </w:t>
      </w:r>
      <w:r>
        <w:rPr>
          <w:rFonts w:ascii="Times New Roman" w:hAnsi="Times New Roman"/>
          <w:noProof/>
          <w:sz w:val="24"/>
          <w:szCs w:val="24"/>
        </w:rPr>
        <w:t xml:space="preserve"> Komisija predlaga, da se 37 milijard EUR iz kohezijske politike nameni za izbruh virusa COVID-19 ter da se to z izrednimi in pospešenimi postopki izvaja skozi celo leto 2020.</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szCs w:val="24"/>
        </w:rPr>
        <w:t xml:space="preserve">V ta namen Komisija predlaga, da letos odstopi od svoje obveznosti povračila neporabljenih sredstev predhodnega financiranja za evropske strukturne in investicijske sklade, ki so trenutno v blagajnah držav članic. Ta znašajo približno 8 milijard EUR iz proračuna EU, ki jih države članice lahko porabijo za dopolnitev 29 milijard sredstev iz strukturnih skladov po vsej EU. To bo učinkovito povečalo znesek naložb v letu 2020.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Poleg tega bi moralo biti za spopadanje s krizo upravičenih do 28 milijard EUR še nedodeljenih sredstev strukturnih skladov iz obstoječih nacionalnih proračunov, vključno z nacionalnimi prispevki, kar bi državam članicam zagotovilo potrebne vire financiranja. </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szCs w:val="24"/>
        </w:rPr>
        <w:t>Komisija bo vzpostavila delovno skupino na najvišji ravni za sodelovanje z državami članicami za zagotovitev, da je v nekaj tednih mogoče sprejeti ukrepe na tej podlagi.</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Ključni element predloga je, da bi vsi morebitni izdatki za spopadanje z izbruhom virusa COVID-19 od 1. februarja 2020 bili upravičeni za financiranje v okviru strukturnih skladov, tako da lahko države članice čim prej porabijo sredstva za spopadanje z izbruhom. Komisija poleg tega predlaga, da se omogoči poenostavljen prenos večjih zneskov znotraj programov. Ti ukrepi bi morali vsem državam članicam omogočiti, da v prihodnjih tednih pomoč prerazporejajo in usmerjajo tja, kjer je to najbolj potrebno, zlasti:</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za zagotavljanje pomoči zdravstvenemu sistemu, npr. s financiranjem zdravstvene opreme in zdravil, opreme za testiranje in zdravljenje, preprečevanja bolezni, e-zdravja ter z zagotavljanjem zaščitne opreme, medicinskih pripomočkov, prilagoditvijo delovnega okolja v zdravstvenem sektorju in zagotavljanjem dostopa do zdravstvenega varstva za ranljive skupine;</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za zagotavljanje likvidnosti podjetjem za reševanje kratkoročnih finančnih težav, povezanih s krizo zaradi koronavirusa, za kritje npr. obratnega kapitala v malih in srednjih podjetjih za odpravo izgub zaradi krize, pri čemer je treba posebno pozornost nameniti sektorjem, ki so še posebej prizadeti;</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za začasno podporo nacionalnim ureditvam skrajšanega delovnega časa, ki pomagajo blažiti posledice šoka, v kombinaciji z ukrepi za izboljšanje znanj in spretnosti ter prekvalifikacijo.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Če bodo potrebne spremembe programa, bo Komisija tesno sodelovala z nacionalnimi in regionalnimi organi, da bi poenostavila in pospešila ustrezne postopke, pri čemer bo upoštevala vpliv krize zaradi koronavirusa na upravno zmogljivost držav članic.</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b/>
          <w:noProof/>
          <w:sz w:val="24"/>
          <w:szCs w:val="24"/>
        </w:rPr>
        <w:t>Največji možni učinek naložbene pobude v odziv na koronavirus se lahko doseže, če države članice zagotovijo hitro izvajanje teh ukrepov, sozakonodajalca pa hiter odziv.</w:t>
      </w:r>
      <w:r>
        <w:rPr>
          <w:rFonts w:ascii="Times New Roman" w:hAnsi="Times New Roman"/>
          <w:noProof/>
          <w:sz w:val="24"/>
          <w:szCs w:val="24"/>
        </w:rPr>
        <w:t xml:space="preserve"> Ker smo priča razmeram, kot jih še ni bilo, Komisija poziva Svet in Evropski parlament, naj ta predlog Komisije hitro odobrita. </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b/>
          <w:noProof/>
          <w:sz w:val="24"/>
          <w:szCs w:val="24"/>
        </w:rPr>
        <w:t>Hkrati bo Komisija takoj stopila v stik z najbolj prizadetimi državami članicami, da bo lahko začela s pripravami na izvajanje te pobude.</w:t>
      </w:r>
      <w:r>
        <w:rPr>
          <w:rFonts w:ascii="Times New Roman" w:hAnsi="Times New Roman"/>
          <w:noProof/>
          <w:sz w:val="24"/>
          <w:szCs w:val="24"/>
        </w:rPr>
        <w:t xml:space="preserve"> Komisija bo prav tako podpirala države članice pri čim večji uporabi prožnosti, ki že obstajajo v programih EU. Države članice so pozvane, da v ta namen imenujejo višjega vladnega ministra in višjega uradnika.</w:t>
      </w:r>
      <w:r>
        <w:rPr>
          <w:noProof/>
          <w:sz w:val="24"/>
          <w:szCs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szCs w:val="24"/>
        </w:rPr>
        <w:t xml:space="preserve">Komisija v okviru te pobude predlaga tudi razširitev področja uporabe </w:t>
      </w:r>
      <w:r>
        <w:rPr>
          <w:rFonts w:ascii="Times New Roman" w:hAnsi="Times New Roman"/>
          <w:b/>
          <w:noProof/>
          <w:sz w:val="24"/>
          <w:szCs w:val="24"/>
        </w:rPr>
        <w:t>Solidarnostnega sklada EU</w:t>
      </w:r>
      <w:r>
        <w:rPr>
          <w:rFonts w:ascii="Times New Roman" w:hAnsi="Times New Roman"/>
          <w:noProof/>
          <w:sz w:val="24"/>
          <w:szCs w:val="24"/>
        </w:rPr>
        <w:t>, in sicer z vključitvijo krize na področju javnega zdravja v njegovo področje uporabe. V letu 2020 je na voljo do 800 milijonov EUR.</w:t>
      </w:r>
      <w:r>
        <w:rPr>
          <w:rFonts w:ascii="Times New Roman" w:hAnsi="Times New Roman"/>
          <w:b/>
          <w:noProof/>
          <w:sz w:val="24"/>
          <w:szCs w:val="24"/>
        </w:rPr>
        <w:t xml:space="preserve">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Evropski sklad za prilagoditev globalizaciji</w:t>
      </w:r>
      <w:r>
        <w:rPr>
          <w:rFonts w:ascii="Times New Roman" w:hAnsi="Times New Roman"/>
          <w:noProof/>
          <w:sz w:val="24"/>
          <w:szCs w:val="24"/>
        </w:rPr>
        <w:t xml:space="preserve"> bi se prav tako lahko uporabil za pomoč odpuščenim delavcem in samozaposlenim. V letu 2020 je na voljo do 179 milijonov EUR.</w:t>
      </w:r>
    </w:p>
    <w:p>
      <w:pPr>
        <w:rPr>
          <w:rFonts w:ascii="Times New Roman" w:hAnsi="Times New Roman" w:cs="Times New Roman"/>
          <w:noProof/>
          <w:sz w:val="24"/>
          <w:szCs w:val="24"/>
        </w:rPr>
      </w:pPr>
      <w:r>
        <w:rPr>
          <w:noProof/>
          <w:sz w:val="24"/>
          <w:szCs w:val="24"/>
        </w:rPr>
        <w:br w:type="page"/>
      </w:r>
    </w:p>
    <w:p>
      <w:pPr>
        <w:pStyle w:val="Heading2"/>
        <w:numPr>
          <w:ilvl w:val="0"/>
          <w:numId w:val="5"/>
        </w:numPr>
        <w:spacing w:before="0"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Državna pomoč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Glede na omejen obseg proračuna EU bodo glavni del fiskalnega bremena pri odzivu na koronavirus nosili nacionalni proračuni držav članic. Pravila EU o državni pomoči državam članicam omogočajo hitro in učinkovito ukrepanje v podporo državljanom in podjetjem, zlasti MSP, ki se soočajo z gospodarskimi težavami zaradi izbruha COVID-19. Hkrati zagotavljajo, da je državna pomoč učinkovita in da doseže podjetja, ki jo potrebujejo, ter da se prepreči škodljivo tekmovanje za subvencije, pri katerem si bogatejše države članice lahko privoščijo večjo porabo kot njihove sosede, kar škodi koheziji EU. </w:t>
      </w:r>
    </w:p>
    <w:p>
      <w:pPr>
        <w:spacing w:line="240" w:lineRule="auto"/>
        <w:jc w:val="both"/>
        <w:rPr>
          <w:rFonts w:ascii="Times New Roman" w:hAnsi="Times New Roman" w:cs="Times New Roman"/>
          <w:b/>
          <w:noProof/>
          <w:sz w:val="24"/>
          <w:szCs w:val="24"/>
        </w:rPr>
      </w:pPr>
      <w:r>
        <w:rPr>
          <w:rFonts w:ascii="Times New Roman" w:hAnsi="Times New Roman"/>
          <w:b/>
          <w:noProof/>
          <w:sz w:val="24"/>
          <w:szCs w:val="24"/>
        </w:rPr>
        <w:t>Države članice lahko v skladu z obstoječimi pravili o državni pomoči oblikujejo obsežne podporne ukrepe</w:t>
      </w:r>
      <w:r>
        <w:rPr>
          <w:rStyle w:val="FootnoteReference"/>
          <w:rFonts w:ascii="Times New Roman" w:hAnsi="Times New Roman" w:cs="Times New Roman"/>
          <w:b/>
          <w:noProof/>
          <w:sz w:val="24"/>
          <w:szCs w:val="24"/>
        </w:rPr>
        <w:footnoteReference w:id="4"/>
      </w:r>
      <w:r>
        <w:rPr>
          <w:noProof/>
          <w:sz w:val="24"/>
          <w:szCs w:val="24"/>
        </w:rPr>
        <w:t>:</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Prvič, države članice se lahko odločijo, da sprejmejo ukrepe, ki se uporabijo za vsa podjetja, na primer subvencije za plače in začasno ustavitev plačil davkov od dohodkov pravnih oseb in davkov na dodano vrednost ali socialnih prispevkov. Ti ukrepi neposredno in učinkovito zmanjšujejo finančno obremenitev podjetij. So izven področja nadzora državnih pomoči in države članice jih lahko uvedejo takoj in brez sodelovanja Komisije.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Drugič, države članice lahko namenijo finančno podporo neposredno potrošnikom, na primer za odpovedane storitve ali vozovnice, za katere zadevni izvajalci ne vrnejo plačila. Tudi ti ukrepi so izven področja nadzora državnih pomoči in države članice jih lahko uvedejo takoj in brez sodelovanja Komisije.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Tretjič, pravila o državni pomoči, ki temeljijo na členu 107(3)(c) PDEU, državam članicam omogočajo, da – če pridobijo dovoljenje Komisije – zadostijo pereče likvidnostne potrebe in podprejo podjetja, ki jim zaradi izbruha COVID-19 grozi stečaj.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Četrtič, člen 107(2)(b) PDEU državam članicam omogoča, da – pod pogojem, da pridobijo dovoljenje Komisije – podjetjem nadomestijo škodo, ki jo utrpijo zaradi izjemnih okoliščin, na primer okoliščin zaradi izbruha COVID-19. To vključuje ukrepe za nadomestila podjetjem v sektorjih, ki so posebej hudo prizadeti (npr. promet, turizem in gostinstvo), in ukrepe za nadomestilo škode, ki so jo zaradi izbruha COVID-19 utrpeli organizatorji odpovedanih dogodkov.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Petič, poleg navedenega je možna še vrsta dodatnih ukrepov, kot so ukrepi na podlagi uredbe </w:t>
      </w:r>
      <w:r>
        <w:rPr>
          <w:rFonts w:ascii="Times New Roman" w:hAnsi="Times New Roman"/>
          <w:i/>
          <w:noProof/>
          <w:sz w:val="24"/>
          <w:szCs w:val="24"/>
        </w:rPr>
        <w:t>de minimis</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in uredbe o splošnih skupinskih izjemah</w:t>
      </w:r>
      <w:r>
        <w:rPr>
          <w:noProof/>
          <w:sz w:val="24"/>
          <w:szCs w:val="24"/>
        </w:rPr>
        <w:footnoteReference w:id="6"/>
      </w:r>
      <w:r>
        <w:rPr>
          <w:rFonts w:ascii="Times New Roman" w:hAnsi="Times New Roman"/>
          <w:noProof/>
          <w:sz w:val="24"/>
          <w:szCs w:val="24"/>
        </w:rPr>
        <w:t>, ki jih države članice prav tako lahko sprejmejo takoj in brez sodelovanja Komisije.</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V tem trenutku narava in obseg učinka izbruha COVID-19 v Italiji upravičuje uporabo člena 107(3)(b) PDEU.</w:t>
      </w:r>
      <w:r>
        <w:rPr>
          <w:rFonts w:ascii="Times New Roman" w:hAnsi="Times New Roman"/>
          <w:noProof/>
          <w:sz w:val="24"/>
          <w:szCs w:val="24"/>
        </w:rPr>
        <w:t xml:space="preserve"> To Komisiji omogoča, da odobri dodatne nacionalne podporne ukrepe, da se odpravi resna motnja v gospodarstvu države članice, kakršna se po mnenju Komisije dogaja v Italiji. Pri sprejetju tega sklepa je Komisija upoštevala vrsto kazalnikov, med drugim pričakovano zmanjšanje BDP, uvedbo strogih javnih ukrepov, vključno s prepovedjo dogodkov, zaprtjem šol in omejitvijo gibanja, obremenitev sistema javnega zdravstva ter odpoved letov in omejitev potovanj, ki so jo uvedle druge države. </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Komisija bo pri oceni o upravičenosti uporabe člena 107(3)(b) za druge države članice na podoben način upoštevala učinek izbruha COVID-19 na njihova gospodarstva.</w:t>
      </w:r>
      <w:r>
        <w:rPr>
          <w:rFonts w:ascii="Times New Roman" w:hAnsi="Times New Roman"/>
          <w:noProof/>
          <w:sz w:val="24"/>
          <w:szCs w:val="24"/>
        </w:rPr>
        <w:t xml:space="preserve"> Razmere se neprenehoma spreminjajo. Komisija stalno spremlja razmere po vsej EU in je v tesnem stiku z državami članicami. Poleg vsega navedenega Komisija pripravlja posebni pravni okvir v skladu s členom 107(3)(b) PDEU, ki se bo sprejel po potrebi. Tak ukrep je bil izjemoma sprejet v času finančne krize leta 2008, Komisija pa je leta 2009 sprejela začasni okvir</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Komisija je uvedla vse potrebne postopkovne poenostavitve, da bi omogočila hiter postopek odobritve Komisije.</w:t>
      </w:r>
      <w:r>
        <w:rPr>
          <w:rFonts w:ascii="Times New Roman" w:hAnsi="Times New Roman"/>
          <w:noProof/>
          <w:sz w:val="24"/>
          <w:szCs w:val="24"/>
        </w:rPr>
        <w:t xml:space="preserve"> Odločitve se po potrebi sprejmejo v nekaj dneh od prejetja popolne priglasitve državne pomoči s strani držav članic. Komisija je vzpostavila namenski poštni predal in telefonsko številko, prek katerih lahko države članice pridobijo dodatne informacije. Da bi nadalje olajšala hitrejši odziv držav članic, je Komisija pripravljena zagotoviti predloge, ki temeljijo na prejšnjih odločitvah o spodaj navedenih možnostih za dodelitev nepovratnih sredstev podjetjem v skladu z obstoječimi pravili EU o državni pomoči.</w:t>
      </w:r>
    </w:p>
    <w:p>
      <w:pPr>
        <w:spacing w:after="240" w:line="240" w:lineRule="auto"/>
        <w:jc w:val="both"/>
        <w:rPr>
          <w:rFonts w:ascii="Times New Roman" w:hAnsi="Times New Roman" w:cs="Times New Roman"/>
          <w:noProof/>
          <w:sz w:val="24"/>
          <w:szCs w:val="24"/>
        </w:rPr>
      </w:pPr>
    </w:p>
    <w:p>
      <w:pPr>
        <w:pStyle w:val="Heading2"/>
        <w:numPr>
          <w:ilvl w:val="0"/>
          <w:numId w:val="5"/>
        </w:numPr>
        <w:spacing w:before="0" w:after="240" w:line="240" w:lineRule="auto"/>
        <w:ind w:left="357" w:hanging="357"/>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Uporaba popolne prilagodljivosti evropskega fiskalnega okvira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Usmerjeni fiskalni podporni ukrepi bi se morali izvajati v skladu z načeli iz oddelka 5, in sicer z namenom odpravljanja neposrednih negativnih socialno-ekonomskih posledic izbruha virusa. To vključuje podporo podjetjem v specifičnih sektorjih in na območjih, ki se soočajo z motnjami v proizvodnji ali prodaji in so zato v likvidnostnem krču, zlasti MSP. Ukrepi lahko vključujejo:</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davčne ukrepe, namenjene podjetjem v prizadetih regijah ali sektorjih (npr. odloženo plačilo davka od dohodkov pravnih oseb, socialnih prispevkov in davka na dodano vrednost; predplačila vladnih plačil in zaostala plačila; davčne olajšave; neposredna finančna podpora);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jamstva bankam za pomoč podjetjem z obratnim kapitalom in izvozna jamstva, po možnosti dopolnjena z nadzornimi ukrepi.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Ti fiskalni ukrepi, pa tudi ukrepi, ki so potrebni za zaščito delavcev pred izgubo dohodka, so nujni, da se podpre gospodarska dejavnost, in bi se morali uporabiti za ublažitev upada gospodarske rasti. Dobro usklajen fiskalni odziv bi moral biti usmerjen v odpravljanje učinkov upada zaupanja in z njim povezanih posledic za povpraševanje. Takojšnje odločno ukrepanje bo pripomoglo k doseganju optimalnega učinka naših ukrepov zdaj in v prihodnosti.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bo Svetu predlagala, da se v celoti uporabi prožnost, ki jo omogoča fiskalni okvir EU, da bi države članice lažje obvladale izbruh COVID-19 in njegove posledice. </w:t>
      </w:r>
    </w:p>
    <w:p>
      <w:pPr>
        <w:spacing w:after="0" w:line="240" w:lineRule="auto"/>
        <w:jc w:val="both"/>
        <w:rPr>
          <w:rFonts w:ascii="Times New Roman" w:hAnsi="Times New Roman" w:cs="Times New Roman"/>
          <w:noProof/>
          <w:sz w:val="24"/>
          <w:szCs w:val="24"/>
        </w:rPr>
      </w:pP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 xml:space="preserve">Pri ocenjevanju skladnosti s fiskalnimi pravili EU bo Komisija Svetu predlagala, naj izključi proračunski učinek enkratnih fiskalnih ukrepov, sprejetih za blažitev gospodarskih učinkov COVID-19. Pakt za stabilnost in rast omogoča ciljno usmerjene izjemne izdatke. Podporni ukrepi, kakršni so nujno potrebni za i) zajezitev pandemije in zdravljenje; ii) zagotovitev likvidnostne podpore podjetjem in sektorjem; ter iii) zaščito delovnih mest in dohodkov prizadetih delavcev, se lahko štejejo za enkratno proračunsko porabo. </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Komisija meni, da se v trenutnih razmerah „neobičajnih dogodkov, na katere vlada ne more vplivati“ lahko uporabi prožnost. Pakt za stabilnost in rast v primeru, da ima neobičajen dogodek, na katerega vlada ne more vplivati, večji učinek na fiskalni položaj države članice, predvideva, da se državi članici lahko dovoli, da začasno odstopi od zahtevanih fiskalnih prilagoditev. Posledično se ta klavzula lahko uporabi za izredno porabo za zajezitev izbruha COVID-19. Zlasti se klavzula lahko uporabi za izdatke za zdravstveno varstvo in ciljno usmerjene ukrepe pomoči za podjetja in delavce, pod pogojem da so začasni in povezani z izbruhom. Komisija bo pri predložitvi predlogov in priporočil Svetu uporabila tak pristop.</w:t>
      </w:r>
    </w:p>
    <w:p>
      <w:pPr>
        <w:pStyle w:val="ListParagraph"/>
        <w:numPr>
          <w:ilvl w:val="0"/>
          <w:numId w:val="11"/>
        </w:numPr>
        <w:spacing w:after="120"/>
        <w:jc w:val="both"/>
        <w:rPr>
          <w:rFonts w:ascii="Times New Roman" w:hAnsi="Times New Roman" w:cs="Times New Roman"/>
          <w:noProof/>
          <w:sz w:val="24"/>
          <w:szCs w:val="24"/>
        </w:rPr>
      </w:pPr>
      <w:r>
        <w:rPr>
          <w:rFonts w:ascii="Times New Roman" w:hAnsi="Times New Roman"/>
          <w:noProof/>
          <w:sz w:val="24"/>
          <w:szCs w:val="24"/>
        </w:rPr>
        <w:t>Komisija bo Svetu predlagala, naj institucije Unije prilagodijo fiskalne napore, ki se v skladu s fiskalnimi pravili EU pričakujejo od držav članic. To bi omogočilo, da se v primeru negativne rasti ali velikega upada dejavnosti upoštevajo razmere, ki so specifične za posamezno državo.</w:t>
      </w:r>
    </w:p>
    <w:p>
      <w:pPr>
        <w:pStyle w:val="ListParagraph"/>
        <w:numPr>
          <w:ilvl w:val="0"/>
          <w:numId w:val="11"/>
        </w:numPr>
        <w:spacing w:after="240"/>
        <w:jc w:val="both"/>
        <w:rPr>
          <w:rFonts w:ascii="Times New Roman" w:hAnsi="Times New Roman" w:cs="Times New Roman"/>
          <w:noProof/>
          <w:sz w:val="24"/>
          <w:szCs w:val="24"/>
        </w:rPr>
      </w:pPr>
      <w:r>
        <w:rPr>
          <w:rFonts w:ascii="Times New Roman" w:hAnsi="Times New Roman"/>
          <w:noProof/>
          <w:sz w:val="24"/>
          <w:szCs w:val="24"/>
        </w:rPr>
        <w:t>Komisija je pripravljena, da Svetu predlaga tudi, da institucije Unije aktivirajo splošno klavzulo o izvzetju, da se omogoči splošnejša podpora fiskalni politiki. Ta klavzula bi – v sodelovanju s Svetom – začasno zadržala priporočilo Sveta glede fiskalne prilagoditve v primeru resnega upada gospodarske aktivnosti za euroobmočje ali za celotno EU.</w:t>
      </w:r>
    </w:p>
    <w:p>
      <w:pPr>
        <w:pStyle w:val="ListParagraph"/>
        <w:spacing w:after="240"/>
        <w:jc w:val="both"/>
        <w:rPr>
          <w:rFonts w:ascii="Times New Roman" w:hAnsi="Times New Roman" w:cs="Times New Roman"/>
          <w:noProof/>
          <w:sz w:val="24"/>
          <w:szCs w:val="24"/>
        </w:rPr>
      </w:pPr>
    </w:p>
    <w:p>
      <w:pPr>
        <w:pStyle w:val="Heading2"/>
        <w:numPr>
          <w:ilvl w:val="0"/>
          <w:numId w:val="5"/>
        </w:numPr>
        <w:spacing w:line="240" w:lineRule="auto"/>
        <w:jc w:val="both"/>
        <w:rPr>
          <w:rFonts w:ascii="Times New Roman" w:eastAsia="Times New Roman" w:hAnsi="Times New Roman" w:cs="Times New Roman"/>
          <w:b/>
          <w:smallCaps/>
          <w:noProof/>
          <w:color w:val="auto"/>
          <w:sz w:val="24"/>
          <w:szCs w:val="24"/>
        </w:rPr>
      </w:pPr>
      <w:r>
        <w:rPr>
          <w:rFonts w:ascii="Times New Roman" w:hAnsi="Times New Roman"/>
          <w:b/>
          <w:smallCaps/>
          <w:noProof/>
          <w:color w:val="auto"/>
          <w:sz w:val="24"/>
          <w:szCs w:val="24"/>
        </w:rPr>
        <w:t xml:space="preserve">Zaključek </w:t>
      </w:r>
    </w:p>
    <w:p>
      <w:pPr>
        <w:rPr>
          <w:noProof/>
          <w:sz w:val="24"/>
          <w:szCs w:val="24"/>
        </w:rPr>
      </w:pP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Da bi nevtralizirali socialno-ekonomske učinke izbruha COVID-19, moramo vsi odločevalci EU sprejeti odločne ukrepe, ki pa morajo biti pravočasni in usklajeni. Hitra izvedba ukrepov, predstavljenih v tem sporočilu, je pri teh prizadevanjih ključna. Komisija bo natančno spremljala razvoj razmer. Pripravljena je izvesti vse nadaljnje potrebne pobude. </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Napovedani ukrepi se nanašajo na razmere, kakršnim smo priča danes.</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Zavedati se moramo, da se te spreminjajo iz dneva v dan. Ni mogoče izključiti nadaljnjega poslabšanja gospodarskih obetov.</w:t>
      </w:r>
    </w:p>
    <w:p>
      <w:pPr>
        <w:pBdr>
          <w:top w:val="nil"/>
          <w:left w:val="nil"/>
          <w:bottom w:val="nil"/>
          <w:right w:val="nil"/>
          <w:between w:val="nil"/>
          <w:bar w:val="nil"/>
        </w:pBdr>
        <w:spacing w:after="240" w:line="240" w:lineRule="auto"/>
        <w:jc w:val="both"/>
        <w:rPr>
          <w:rFonts w:ascii="Times New Roman" w:hAnsi="Times New Roman" w:cs="Times New Roman"/>
          <w:noProof/>
          <w:sz w:val="24"/>
          <w:szCs w:val="24"/>
        </w:rPr>
      </w:pPr>
      <w:r>
        <w:rPr>
          <w:rFonts w:ascii="Times New Roman" w:hAnsi="Times New Roman"/>
          <w:noProof/>
          <w:sz w:val="24"/>
          <w:szCs w:val="24"/>
        </w:rPr>
        <w:t>Unija se je od pretekle finančne krize opremila z robustnimi orodji, ki so namenjena podpori držav članic in zagotavljanju stabilnosti finančnih trgov. Podprti z izkušnjami prejšnjih let bomo uporabili vsa razpoložljiva orodja. Unija bi morala storiti vse, kar je treba, da se kolikor mogoče omeji učinek COVID-19 in z njim povezanih omejitvenih ukrepov za državljane, podjetja in gospodarstva. Poleg ukrepov, ki jih je napovedala Komisija, bodo v okviru našega usklajenega in odločnega odziva na voljo še nadaljnji nacionalni ukrepi, v duhu solidarnosti pa bomo ukrepali skupaj in skušali kar najbolje izkoristiti razpoložljive instrumente EU.</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66717648"/>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Prilogo 1.</w:t>
      </w: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Prilogo 2.</w:t>
      </w:r>
    </w:p>
  </w:footnote>
  <w:footnote w:id="3">
    <w:p>
      <w:pPr>
        <w:spacing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Podpora bo prišla iz spodaj navedenih virov in bo uporabljena, kot sledi: </w:t>
      </w:r>
    </w:p>
    <w:p>
      <w:pPr>
        <w:pStyle w:val="ListParagraph"/>
        <w:numPr>
          <w:ilvl w:val="0"/>
          <w:numId w:val="43"/>
        </w:numPr>
        <w:jc w:val="both"/>
        <w:rPr>
          <w:rFonts w:ascii="Times New Roman" w:hAnsi="Times New Roman" w:cs="Times New Roman"/>
          <w:sz w:val="20"/>
          <w:szCs w:val="20"/>
        </w:rPr>
      </w:pPr>
      <w:r>
        <w:rPr>
          <w:rFonts w:ascii="Times New Roman" w:hAnsi="Times New Roman"/>
          <w:sz w:val="20"/>
          <w:szCs w:val="20"/>
        </w:rPr>
        <w:t>500 milijonov EUR jamstva sklada EFSI EU bo dodeljeno za posojilna jamstva COSME – na voljo bo v prihodnjih tednih;</w:t>
      </w:r>
    </w:p>
    <w:p>
      <w:pPr>
        <w:pStyle w:val="ListParagraph"/>
        <w:numPr>
          <w:ilvl w:val="0"/>
          <w:numId w:val="43"/>
        </w:numPr>
        <w:contextualSpacing/>
        <w:jc w:val="both"/>
        <w:rPr>
          <w:rFonts w:ascii="Times New Roman" w:hAnsi="Times New Roman" w:cs="Times New Roman"/>
          <w:sz w:val="20"/>
          <w:szCs w:val="20"/>
        </w:rPr>
      </w:pPr>
      <w:r>
        <w:rPr>
          <w:rFonts w:ascii="Times New Roman" w:hAnsi="Times New Roman"/>
          <w:sz w:val="20"/>
          <w:szCs w:val="20"/>
        </w:rPr>
        <w:t>100 milijonov EUR jamstva sklada EFSI EU bo dodeljenih za jamstva InnovFin za MSP – na voljo bo v prihodnjih tednih;</w:t>
      </w:r>
    </w:p>
    <w:p>
      <w:pPr>
        <w:pStyle w:val="ListParagraph"/>
        <w:numPr>
          <w:ilvl w:val="0"/>
          <w:numId w:val="43"/>
        </w:numPr>
        <w:contextualSpacing/>
        <w:jc w:val="both"/>
        <w:rPr>
          <w:rFonts w:ascii="Times New Roman" w:hAnsi="Times New Roman" w:cs="Times New Roman"/>
          <w:sz w:val="20"/>
          <w:szCs w:val="20"/>
        </w:rPr>
      </w:pPr>
      <w:r>
        <w:rPr>
          <w:rFonts w:ascii="Times New Roman" w:hAnsi="Times New Roman"/>
          <w:sz w:val="20"/>
          <w:szCs w:val="20"/>
        </w:rPr>
        <w:t>250 milijonov EUR je že na voljo v okviru dela za infrastrukturo in inovacije sklada EFSI in bo preusmerjeno v instrumente za podporo MSP, po možnosti skupaj z nacionalnimi spodbujevalnimi bankami in institucijami;</w:t>
      </w:r>
    </w:p>
    <w:p>
      <w:pPr>
        <w:pStyle w:val="ListParagraph"/>
        <w:numPr>
          <w:ilvl w:val="0"/>
          <w:numId w:val="43"/>
        </w:numPr>
        <w:contextualSpacing/>
        <w:jc w:val="both"/>
        <w:rPr>
          <w:rFonts w:ascii="Times New Roman" w:hAnsi="Times New Roman" w:cs="Times New Roman"/>
        </w:rPr>
      </w:pPr>
      <w:r>
        <w:rPr>
          <w:rFonts w:ascii="Times New Roman" w:hAnsi="Times New Roman"/>
          <w:sz w:val="20"/>
          <w:szCs w:val="20"/>
        </w:rPr>
        <w:t>150 milijonov EUR bo v delu sklada EFSI za MSP prerazporejenih z instrumentov za podporo dolgoročnejšim konkretnim intervencijam na kratkoročnejše ukrepe s hitrejšim učinkom.</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Podrobnosti o različnih vrstah instrumentov so navedene v Prilogi 3.</w:t>
      </w:r>
    </w:p>
  </w:footnote>
  <w:footnote w:id="5">
    <w:p>
      <w:pPr>
        <w:pStyle w:val="FootnoteText"/>
      </w:pPr>
      <w:r>
        <w:rPr>
          <w:rStyle w:val="FootnoteReference"/>
        </w:rPr>
        <w:footnoteRef/>
      </w:r>
      <w:r>
        <w:t xml:space="preserve"> </w:t>
      </w:r>
      <w:r>
        <w:rPr>
          <w:rFonts w:ascii="Times New Roman" w:hAnsi="Times New Roman"/>
        </w:rPr>
        <w:t xml:space="preserve">V skladu z uredbo </w:t>
      </w:r>
      <w:r>
        <w:rPr>
          <w:rFonts w:ascii="Times New Roman" w:hAnsi="Times New Roman"/>
          <w:i/>
        </w:rPr>
        <w:t>de minimis</w:t>
      </w:r>
      <w:r>
        <w:rPr>
          <w:rFonts w:ascii="Times New Roman" w:hAnsi="Times New Roman"/>
        </w:rPr>
        <w:t xml:space="preserve"> (Uredba (EU) št. 1407/2013 z dne 18. decembra 2013 o uporabi členov 107 in 108 Pogodbe o delovanju Evropske unije pri pomoči </w:t>
      </w:r>
      <w:r>
        <w:rPr>
          <w:rFonts w:ascii="Times New Roman" w:hAnsi="Times New Roman"/>
          <w:i/>
        </w:rPr>
        <w:t>de minimis</w:t>
      </w:r>
      <w:r>
        <w:rPr>
          <w:rFonts w:ascii="Times New Roman" w:hAnsi="Times New Roman"/>
        </w:rPr>
        <w:t>), nepovratna sredstva do 200 000 EUR v obdobju treh let ne pomenijo državne pomoči. V sektorju cestnega tovornega prometa je prag 100 000 EUR v obdobju treh let. V kmetijstvu in ribištvu je prag 25 000 oziroma 30 000 EUR.</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Komisije (EU) št. 651/2014 z dne 17. junija 2017.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Začasni okvir Skupnosti za ukrepe državnih pomoči v podporo dostopu do financiranja ob trenutni finančni in gospodarski krizi, prvotna različica, UL C 16, 22.1.2009,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BAA"/>
    <w:multiLevelType w:val="hybridMultilevel"/>
    <w:tmpl w:val="A95CA4A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A00AC"/>
    <w:multiLevelType w:val="hybridMultilevel"/>
    <w:tmpl w:val="FD3C8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30E31"/>
    <w:multiLevelType w:val="hybridMultilevel"/>
    <w:tmpl w:val="46C8B522"/>
    <w:lvl w:ilvl="0" w:tplc="900455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E58E3"/>
    <w:multiLevelType w:val="hybridMultilevel"/>
    <w:tmpl w:val="962E0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3C0013"/>
    <w:multiLevelType w:val="hybridMultilevel"/>
    <w:tmpl w:val="B914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45F87"/>
    <w:multiLevelType w:val="hybridMultilevel"/>
    <w:tmpl w:val="F886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4996626"/>
    <w:multiLevelType w:val="hybridMultilevel"/>
    <w:tmpl w:val="F028CB88"/>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8D2C52"/>
    <w:multiLevelType w:val="hybridMultilevel"/>
    <w:tmpl w:val="08089484"/>
    <w:lvl w:ilvl="0" w:tplc="DE948FA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C23A54"/>
    <w:multiLevelType w:val="hybridMultilevel"/>
    <w:tmpl w:val="E374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C23D58"/>
    <w:multiLevelType w:val="hybridMultilevel"/>
    <w:tmpl w:val="AE9C2F4C"/>
    <w:lvl w:ilvl="0" w:tplc="BE5EB706">
      <w:start w:val="1"/>
      <w:numFmt w:val="bullet"/>
      <w:pStyle w:val="Briefinglist2"/>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2ACC132B"/>
    <w:multiLevelType w:val="hybridMultilevel"/>
    <w:tmpl w:val="E16C912A"/>
    <w:lvl w:ilvl="0" w:tplc="7A18536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75128E"/>
    <w:multiLevelType w:val="hybridMultilevel"/>
    <w:tmpl w:val="40D24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9902C2"/>
    <w:multiLevelType w:val="hybridMultilevel"/>
    <w:tmpl w:val="015A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37F47"/>
    <w:multiLevelType w:val="hybridMultilevel"/>
    <w:tmpl w:val="1032929E"/>
    <w:lvl w:ilvl="0" w:tplc="900455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30698"/>
    <w:multiLevelType w:val="hybridMultilevel"/>
    <w:tmpl w:val="B914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F9427D"/>
    <w:multiLevelType w:val="hybridMultilevel"/>
    <w:tmpl w:val="CC60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C3E"/>
    <w:multiLevelType w:val="hybridMultilevel"/>
    <w:tmpl w:val="E22660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36517F7A"/>
    <w:multiLevelType w:val="hybridMultilevel"/>
    <w:tmpl w:val="578AC880"/>
    <w:lvl w:ilvl="0" w:tplc="08090013">
      <w:start w:val="1"/>
      <w:numFmt w:val="upperRoman"/>
      <w:lvlText w:val="%1."/>
      <w:lvlJc w:val="right"/>
      <w:pPr>
        <w:ind w:left="720" w:hanging="360"/>
      </w:pPr>
      <w:rPr>
        <w:i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nsid w:val="390072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D64B73"/>
    <w:multiLevelType w:val="hybridMultilevel"/>
    <w:tmpl w:val="8D6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476B4"/>
    <w:multiLevelType w:val="hybridMultilevel"/>
    <w:tmpl w:val="704A64C6"/>
    <w:lvl w:ilvl="0" w:tplc="08090013">
      <w:start w:val="1"/>
      <w:numFmt w:val="upperRoman"/>
      <w:lvlText w:val="%1."/>
      <w:lvlJc w:val="right"/>
      <w:pPr>
        <w:ind w:left="644"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6434DAA"/>
    <w:multiLevelType w:val="hybridMultilevel"/>
    <w:tmpl w:val="45F421C8"/>
    <w:lvl w:ilvl="0" w:tplc="2EBC46B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150F2E"/>
    <w:multiLevelType w:val="hybridMultilevel"/>
    <w:tmpl w:val="28DA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B72C0C"/>
    <w:multiLevelType w:val="hybridMultilevel"/>
    <w:tmpl w:val="F34C6F18"/>
    <w:lvl w:ilvl="0" w:tplc="00CAB8E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176F6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2E6099"/>
    <w:multiLevelType w:val="hybridMultilevel"/>
    <w:tmpl w:val="2506BE86"/>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8306392"/>
    <w:multiLevelType w:val="hybridMultilevel"/>
    <w:tmpl w:val="CD641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nsid w:val="627D1D76"/>
    <w:multiLevelType w:val="hybridMultilevel"/>
    <w:tmpl w:val="899E1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167BCF"/>
    <w:multiLevelType w:val="hybridMultilevel"/>
    <w:tmpl w:val="21D8A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B1F53E9"/>
    <w:multiLevelType w:val="hybridMultilevel"/>
    <w:tmpl w:val="FC32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A67932"/>
    <w:multiLevelType w:val="hybridMultilevel"/>
    <w:tmpl w:val="6710695A"/>
    <w:lvl w:ilvl="0" w:tplc="0E289A5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D7A28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690B7C"/>
    <w:multiLevelType w:val="hybridMultilevel"/>
    <w:tmpl w:val="B56A2EC8"/>
    <w:lvl w:ilvl="0" w:tplc="F3885454">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6F1F4A4E"/>
    <w:multiLevelType w:val="hybridMultilevel"/>
    <w:tmpl w:val="93CED3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16875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6E5CFF"/>
    <w:multiLevelType w:val="hybridMultilevel"/>
    <w:tmpl w:val="FF90E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43327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202462"/>
    <w:multiLevelType w:val="hybridMultilevel"/>
    <w:tmpl w:val="146246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9">
    <w:nsid w:val="7FDF534D"/>
    <w:multiLevelType w:val="hybridMultilevel"/>
    <w:tmpl w:val="DC2C2E94"/>
    <w:lvl w:ilvl="0" w:tplc="4C6883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21"/>
  </w:num>
  <w:num w:numId="5">
    <w:abstractNumId w:val="34"/>
  </w:num>
  <w:num w:numId="6">
    <w:abstractNumId w:val="2"/>
  </w:num>
  <w:num w:numId="7">
    <w:abstractNumId w:val="13"/>
  </w:num>
  <w:num w:numId="8">
    <w:abstractNumId w:val="2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16"/>
  </w:num>
  <w:num w:numId="13">
    <w:abstractNumId w:val="3"/>
  </w:num>
  <w:num w:numId="14">
    <w:abstractNumId w:val="20"/>
  </w:num>
  <w:num w:numId="15">
    <w:abstractNumId w:val="17"/>
  </w:num>
  <w:num w:numId="16">
    <w:abstractNumId w:val="32"/>
  </w:num>
  <w:num w:numId="17">
    <w:abstractNumId w:val="39"/>
  </w:num>
  <w:num w:numId="18">
    <w:abstractNumId w:val="19"/>
  </w:num>
  <w:num w:numId="19">
    <w:abstractNumId w:val="27"/>
  </w:num>
  <w:num w:numId="20">
    <w:abstractNumId w:val="14"/>
  </w:num>
  <w:num w:numId="21">
    <w:abstractNumId w:val="35"/>
  </w:num>
  <w:num w:numId="22">
    <w:abstractNumId w:val="22"/>
  </w:num>
  <w:num w:numId="23">
    <w:abstractNumId w:val="23"/>
  </w:num>
  <w:num w:numId="24">
    <w:abstractNumId w:val="33"/>
  </w:num>
  <w:num w:numId="25">
    <w:abstractNumId w:val="4"/>
  </w:num>
  <w:num w:numId="26">
    <w:abstractNumId w:val="1"/>
  </w:num>
  <w:num w:numId="27">
    <w:abstractNumId w:val="8"/>
  </w:num>
  <w:num w:numId="28">
    <w:abstractNumId w:val="38"/>
    <w:lvlOverride w:ilvl="0">
      <w:startOverride w:val="1"/>
    </w:lvlOverride>
  </w:num>
  <w:num w:numId="29">
    <w:abstractNumId w:val="31"/>
  </w:num>
  <w:num w:numId="30">
    <w:abstractNumId w:val="29"/>
  </w:num>
  <w:num w:numId="31">
    <w:abstractNumId w:val="15"/>
  </w:num>
  <w:num w:numId="32">
    <w:abstractNumId w:val="36"/>
  </w:num>
  <w:num w:numId="33">
    <w:abstractNumId w:val="7"/>
  </w:num>
  <w:num w:numId="34">
    <w:abstractNumId w:val="18"/>
  </w:num>
  <w:num w:numId="35">
    <w:abstractNumId w:val="37"/>
  </w:num>
  <w:num w:numId="36">
    <w:abstractNumId w:val="6"/>
  </w:num>
  <w:num w:numId="37">
    <w:abstractNumId w:val="24"/>
  </w:num>
  <w:num w:numId="38">
    <w:abstractNumId w:val="12"/>
  </w:num>
  <w:num w:numId="39">
    <w:abstractNumId w:val="28"/>
  </w:num>
  <w:num w:numId="40">
    <w:abstractNumId w:val="10"/>
  </w:num>
  <w:num w:numId="41">
    <w:abstractNumId w:val="6"/>
  </w:num>
  <w:num w:numId="42">
    <w:abstractNumId w:val="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E3C0917-75EA-48FE-986C-680FADA32268"/>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sklajen gospodarski odziv na izbruh virusa COVID-19"/>
    <w:docVar w:name="LW_TYPE.DOC.CP" w:val="SPORO\u268?ILO KOMISIJE"/>
    <w:docVar w:name="LW_TYPE.DOC.CP.USERTEXT" w:val="EVROPSKEMU PARLAMENTU, EVROPSKEMU SVETU, SVETU, EVROPSKI CENTRALNI BANKI, EVROPSKI INVESTICIJSKI BANKI IN EUROSKUPINI 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prdnormal">
    <w:name w:val="prdnormal"/>
    <w:basedOn w:val="DefaultParagraphFont"/>
  </w:style>
  <w:style w:type="paragraph" w:customStyle="1" w:styleId="Briefinglist1">
    <w:name w:val="Briefing list 1"/>
    <w:basedOn w:val="Normal"/>
    <w:pPr>
      <w:keepLines/>
      <w:numPr>
        <w:numId w:val="1"/>
      </w:numPr>
      <w:spacing w:after="120" w:line="240" w:lineRule="auto"/>
      <w:jc w:val="both"/>
    </w:pPr>
    <w:rPr>
      <w:rFonts w:ascii="Arial" w:eastAsia="Times New Roman" w:hAnsi="Arial" w:cs="Arial"/>
      <w:szCs w:val="24"/>
    </w:rPr>
  </w:style>
  <w:style w:type="paragraph" w:customStyle="1" w:styleId="Briefinglist2">
    <w:name w:val="Briefing list 2"/>
    <w:basedOn w:val="Normal"/>
    <w:pPr>
      <w:keepLines/>
      <w:numPr>
        <w:numId w:val="2"/>
      </w:numPr>
      <w:spacing w:after="120" w:line="240" w:lineRule="auto"/>
      <w:jc w:val="both"/>
    </w:pPr>
    <w:rPr>
      <w:rFonts w:ascii="Arial" w:eastAsia="Times New Roman" w:hAnsi="Arial" w:cs="Arial"/>
      <w:szCs w:val="24"/>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Calibri" w:hAnsi="Calibri" w:cs="Calibri"/>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customStyle="1" w:styleId="Considrant">
    <w:name w:val="Considérant"/>
    <w:basedOn w:val="Normal"/>
    <w:pPr>
      <w:numPr>
        <w:numId w:val="28"/>
      </w:numPr>
      <w:spacing w:before="120" w:after="120" w:line="240" w:lineRule="auto"/>
      <w:jc w:val="both"/>
    </w:pPr>
    <w:rPr>
      <w:rFonts w:ascii="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sl-SI"/>
    </w:rPr>
  </w:style>
  <w:style w:type="character" w:customStyle="1" w:styleId="Bodytext2">
    <w:name w:val="Body text|2_"/>
    <w:basedOn w:val="DefaultParagraphFont"/>
    <w:link w:val="Bodytext20"/>
    <w:rPr>
      <w:rFonts w:ascii="Arial" w:eastAsia="Arial" w:hAnsi="Arial" w:cs="Arial"/>
      <w:sz w:val="19"/>
      <w:szCs w:val="19"/>
      <w:shd w:val="clear" w:color="auto" w:fill="FFFFFF"/>
    </w:rPr>
  </w:style>
  <w:style w:type="paragraph" w:customStyle="1" w:styleId="Bodytext20">
    <w:name w:val="Body text|2"/>
    <w:basedOn w:val="Normal"/>
    <w:link w:val="Bodytext2"/>
    <w:qFormat/>
    <w:pPr>
      <w:widowControl w:val="0"/>
      <w:shd w:val="clear" w:color="auto" w:fill="FFFFFF"/>
      <w:spacing w:after="220" w:line="212" w:lineRule="exact"/>
    </w:pPr>
    <w:rPr>
      <w:rFonts w:ascii="Arial" w:eastAsia="Arial" w:hAnsi="Arial" w:cs="Arial"/>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prdnormal">
    <w:name w:val="prdnormal"/>
    <w:basedOn w:val="DefaultParagraphFont"/>
  </w:style>
  <w:style w:type="paragraph" w:customStyle="1" w:styleId="Briefinglist1">
    <w:name w:val="Briefing list 1"/>
    <w:basedOn w:val="Normal"/>
    <w:pPr>
      <w:keepLines/>
      <w:numPr>
        <w:numId w:val="1"/>
      </w:numPr>
      <w:spacing w:after="120" w:line="240" w:lineRule="auto"/>
      <w:jc w:val="both"/>
    </w:pPr>
    <w:rPr>
      <w:rFonts w:ascii="Arial" w:eastAsia="Times New Roman" w:hAnsi="Arial" w:cs="Arial"/>
      <w:szCs w:val="24"/>
    </w:rPr>
  </w:style>
  <w:style w:type="paragraph" w:customStyle="1" w:styleId="Briefinglist2">
    <w:name w:val="Briefing list 2"/>
    <w:basedOn w:val="Normal"/>
    <w:pPr>
      <w:keepLines/>
      <w:numPr>
        <w:numId w:val="2"/>
      </w:numPr>
      <w:spacing w:after="120" w:line="240" w:lineRule="auto"/>
      <w:jc w:val="both"/>
    </w:pPr>
    <w:rPr>
      <w:rFonts w:ascii="Arial" w:eastAsia="Times New Roman" w:hAnsi="Arial" w:cs="Arial"/>
      <w:szCs w:val="24"/>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Calibri" w:hAnsi="Calibri" w:cs="Calibri"/>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customStyle="1" w:styleId="Considrant">
    <w:name w:val="Considérant"/>
    <w:basedOn w:val="Normal"/>
    <w:pPr>
      <w:numPr>
        <w:numId w:val="28"/>
      </w:numPr>
      <w:spacing w:before="120" w:after="120" w:line="240" w:lineRule="auto"/>
      <w:jc w:val="both"/>
    </w:pPr>
    <w:rPr>
      <w:rFonts w:ascii="Times New Roman" w:hAnsi="Times New Roman" w:cs="Times New Roman"/>
      <w:sz w:val="24"/>
      <w:szCs w:val="24"/>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sl-SI"/>
    </w:rPr>
  </w:style>
  <w:style w:type="character" w:customStyle="1" w:styleId="Bodytext2">
    <w:name w:val="Body text|2_"/>
    <w:basedOn w:val="DefaultParagraphFont"/>
    <w:link w:val="Bodytext20"/>
    <w:rPr>
      <w:rFonts w:ascii="Arial" w:eastAsia="Arial" w:hAnsi="Arial" w:cs="Arial"/>
      <w:sz w:val="19"/>
      <w:szCs w:val="19"/>
      <w:shd w:val="clear" w:color="auto" w:fill="FFFFFF"/>
    </w:rPr>
  </w:style>
  <w:style w:type="paragraph" w:customStyle="1" w:styleId="Bodytext20">
    <w:name w:val="Body text|2"/>
    <w:basedOn w:val="Normal"/>
    <w:link w:val="Bodytext2"/>
    <w:qFormat/>
    <w:pPr>
      <w:widowControl w:val="0"/>
      <w:shd w:val="clear" w:color="auto" w:fill="FFFFFF"/>
      <w:spacing w:after="220" w:line="212" w:lineRule="exact"/>
    </w:pPr>
    <w:rPr>
      <w:rFonts w:ascii="Arial" w:eastAsia="Arial" w:hAnsi="Arial" w:cs="Arial"/>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4450">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524830687">
      <w:bodyDiv w:val="1"/>
      <w:marLeft w:val="0"/>
      <w:marRight w:val="0"/>
      <w:marTop w:val="0"/>
      <w:marBottom w:val="0"/>
      <w:divBdr>
        <w:top w:val="none" w:sz="0" w:space="0" w:color="auto"/>
        <w:left w:val="none" w:sz="0" w:space="0" w:color="auto"/>
        <w:bottom w:val="none" w:sz="0" w:space="0" w:color="auto"/>
        <w:right w:val="none" w:sz="0" w:space="0" w:color="auto"/>
      </w:divBdr>
    </w:div>
    <w:div w:id="538319336">
      <w:bodyDiv w:val="1"/>
      <w:marLeft w:val="0"/>
      <w:marRight w:val="0"/>
      <w:marTop w:val="0"/>
      <w:marBottom w:val="0"/>
      <w:divBdr>
        <w:top w:val="none" w:sz="0" w:space="0" w:color="auto"/>
        <w:left w:val="none" w:sz="0" w:space="0" w:color="auto"/>
        <w:bottom w:val="none" w:sz="0" w:space="0" w:color="auto"/>
        <w:right w:val="none" w:sz="0" w:space="0" w:color="auto"/>
      </w:divBdr>
    </w:div>
    <w:div w:id="845946447">
      <w:bodyDiv w:val="1"/>
      <w:marLeft w:val="0"/>
      <w:marRight w:val="0"/>
      <w:marTop w:val="0"/>
      <w:marBottom w:val="0"/>
      <w:divBdr>
        <w:top w:val="none" w:sz="0" w:space="0" w:color="auto"/>
        <w:left w:val="none" w:sz="0" w:space="0" w:color="auto"/>
        <w:bottom w:val="none" w:sz="0" w:space="0" w:color="auto"/>
        <w:right w:val="none" w:sz="0" w:space="0" w:color="auto"/>
      </w:divBdr>
    </w:div>
    <w:div w:id="1053651900">
      <w:bodyDiv w:val="1"/>
      <w:marLeft w:val="0"/>
      <w:marRight w:val="0"/>
      <w:marTop w:val="0"/>
      <w:marBottom w:val="0"/>
      <w:divBdr>
        <w:top w:val="none" w:sz="0" w:space="0" w:color="auto"/>
        <w:left w:val="none" w:sz="0" w:space="0" w:color="auto"/>
        <w:bottom w:val="none" w:sz="0" w:space="0" w:color="auto"/>
        <w:right w:val="none" w:sz="0" w:space="0" w:color="auto"/>
      </w:divBdr>
    </w:div>
    <w:div w:id="1186292264">
      <w:bodyDiv w:val="1"/>
      <w:marLeft w:val="0"/>
      <w:marRight w:val="0"/>
      <w:marTop w:val="0"/>
      <w:marBottom w:val="0"/>
      <w:divBdr>
        <w:top w:val="none" w:sz="0" w:space="0" w:color="auto"/>
        <w:left w:val="none" w:sz="0" w:space="0" w:color="auto"/>
        <w:bottom w:val="none" w:sz="0" w:space="0" w:color="auto"/>
        <w:right w:val="none" w:sz="0" w:space="0" w:color="auto"/>
      </w:divBdr>
    </w:div>
    <w:div w:id="1295646776">
      <w:bodyDiv w:val="1"/>
      <w:marLeft w:val="0"/>
      <w:marRight w:val="0"/>
      <w:marTop w:val="0"/>
      <w:marBottom w:val="0"/>
      <w:divBdr>
        <w:top w:val="none" w:sz="0" w:space="0" w:color="auto"/>
        <w:left w:val="none" w:sz="0" w:space="0" w:color="auto"/>
        <w:bottom w:val="none" w:sz="0" w:space="0" w:color="auto"/>
        <w:right w:val="none" w:sz="0" w:space="0" w:color="auto"/>
      </w:divBdr>
    </w:div>
    <w:div w:id="1528173405">
      <w:bodyDiv w:val="1"/>
      <w:marLeft w:val="0"/>
      <w:marRight w:val="0"/>
      <w:marTop w:val="0"/>
      <w:marBottom w:val="0"/>
      <w:divBdr>
        <w:top w:val="none" w:sz="0" w:space="0" w:color="auto"/>
        <w:left w:val="none" w:sz="0" w:space="0" w:color="auto"/>
        <w:bottom w:val="none" w:sz="0" w:space="0" w:color="auto"/>
        <w:right w:val="none" w:sz="0" w:space="0" w:color="auto"/>
      </w:divBdr>
    </w:div>
    <w:div w:id="16660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3C31-F6BB-42F2-9188-2531FCD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4714</Words>
  <Characters>28194</Characters>
  <Application>Microsoft Office Word</Application>
  <DocSecurity>0</DocSecurity>
  <Lines>440</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2020-03-12T20:13:00Z</cp:lastPrinted>
  <dcterms:created xsi:type="dcterms:W3CDTF">2020-03-13T10:59:00Z</dcterms:created>
  <dcterms:modified xsi:type="dcterms:W3CDTF">2020-03-16T08:31:00Z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