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8D14238-93B1-4C32-8772-EA5C4A729D2C" style="width:450.7pt;height:406.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ΣΥΣΤΑΣΗΣ</w:t>
      </w:r>
    </w:p>
    <w:p>
      <w:pPr>
        <w:pStyle w:val="ManualHeading2"/>
        <w:rPr>
          <w:rFonts w:eastAsia="Arial Unicode MS"/>
          <w:noProof/>
        </w:rPr>
      </w:pPr>
      <w:r>
        <w:rPr>
          <w:noProof/>
        </w:rPr>
        <w:t>•</w:t>
      </w:r>
      <w:r>
        <w:rPr>
          <w:noProof/>
        </w:rPr>
        <w:tab/>
        <w:t>Αιτιολόγηση και στόχοι της σύστασης</w:t>
      </w:r>
    </w:p>
    <w:p>
      <w:pPr>
        <w:pBdr>
          <w:top w:val="nil"/>
          <w:left w:val="nil"/>
          <w:bottom w:val="nil"/>
          <w:right w:val="nil"/>
          <w:between w:val="nil"/>
          <w:bar w:val="nil"/>
        </w:pBdr>
        <w:spacing w:before="0" w:after="240"/>
        <w:rPr>
          <w:rFonts w:eastAsia="Arial Unicode MS"/>
          <w:noProof/>
        </w:rPr>
      </w:pPr>
      <w:r>
        <w:rPr>
          <w:noProof/>
        </w:rPr>
        <w:t>Στις 7 Δεκεμβρίου 2015 η Ευρωπαϊκή Επιτροπή πρότεινε μια στρατηγική αερομεταφορών για την Ευρώπη, στην οποία περιλαμβάνονται ορισμένες προτάσεις αποφάσεων του Συμβουλίου για την εξουσιοδότηση της Επιτροπής να αρχίσει διαπραγματεύσεις σχετικά με συνολική συμφωνία αεροπορικών μεταφορών μεταξύ της Ευρωπαϊκής Ένωσης και ορισμένων τρίτων χωρών. Στις εν λόγω προτάσεις συγκαταλέγεται η πρόταση COM(2015) 609 final για την έναρξη διαπραγματεύσεων με τον Σύνδεσμο κρατών της Νοτιοανατολικής Ασίας (ASEAN).</w:t>
      </w:r>
    </w:p>
    <w:p>
      <w:pPr>
        <w:pBdr>
          <w:top w:val="nil"/>
          <w:left w:val="nil"/>
          <w:bottom w:val="nil"/>
          <w:right w:val="nil"/>
          <w:between w:val="nil"/>
          <w:bar w:val="nil"/>
        </w:pBdr>
        <w:spacing w:before="0" w:after="240"/>
        <w:rPr>
          <w:rFonts w:eastAsia="Arial Unicode MS"/>
          <w:noProof/>
        </w:rPr>
      </w:pPr>
      <w:r>
        <w:rPr>
          <w:noProof/>
        </w:rPr>
        <w:t>Στις 7 Ιουνίου 2016 το Συμβούλιο αποφάσισε να εξουσιοδοτήσει την Επιτροπή να αρχίσει διαπραγματεύσεις σχετικά με συνολική συμφωνία αεροπορικών μεταφορών μεταξύ της Ευρωπαϊκής Ένωσης και των κρατών μελών της, αφενός, και των κρατών μελών του ASEAN, αφετέρου, σχετικά με θέματα που εμπίπτουν στην αποκλειστική αρμοδιότητα της Ένωσης. Η απόφαση του Συμβουλίου ισχύει για τέσσερα έτη, δηλαδή λήγει στις 7 Ιουνίου 2020.</w:t>
      </w:r>
    </w:p>
    <w:p>
      <w:pPr>
        <w:pBdr>
          <w:top w:val="nil"/>
          <w:left w:val="nil"/>
          <w:bottom w:val="nil"/>
          <w:right w:val="nil"/>
          <w:between w:val="nil"/>
          <w:bar w:val="nil"/>
        </w:pBdr>
        <w:spacing w:before="0" w:after="240"/>
        <w:rPr>
          <w:rFonts w:eastAsia="Arial Unicode MS"/>
          <w:noProof/>
        </w:rPr>
      </w:pPr>
      <w:r>
        <w:rPr>
          <w:noProof/>
        </w:rPr>
        <w:t>Όσον αφορά την απόφαση του Συμβουλίου, η Επιτροπή προέβη σε δήλωση στην οποία έκρινε ότι ο χρονικός περιορισμός της εξουσιοδότησης δεν συνάδει με τις Συνθήκες, και ιδίως με το άρθρο 218 παράγραφος 3 της ΣΛΕΕ.</w:t>
      </w:r>
    </w:p>
    <w:p>
      <w:pPr>
        <w:pBdr>
          <w:top w:val="nil"/>
          <w:left w:val="nil"/>
          <w:bottom w:val="nil"/>
          <w:right w:val="nil"/>
          <w:between w:val="nil"/>
          <w:bar w:val="nil"/>
        </w:pBdr>
        <w:spacing w:before="0" w:after="240"/>
        <w:rPr>
          <w:rFonts w:eastAsia="Arial Unicode MS"/>
          <w:noProof/>
        </w:rPr>
      </w:pPr>
      <w:r>
        <w:rPr>
          <w:noProof/>
        </w:rPr>
        <w:t xml:space="preserve">Στις 24 Ιουνίου 2016 η Επιτροπή ενημέρωσε την κυβέρνηση καθενός από τα 10 κράτη μέλη του ASEAN σχετικά με την εξουσιοδότηση που έλαβε από το Συμβούλιο να αρχίσει διαπραγματεύσεις με τα κράτη μέλη του ASEAN και κάλεσε τον ASEAN να αρχίσει διαπραγματεύσεις. </w:t>
      </w:r>
    </w:p>
    <w:p>
      <w:pPr>
        <w:pBdr>
          <w:top w:val="nil"/>
          <w:left w:val="nil"/>
          <w:bottom w:val="nil"/>
          <w:right w:val="nil"/>
          <w:between w:val="nil"/>
          <w:bar w:val="nil"/>
        </w:pBdr>
        <w:spacing w:before="0" w:after="240"/>
        <w:rPr>
          <w:rFonts w:eastAsia="Arial Unicode MS"/>
          <w:noProof/>
        </w:rPr>
      </w:pPr>
      <w:r>
        <w:rPr>
          <w:noProof/>
        </w:rPr>
        <w:t>Ο πρώτος γύρος διαπραγματεύσεων πραγματοποιήθηκε από τις 27 έως τις 28 Νοεμβρίου 2016 στις Βρυξέλλες. Ο όγδοος και πλέον πρόσφατος μέχρι στιγμής γύρος διαπραγματεύσεων πραγματοποιήθηκε από τις 20 έως τις 22 Νοεμβρίου 2018 στο Σάλτσµπουργκ. Κατά τη διάρκεια του όγδοου κύκλου διαπραγματεύσεων, συμφωνήθηκαν τα περισσότερα τμήματα του σχεδίου συμφωνίας, ενώ τα δύο μέρη συμφώνησαν να προβούν σε εσωτερικές διαβουλεύσεις για ορισμένα εκκρεμή ζητήματα.</w:t>
      </w:r>
    </w:p>
    <w:p>
      <w:pPr>
        <w:pBdr>
          <w:top w:val="nil"/>
          <w:left w:val="nil"/>
          <w:bottom w:val="nil"/>
          <w:right w:val="nil"/>
          <w:between w:val="nil"/>
          <w:bar w:val="nil"/>
        </w:pBdr>
        <w:spacing w:before="0" w:after="240"/>
        <w:rPr>
          <w:rFonts w:eastAsia="Arial Unicode MS"/>
          <w:noProof/>
        </w:rPr>
      </w:pPr>
      <w:r>
        <w:rPr>
          <w:noProof/>
        </w:rPr>
        <w:t>Οι εσωτερικές διαβουλεύσεις εντός του ASEAN βρίσκονται ακόμη σε εξέλιξη.</w:t>
      </w:r>
    </w:p>
    <w:p>
      <w:pPr>
        <w:pBdr>
          <w:top w:val="nil"/>
          <w:left w:val="nil"/>
          <w:bottom w:val="nil"/>
          <w:right w:val="nil"/>
          <w:between w:val="nil"/>
          <w:bar w:val="nil"/>
        </w:pBdr>
        <w:spacing w:before="0" w:after="240"/>
        <w:rPr>
          <w:rFonts w:eastAsia="Arial Unicode MS"/>
          <w:noProof/>
        </w:rPr>
      </w:pPr>
      <w:r>
        <w:rPr>
          <w:noProof/>
        </w:rPr>
        <w:t>Στόχος της παρούσας σύστασης είναι να κληθεί το Συμβούλιο να τροποποιήσει την απόφασή του της 7ης Ιουνίου 2016, χωρίς να τροποποιηθούν οι διαπραγματευτικές οδηγίες που προσαρτώνται στην απόφαση του Συμβουλίου.</w:t>
      </w:r>
    </w:p>
    <w:p>
      <w:pPr>
        <w:pStyle w:val="ManualHeading2"/>
        <w:rPr>
          <w:rFonts w:eastAsia="Arial Unicode MS"/>
          <w:noProof/>
          <w:u w:color="000000"/>
          <w:bdr w:val="nil"/>
        </w:rPr>
      </w:pPr>
      <w:r>
        <w:rPr>
          <w:noProof/>
        </w:rPr>
        <w:t>•</w:t>
      </w:r>
      <w:r>
        <w:rPr>
          <w:noProof/>
        </w:rPr>
        <w:tab/>
        <w:t>Συνέπεια με τις ισχύουσες διατάξεις στον τομέα πολιτικής</w:t>
      </w:r>
    </w:p>
    <w:p>
      <w:pPr>
        <w:pBdr>
          <w:top w:val="nil"/>
          <w:left w:val="nil"/>
          <w:bottom w:val="nil"/>
          <w:right w:val="nil"/>
          <w:between w:val="nil"/>
          <w:bar w:val="nil"/>
        </w:pBdr>
        <w:spacing w:before="0" w:after="240"/>
        <w:rPr>
          <w:rFonts w:eastAsia="Arial Unicode MS"/>
          <w:noProof/>
        </w:rPr>
      </w:pPr>
      <w:r>
        <w:rPr>
          <w:noProof/>
        </w:rPr>
        <w:t>Η σύσταση για την τροποποίηση της απόφασης του Ιουνίου του 2016 για την εξουσιοδότηση της Επιτροπής να αρχίσει διαπραγματεύσεις με τα κράτη μέλη του ASEAN συνάδει πλήρως με τους στόχους εξωτερικής πολιτικής της Ένωσης, όπως ορίζονται στη συνολική στρατηγική αερομεταφορών που πρότεινε η Επιτροπή τον Δεκέμβριο του 2015 και αποσκοπεί στην ενίσχυση της ανταγωνιστικότητας του ευρωπαϊκού αεροπορικού τομέα.</w:t>
      </w:r>
    </w:p>
    <w:p>
      <w:pPr>
        <w:pStyle w:val="ManualHeading2"/>
        <w:rPr>
          <w:rFonts w:eastAsia="Arial Unicode MS"/>
          <w:noProof/>
        </w:rPr>
      </w:pPr>
      <w:r>
        <w:rPr>
          <w:noProof/>
        </w:rPr>
        <w:t>•</w:t>
      </w:r>
      <w:r>
        <w:rPr>
          <w:noProof/>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 xml:space="preserve">Η παρούσα σύσταση συνάδει πλήρως με τους στόχους της πολιτικής αερομεταφορών της Ένωσης και προάγει επίσης άλλους στόχους πολιτικής και συναφείς πολιτικές, για </w:t>
      </w:r>
      <w:r>
        <w:rPr>
          <w:noProof/>
        </w:rPr>
        <w:lastRenderedPageBreak/>
        <w:t>παράδειγμα, στους τομείς των εργασιακών δικαιωμάτων, του περιβάλλοντος και της καταπολέμησης της κλιματικής αλλαγής, με σκοπό την καλύτερη διασφάλιση της επίτευξης των εν λόγω στόχων από αμφότερα τα μέρη.</w:t>
      </w:r>
    </w:p>
    <w:p>
      <w:pPr>
        <w:pStyle w:val="ManualHeading1"/>
        <w:rPr>
          <w:noProof/>
        </w:rPr>
      </w:pPr>
      <w:r>
        <w:rPr>
          <w:noProof/>
        </w:rPr>
        <w:t>2.</w:t>
      </w:r>
      <w:r>
        <w:rPr>
          <w:noProof/>
        </w:rPr>
        <w:tab/>
        <w:t>ΝΟΜΙΚΗ ΒΑΣΗ</w:t>
      </w:r>
    </w:p>
    <w:p>
      <w:pPr>
        <w:pStyle w:val="ManualHeading2"/>
        <w:rPr>
          <w:rFonts w:eastAsia="Arial Unicode MS"/>
          <w:noProof/>
          <w:u w:color="000000"/>
          <w:bdr w:val="nil"/>
        </w:rPr>
      </w:pPr>
      <w:r>
        <w:rPr>
          <w:noProof/>
        </w:rPr>
        <w:t>•</w:t>
      </w:r>
      <w:r>
        <w:rPr>
          <w:noProof/>
        </w:rPr>
        <w:tab/>
        <w:t>Νομική βάση</w:t>
      </w:r>
    </w:p>
    <w:p>
      <w:pPr>
        <w:spacing w:after="240"/>
        <w:rPr>
          <w:rFonts w:eastAsia="Arial Unicode MS"/>
          <w:noProof/>
          <w:u w:color="000000"/>
          <w:bdr w:val="nil"/>
        </w:rPr>
      </w:pPr>
      <w:r>
        <w:rPr>
          <w:noProof/>
        </w:rPr>
        <w:t>Άρθρο 218 παράγραφος 3 της ΣΛΕΕ</w:t>
      </w:r>
      <w:r>
        <w:rPr>
          <w:b/>
          <w:noProof/>
        </w:rPr>
        <w:t>.</w:t>
      </w:r>
    </w:p>
    <w:p>
      <w:pPr>
        <w:pStyle w:val="ManualHeading2"/>
        <w:rPr>
          <w:rFonts w:eastAsia="Arial Unicode MS"/>
          <w:noProof/>
          <w:u w:color="000000"/>
          <w:bdr w:val="nil"/>
        </w:rPr>
      </w:pPr>
      <w:r>
        <w:rPr>
          <w:noProof/>
        </w:rPr>
        <w:t>•</w:t>
      </w:r>
      <w:r>
        <w:rPr>
          <w:noProof/>
        </w:rPr>
        <w:tab/>
        <w:t>Επιλογή της νομικής πράξης</w:t>
      </w:r>
    </w:p>
    <w:p>
      <w:pPr>
        <w:pBdr>
          <w:top w:val="nil"/>
          <w:left w:val="nil"/>
          <w:bottom w:val="nil"/>
          <w:right w:val="nil"/>
          <w:between w:val="nil"/>
          <w:bar w:val="nil"/>
        </w:pBdr>
        <w:spacing w:before="0" w:after="240"/>
        <w:rPr>
          <w:noProof/>
        </w:rPr>
      </w:pPr>
      <w:r>
        <w:rPr>
          <w:noProof/>
        </w:rPr>
        <w:t>Προτεινόμενη πράξη: Απόφαση του Συμβουλίου δυνάμει του άρθρου 218 παράγραφος 3 της ΣΛΕΕ.</w:t>
      </w:r>
    </w:p>
    <w:p>
      <w:pPr>
        <w:pBdr>
          <w:top w:val="nil"/>
          <w:left w:val="nil"/>
          <w:bottom w:val="nil"/>
          <w:right w:val="nil"/>
          <w:between w:val="nil"/>
          <w:bar w:val="nil"/>
        </w:pBdr>
        <w:spacing w:before="0" w:after="240"/>
        <w:rPr>
          <w:noProof/>
        </w:rPr>
      </w:pPr>
      <w:r>
        <w:rPr>
          <w:noProof/>
        </w:rPr>
        <w:t xml:space="preserve">Άλλα μέσα δεν θα ήταν κατάλληλα για τον εξής λόγο: </w:t>
      </w:r>
    </w:p>
    <w:p>
      <w:pPr>
        <w:pBdr>
          <w:top w:val="nil"/>
          <w:left w:val="nil"/>
          <w:bottom w:val="nil"/>
          <w:right w:val="nil"/>
          <w:between w:val="nil"/>
          <w:bar w:val="nil"/>
        </w:pBdr>
        <w:spacing w:before="0" w:after="240"/>
        <w:rPr>
          <w:noProof/>
        </w:rPr>
      </w:pPr>
      <w:r>
        <w:rPr>
          <w:noProof/>
        </w:rPr>
        <w:t>Η απόφαση του Συμβουλίου βάσει του άρθρου 218 παράγραφος 3 της ΣΛΕΕ, με την οποία εξουσιοδοτείται η Επιτροπή να αρχίσει διαπραγματεύσεις, είναι η προβλεπόμενη διαδικασία για τη διεξαγωγή διαπραγματεύσεων στον τομέα των διεθνών μεταφορών.</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Σύσταση για</w:t>
      </w:r>
    </w:p>
    <w:p>
      <w:pPr>
        <w:pStyle w:val="Typedudocument"/>
        <w:rPr>
          <w:noProof/>
        </w:rPr>
      </w:pPr>
      <w:r>
        <w:rPr>
          <w:noProof/>
        </w:rPr>
        <w:t>ΑΠΟΦΑΣΗ ΤΟΥ ΣΥΜΒΟΥΛΙΟΥ</w:t>
      </w:r>
    </w:p>
    <w:p>
      <w:pPr>
        <w:pStyle w:val="Titreobjet"/>
        <w:rPr>
          <w:noProof/>
        </w:rPr>
      </w:pPr>
      <w:r>
        <w:rPr>
          <w:noProof/>
        </w:rPr>
        <w:t>για την τροποποίηση της απόφασης του Συμβουλίου, της 7ης Ιουνίου 2016, περί εξουσιοδότησης της Επιτροπής να αρχίσει διαπραγματεύσεις σχετικά με συνολική συμφωνία αεροπορικών μεταφορών μεταξύ της Ευρωπαϊκής Ένωσης και των κρατών μελών της, αφενός, και των κρατών μελών του Συνδέσμου κρατών της Νοτιοανατολικής Ασίας (ASEAN), αφετέρου, σχετικά με θέματα που εμπίπτουν στην αποκλειστική αρμοδιότητα της Ένωσης.</w:t>
      </w:r>
      <w:r>
        <w:rPr>
          <w:noProof/>
        </w:rPr>
        <w:br/>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218 παράγραφος 3,</w:t>
      </w:r>
    </w:p>
    <w:p>
      <w:pPr>
        <w:rPr>
          <w:noProof/>
        </w:rPr>
      </w:pPr>
      <w:r>
        <w:rPr>
          <w:noProof/>
        </w:rPr>
        <w:t>Έχοντας υπόψη τη σύσταση της Επιτροπής,</w:t>
      </w:r>
    </w:p>
    <w:p>
      <w:pPr>
        <w:rPr>
          <w:noProof/>
        </w:rPr>
      </w:pPr>
      <w:r>
        <w:rPr>
          <w:noProof/>
        </w:rPr>
        <w:t>Εκτιμώντας τα ακόλουθα:</w:t>
      </w:r>
    </w:p>
    <w:p>
      <w:pPr>
        <w:rPr>
          <w:noProof/>
        </w:rPr>
      </w:pPr>
      <w:r>
        <w:rPr>
          <w:noProof/>
        </w:rPr>
        <w:t>Αμέσως μετά την έκδοση της απόφασης του Συμβουλίου, της 7ης Ιουνίου 2016, για την εξουσιοδότηση της Επιτροπής να αρχίσει διαπραγματεύσεις σχετικά με συνολική συμφωνία αεροπορικών μεταφορών μεταξύ της Ευρωπαϊκής Ένωσης και των κρατών μελών της, αφενός, και των κρατών μελών του Συνδέσμου κρατών της Νοτιοανατολικής Ασίας (ASEAN), αφετέρου, σχετικά με θέματα που εμπίπτουν στην αποκλειστική αρμοδιότητα της Ένωσης, η Επιτροπή επικοινώνησε με καθένα από τα κράτη μέλη του ASEAN με στόχο την έναρξη διαπραγματεύσεων.</w:t>
      </w:r>
    </w:p>
    <w:p>
      <w:pPr>
        <w:rPr>
          <w:noProof/>
        </w:rPr>
      </w:pPr>
      <w:r>
        <w:rPr>
          <w:noProof/>
        </w:rPr>
        <w:t>Από τον Νοέμβριο του 2016 έχουν πραγματοποιηθεί οκτώ γύροι διαπραγματεύσεων.</w:t>
      </w:r>
    </w:p>
    <w:p>
      <w:pPr>
        <w:rPr>
          <w:noProof/>
        </w:rPr>
      </w:pPr>
      <w:r>
        <w:rPr>
          <w:noProof/>
        </w:rPr>
        <w:t>Υπό αυτές τις συνθήκες, είναι μάλλον απίθανο να ολοκληρωθούν επιτυχώς οι διαπραγματεύσεις πριν από τη λήξη ισχύος της εξουσιοδότησης που χορηγήθηκε με την απόφαση του Συμβουλίου της 7ης Ιουνίου 2016, δηλαδή έως τις 7 Ιουνίου 2020.</w:t>
      </w:r>
    </w:p>
    <w:p>
      <w:pPr>
        <w:rPr>
          <w:noProof/>
        </w:rPr>
      </w:pPr>
      <w:r>
        <w:rPr>
          <w:noProof/>
        </w:rPr>
        <w:t>Ως εκ τούτου, είναι αναγκαίο να τροποποιηθεί η εν λόγω απόφαση ώστε να μπορεί η Επιτροπή να διεξαγάγει διαπραγματεύσεις σε ένα πλαίσιο ευνοϊκό για την επιτυχή ολοκλήρωση των διαπραγματεύσεων, προς το συμφέρον της Ένωσης.</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απόφαση του Συμβουλίου, της 7ης Ιουνίου 2016, για την εξουσιοδότηση της Επιτροπής να αρχίσει διαπραγματεύσεις σχετικά με συνολική συμφωνία αεροπορικών μεταφορών μεταξύ της Ευρωπαϊκής Ένωσης και των κρατών μελών της, αφενός, και των κρατών μελών του Συνδέσμου κρατών της Νοτιοανατολικής Ασίας (ASEAN), αφετέρου, σχετικά με θέματα που εμπίπτουν στην αποκλειστική αρμοδιότητα της Ένωσης τροποποιείται ως εξής:</w:t>
      </w:r>
    </w:p>
    <w:p>
      <w:pPr>
        <w:pStyle w:val="ManualNumPar1"/>
        <w:rPr>
          <w:noProof/>
        </w:rPr>
      </w:pPr>
      <w:r>
        <w:t>1.</w:t>
      </w:r>
      <w:r>
        <w:tab/>
      </w:r>
      <w:r>
        <w:rPr>
          <w:noProof/>
        </w:rPr>
        <w:t>Ο τίτλος της απόφασης αντικαθίσταται από το ακόλουθο κείμενο:</w:t>
      </w:r>
    </w:p>
    <w:p>
      <w:pPr>
        <w:rPr>
          <w:noProof/>
        </w:rPr>
      </w:pPr>
      <w:r>
        <w:rPr>
          <w:noProof/>
        </w:rPr>
        <w:t xml:space="preserve">«Απόφαση του Συμβουλίου, της 7ης Ιουνίου 2016, για την εξουσιοδότηση της Επιτροπής να αρχίσει διαπραγματεύσεις σχετικά με συνολική συμφωνία αεροπορικών μεταφορών μεταξύ </w:t>
      </w:r>
      <w:r>
        <w:rPr>
          <w:noProof/>
        </w:rPr>
        <w:lastRenderedPageBreak/>
        <w:t>της Ευρωπαϊκής Ένωσης και των κρατών μελών της, αφενός, και των κρατών μελών του Συνδέσμου κρατών της Νοτιοανατολικής Ασίας (ASEAN), αφετέρου»</w:t>
      </w:r>
    </w:p>
    <w:p>
      <w:pPr>
        <w:pStyle w:val="ManualNumPar1"/>
        <w:rPr>
          <w:noProof/>
        </w:rPr>
      </w:pPr>
      <w:r>
        <w:t>2.</w:t>
      </w:r>
      <w:r>
        <w:tab/>
      </w:r>
      <w:r>
        <w:rPr>
          <w:noProof/>
        </w:rPr>
        <w:t>Το κείμενο του άρθρου 1 αντικαθίσταται από το ακόλουθο κείμενο:</w:t>
      </w:r>
    </w:p>
    <w:p>
      <w:pPr>
        <w:rPr>
          <w:noProof/>
        </w:rPr>
      </w:pPr>
      <w:r>
        <w:rPr>
          <w:noProof/>
        </w:rPr>
        <w:t>«Η Επιτροπή εξουσιοδοτείται να διαπραγματευτεί, εξ ονόματος της Ένωσης, συνολική συμφωνία αεροπορικών μεταφορών με τα κράτη μέλη του Συνδέσμου κρατών της Νοτιοανατολικής Ασίας (ASEAN).»</w:t>
      </w:r>
    </w:p>
    <w:p>
      <w:pPr>
        <w:pStyle w:val="ManualNumPar1"/>
        <w:rPr>
          <w:noProof/>
        </w:rPr>
      </w:pPr>
      <w:r>
        <w:t>3.</w:t>
      </w:r>
      <w:r>
        <w:tab/>
      </w:r>
      <w:r>
        <w:rPr>
          <w:noProof/>
        </w:rPr>
        <w:t>Το κείμενο του άρθρου 3α αντικαθίσταται από το ακόλουθο κείμενο:</w:t>
      </w:r>
    </w:p>
    <w:p>
      <w:pPr>
        <w:rPr>
          <w:noProof/>
        </w:rPr>
      </w:pPr>
      <w:r>
        <w:rPr>
          <w:noProof/>
        </w:rPr>
        <w:tab/>
        <w:t>«Η παρούσα απόφαση ισχύει για απεριόριστο χρονικό διάστημα.»</w:t>
      </w:r>
    </w:p>
    <w:p>
      <w:pPr>
        <w:pStyle w:val="Titrearticle"/>
        <w:rPr>
          <w:noProof/>
        </w:rPr>
      </w:pPr>
      <w:r>
        <w:rPr>
          <w:noProof/>
        </w:rPr>
        <w:t>Άρθρο 2</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3C05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1AD41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93C67F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CF2BA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DDC46C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28A79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452E29E"/>
    <w:lvl w:ilvl="0">
      <w:start w:val="1"/>
      <w:numFmt w:val="decimal"/>
      <w:pStyle w:val="ListNumber"/>
      <w:lvlText w:val="%1."/>
      <w:lvlJc w:val="left"/>
      <w:pPr>
        <w:tabs>
          <w:tab w:val="num" w:pos="360"/>
        </w:tabs>
        <w:ind w:left="360" w:hanging="360"/>
      </w:pPr>
    </w:lvl>
  </w:abstractNum>
  <w:abstractNum w:abstractNumId="7">
    <w:nsid w:val="FFFFFF89"/>
    <w:multiLevelType w:val="singleLevel"/>
    <w:tmpl w:val="2168F4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3-18 18:13: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8D14238-93B1-4C32-8772-EA5C4A729D2C"/>
    <w:docVar w:name="LW_COVERPAGE_TYPE" w:val="1"/>
    <w:docVar w:name="LW_CROSSREFERENCE" w:val="&lt;UNUSED&gt;"/>
    <w:docVar w:name="LW_DocType" w:val="COM"/>
    <w:docVar w:name="LW_EMISSION" w:val="20.3.2020"/>
    <w:docVar w:name="LW_EMISSION_ISODATE" w:val="2020-03-20"/>
    <w:docVar w:name="LW_EMISSION_LOCATION" w:val="BRX"/>
    <w:docVar w:name="LW_EMISSION_PREFIX" w:val="Βρυξέλλες,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10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u931?\u973?\u963?\u964?\u945?\u963?\u951? \u947?\u953?\u945?"/>
    <w:docVar w:name="LW_SUPERTITRE" w:val="&lt;UNUSED&gt;"/>
    <w:docVar w:name="LW_TITRE.OBJ.CP" w:val="\u947?\u953?\u945? \u964?\u951?\u957? \u964?\u961?\u959?\u960?\u959?\u960?\u959?\u943?\u951?\u963?\u951? \u964?\u951?\u962? \u945?\u960?\u972?\u966?\u945?\u963?\u951?\u962? \u964?\u959?\u965? \u931?\u965?\u956?\u946?\u959?\u965?\u955?\u943?\u959?\u965?, \u964?\u951?\u962? 7\u951?\u962? \u921?\u959?\u965?\u957?\u943?\u959?\u965? 2016, \u960?\u949?\u961?\u943? \u949?\u958?\u959?\u965?\u963?\u953?\u959?\u948?\u972?\u964?\u951?\u963?\u951?\u962? \u964?\u951?\u962? \u917?\u960?\u953?\u964?\u961?\u959?\u960?\u942?\u962? \u957?\u945? \u945?\u961?\u967?\u943?\u963?\u949?\u953? \u948?\u953?\u945?\u960?\u961?\u945?\u947?\u956?\u945?\u964?\u949?\u973?\u963?\u949?\u953?\u962? \u963?\u967?\u949?\u964?\u953?\u954?\u940? \u956?\u949? \u963?\u965?\u957?\u959?\u955?\u953?\u954?\u942? \u963?\u965?\u956?\u966?\u969?\u957?\u943?\u945? \u945?\u949?\u961?\u959?\u960?\u959?\u961?\u953?\u954?\u974?\u957? \u956?\u949?\u964?\u945?\u966?\u959?\u961?\u974?\u957? \u956?\u949?\u964?\u945?\u958?\u973? \u964?\u951?\u962? \u917?\u965?\u961?\u969?\u960?\u945?\u970?\u954?\u942?\u962? \u904?\u957?\u969?\u963?\u951?\u962? \u954?\u945?\u953? \u964?\u969?\u957? \u954?\u961?\u945?\u964?\u974?\u957? \u956?\u949?\u955?\u974?\u957? \u964?\u951?\u962?, \u945?\u966?\u949?\u957?\u972?\u962?, \u954?\u945?\u953? \u964?\u969?\u957? \u954?\u961?\u945?\u964?\u974?\u957? \u956?\u949?\u955?\u974?\u957? \u964?\u959?\u965? \u931?\u965?\u957?\u948?\u941?\u963?\u956?\u959?\u965? \u954?\u961?\u945?\u964?\u974?\u957? \u964?\u951?\u962? \u925?\u959?\u964?\u953?\u959?\u945?\u957?\u945?\u964?\u959?\u955?\u953?\u954?\u942?\u962? \u913?\u963?\u943?\u945?\u962? (ASEAN), \u945?\u966?\u949?\u964?\u941?\u961?\u959?\u965?, \u963?\u967?\u949?\u964?\u953?\u954?\u940? \u956?\u949? \u952?\u941?\u956?\u945?\u964?\u945? \u960?\u959?\u965? \u949?\u956?\u960?\u943?\u960?\u964?\u959?\u965?\u957? \u963?\u964?\u951?\u957? \u945?\u960?\u959?\u954?\u955?\u949?\u953?\u963?\u964?\u953?\u954?\u942? \u945?\u961?\u956?\u959?\u948?\u953?\u972?\u964?\u951?\u964?\u945? \u964?\u951?\u962? \u904?\u957?\u969?\u963?\u951?\u962?._x000b_"/>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6A73-4C60-49ED-98F1-F6DCAD6B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947</Words>
  <Characters>5578</Characters>
  <Application>Microsoft Office Word</Application>
  <DocSecurity>0</DocSecurity>
  <Lines>109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2020-02-20T15:47:00Z</cp:lastPrinted>
  <dcterms:created xsi:type="dcterms:W3CDTF">2020-03-18T13:27:00Z</dcterms:created>
  <dcterms:modified xsi:type="dcterms:W3CDTF">2020-03-18T17:13:00Z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5.8.86.0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_NewReviewCycle">
    <vt:lpwstr/>
  </property>
  <property fmtid="{D5CDD505-2E9C-101B-9397-08002B2CF9AE}" pid="10" name="Level of sensitivity">
    <vt:lpwstr>Standard treatment</vt:lpwstr>
  </property>
  <property fmtid="{D5CDD505-2E9C-101B-9397-08002B2CF9AE}" pid="11" name="DQCStatus">
    <vt:lpwstr>Green (DQC version 03)</vt:lpwstr>
  </property>
</Properties>
</file>