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C7F4609D-60E9-4A21-B76B-F80B25561C3C" style="width:450.7pt;height:361.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120" w:after="240" w:line="240" w:lineRule="auto"/>
        <w:jc w:val="center"/>
        <w:rPr>
          <w:rFonts w:ascii="Times New Roman" w:eastAsia="Times New Roman" w:hAnsi="Times New Roman"/>
          <w:b/>
          <w:noProof/>
          <w:sz w:val="28"/>
          <w:szCs w:val="24"/>
        </w:rPr>
      </w:pPr>
      <w:bookmarkStart w:id="1" w:name="_GoBack"/>
      <w:bookmarkEnd w:id="1"/>
    </w:p>
    <w:p>
      <w:pPr>
        <w:pStyle w:val="TOCHeading"/>
        <w:jc w:val="left"/>
        <w:rPr>
          <w:b w:val="0"/>
          <w:noProof/>
        </w:rPr>
      </w:pPr>
    </w:p>
    <w:sdt>
      <w:sdtPr>
        <w:rPr>
          <w:rFonts w:asciiTheme="minorHAnsi" w:eastAsiaTheme="minorHAnsi" w:hAnsiTheme="minorHAnsi" w:cstheme="minorBidi"/>
          <w:b w:val="0"/>
          <w:noProof/>
          <w:sz w:val="22"/>
          <w:szCs w:val="22"/>
        </w:rPr>
        <w:id w:val="-365300493"/>
        <w:docPartObj>
          <w:docPartGallery w:val="Table of Contents"/>
          <w:docPartUnique/>
        </w:docPartObj>
      </w:sdtPr>
      <w:sdtEndPr>
        <w:rPr>
          <w:bCs/>
        </w:rPr>
      </w:sdtEndPr>
      <w:sdtContent>
        <w:p>
          <w:pPr>
            <w:pStyle w:val="TOCHeading"/>
            <w:rPr>
              <w:noProof/>
            </w:rPr>
          </w:pPr>
          <w:r>
            <w:rPr>
              <w:noProof/>
            </w:rPr>
            <w:t>Περιεχόμενα</w:t>
          </w:r>
        </w:p>
        <w:p>
          <w:pPr>
            <w:pStyle w:val="TOC1"/>
            <w:rPr>
              <w:rFonts w:asciiTheme="minorHAnsi" w:eastAsiaTheme="minorEastAsia" w:hAnsiTheme="minorHAnsi" w:cstheme="minorBidi"/>
              <w:noProof/>
              <w:sz w:val="22"/>
              <w:szCs w:val="22"/>
              <w:lang w:val="en-US"/>
            </w:rPr>
          </w:pPr>
          <w:r>
            <w:rPr>
              <w:noProof/>
            </w:rPr>
            <w:fldChar w:fldCharType="begin"/>
          </w:r>
          <w:r>
            <w:rPr>
              <w:noProof/>
            </w:rPr>
            <w:instrText xml:space="preserve"> TOC \o "1-3" \h \z \u </w:instrText>
          </w:r>
          <w:r>
            <w:rPr>
              <w:noProof/>
            </w:rPr>
            <w:fldChar w:fldCharType="separate"/>
          </w:r>
          <w:hyperlink w:anchor="_Toc33783637" w:history="1">
            <w:r>
              <w:rPr>
                <w:rStyle w:val="Hyperlink"/>
                <w:noProof/>
              </w:rPr>
              <w:t>1.</w:t>
            </w:r>
            <w:r>
              <w:rPr>
                <w:rFonts w:asciiTheme="minorHAnsi" w:eastAsiaTheme="minorEastAsia" w:hAnsiTheme="minorHAnsi" w:cstheme="minorBidi"/>
                <w:noProof/>
                <w:sz w:val="22"/>
                <w:szCs w:val="22"/>
                <w:lang w:val="en-US"/>
              </w:rPr>
              <w:tab/>
            </w:r>
            <w:r>
              <w:rPr>
                <w:rStyle w:val="Hyperlink"/>
                <w:noProof/>
              </w:rPr>
              <w:t>ΕΙΣΑΓΩΓΗ</w:t>
            </w:r>
            <w:r>
              <w:rPr>
                <w:noProof/>
                <w:webHidden/>
              </w:rPr>
              <w:tab/>
            </w:r>
            <w:r>
              <w:rPr>
                <w:noProof/>
                <w:webHidden/>
              </w:rPr>
              <w:fldChar w:fldCharType="begin"/>
            </w:r>
            <w:r>
              <w:rPr>
                <w:noProof/>
                <w:webHidden/>
              </w:rPr>
              <w:instrText xml:space="preserve"> PAGEREF _Toc33783637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783638" w:history="1">
            <w:r>
              <w:rPr>
                <w:rStyle w:val="Hyperlink"/>
                <w:noProof/>
              </w:rPr>
              <w:t>2.</w:t>
            </w:r>
            <w:r>
              <w:rPr>
                <w:rFonts w:asciiTheme="minorHAnsi" w:eastAsiaTheme="minorEastAsia" w:hAnsiTheme="minorHAnsi" w:cstheme="minorBidi"/>
                <w:noProof/>
                <w:sz w:val="22"/>
                <w:szCs w:val="22"/>
                <w:lang w:val="en-US"/>
              </w:rPr>
              <w:tab/>
            </w:r>
            <w:r>
              <w:rPr>
                <w:rStyle w:val="Hyperlink"/>
                <w:noProof/>
              </w:rPr>
              <w:t>ΟΔΗΓΙΑ 2000/30/EΚ</w:t>
            </w:r>
            <w:r>
              <w:rPr>
                <w:noProof/>
                <w:webHidden/>
              </w:rPr>
              <w:tab/>
            </w:r>
            <w:r>
              <w:rPr>
                <w:noProof/>
                <w:webHidden/>
              </w:rPr>
              <w:fldChar w:fldCharType="begin"/>
            </w:r>
            <w:r>
              <w:rPr>
                <w:noProof/>
                <w:webHidden/>
              </w:rPr>
              <w:instrText xml:space="preserve"> PAGEREF _Toc33783638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783639" w:history="1">
            <w:r>
              <w:rPr>
                <w:rStyle w:val="Hyperlink"/>
                <w:noProof/>
              </w:rPr>
              <w:t>3.</w:t>
            </w:r>
            <w:r>
              <w:rPr>
                <w:rFonts w:asciiTheme="minorHAnsi" w:eastAsiaTheme="minorEastAsia" w:hAnsiTheme="minorHAnsi" w:cstheme="minorBidi"/>
                <w:noProof/>
                <w:sz w:val="22"/>
                <w:szCs w:val="22"/>
                <w:lang w:val="en-US"/>
              </w:rPr>
              <w:tab/>
            </w:r>
            <w:r>
              <w:rPr>
                <w:rStyle w:val="Hyperlink"/>
                <w:noProof/>
              </w:rPr>
              <w:t>ΔΕΔΟΜΕΝΑ ΠΟΥ ΚΟΙΝΟΠΟΙΗΣΑΝ ΤΑ ΚΡΑΤΗ ΜΕΛΗ</w:t>
            </w:r>
            <w:r>
              <w:rPr>
                <w:noProof/>
                <w:webHidden/>
              </w:rPr>
              <w:tab/>
            </w:r>
            <w:r>
              <w:rPr>
                <w:noProof/>
                <w:webHidden/>
              </w:rPr>
              <w:fldChar w:fldCharType="begin"/>
            </w:r>
            <w:r>
              <w:rPr>
                <w:noProof/>
                <w:webHidden/>
              </w:rPr>
              <w:instrText xml:space="preserve"> PAGEREF _Toc33783639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783640" w:history="1">
            <w:r>
              <w:rPr>
                <w:rStyle w:val="Hyperlink"/>
                <w:noProof/>
              </w:rPr>
              <w:t>4.</w:t>
            </w:r>
            <w:r>
              <w:rPr>
                <w:rFonts w:asciiTheme="minorHAnsi" w:eastAsiaTheme="minorEastAsia" w:hAnsiTheme="minorHAnsi" w:cstheme="minorBidi"/>
                <w:noProof/>
                <w:sz w:val="22"/>
                <w:szCs w:val="22"/>
                <w:lang w:val="en-US"/>
              </w:rPr>
              <w:tab/>
            </w:r>
            <w:r>
              <w:rPr>
                <w:rStyle w:val="Hyperlink"/>
                <w:noProof/>
              </w:rPr>
              <w:t>ΠΕΡΙΕΧΟΜΕΝΟ ΤΟΥ ΕΛΕΓΧΟΥ</w:t>
            </w:r>
            <w:r>
              <w:rPr>
                <w:noProof/>
                <w:webHidden/>
              </w:rPr>
              <w:tab/>
            </w:r>
            <w:r>
              <w:rPr>
                <w:noProof/>
                <w:webHidden/>
              </w:rPr>
              <w:fldChar w:fldCharType="begin"/>
            </w:r>
            <w:r>
              <w:rPr>
                <w:noProof/>
                <w:webHidden/>
              </w:rPr>
              <w:instrText xml:space="preserve"> PAGEREF _Toc33783640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783641" w:history="1">
            <w:r>
              <w:rPr>
                <w:rStyle w:val="Hyperlink"/>
                <w:noProof/>
              </w:rPr>
              <w:t>5.</w:t>
            </w:r>
            <w:r>
              <w:rPr>
                <w:rFonts w:asciiTheme="minorHAnsi" w:eastAsiaTheme="minorEastAsia" w:hAnsiTheme="minorHAnsi" w:cstheme="minorBidi"/>
                <w:noProof/>
                <w:sz w:val="22"/>
                <w:szCs w:val="22"/>
                <w:lang w:val="en-US"/>
              </w:rPr>
              <w:tab/>
            </w:r>
            <w:r>
              <w:rPr>
                <w:rStyle w:val="Hyperlink"/>
                <w:noProof/>
              </w:rPr>
              <w:t>ΣΤΑΤΙΣΤΙΚΑ ΔΕΔΟΜΕΝΑ</w:t>
            </w:r>
            <w:r>
              <w:rPr>
                <w:noProof/>
                <w:webHidden/>
              </w:rPr>
              <w:tab/>
            </w:r>
            <w:r>
              <w:rPr>
                <w:noProof/>
                <w:webHidden/>
              </w:rPr>
              <w:fldChar w:fldCharType="begin"/>
            </w:r>
            <w:r>
              <w:rPr>
                <w:noProof/>
                <w:webHidden/>
              </w:rPr>
              <w:instrText xml:space="preserve"> PAGEREF _Toc33783641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783642" w:history="1">
            <w:r>
              <w:rPr>
                <w:rStyle w:val="Hyperlink"/>
                <w:noProof/>
              </w:rPr>
              <w:t xml:space="preserve">5.1. </w:t>
            </w:r>
            <w:r>
              <w:rPr>
                <w:rFonts w:asciiTheme="minorHAnsi" w:eastAsiaTheme="minorEastAsia" w:hAnsiTheme="minorHAnsi" w:cstheme="minorBidi"/>
                <w:noProof/>
                <w:sz w:val="22"/>
                <w:szCs w:val="22"/>
                <w:lang w:val="en-US"/>
              </w:rPr>
              <w:tab/>
            </w:r>
            <w:r>
              <w:rPr>
                <w:rStyle w:val="Hyperlink"/>
                <w:noProof/>
              </w:rPr>
              <w:t>Αριθμός ελέγχων</w:t>
            </w:r>
            <w:r>
              <w:rPr>
                <w:noProof/>
                <w:webHidden/>
              </w:rPr>
              <w:tab/>
            </w:r>
            <w:r>
              <w:rPr>
                <w:noProof/>
                <w:webHidden/>
              </w:rPr>
              <w:fldChar w:fldCharType="begin"/>
            </w:r>
            <w:r>
              <w:rPr>
                <w:noProof/>
                <w:webHidden/>
              </w:rPr>
              <w:instrText xml:space="preserve"> PAGEREF _Toc33783642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783643" w:history="1">
            <w:r>
              <w:rPr>
                <w:rStyle w:val="Hyperlink"/>
                <w:noProof/>
              </w:rPr>
              <w:t xml:space="preserve">5.2. </w:t>
            </w:r>
            <w:r>
              <w:rPr>
                <w:rFonts w:asciiTheme="minorHAnsi" w:eastAsiaTheme="minorEastAsia" w:hAnsiTheme="minorHAnsi" w:cstheme="minorBidi"/>
                <w:noProof/>
                <w:sz w:val="22"/>
                <w:szCs w:val="22"/>
                <w:lang w:val="en-US"/>
              </w:rPr>
              <w:tab/>
            </w:r>
            <w:r>
              <w:rPr>
                <w:rStyle w:val="Hyperlink"/>
                <w:noProof/>
              </w:rPr>
              <w:t>Προέλευση των ελεγχθέντων οχημάτων</w:t>
            </w:r>
            <w:r>
              <w:rPr>
                <w:noProof/>
                <w:webHidden/>
              </w:rPr>
              <w:tab/>
            </w:r>
            <w:r>
              <w:rPr>
                <w:noProof/>
                <w:webHidden/>
              </w:rPr>
              <w:fldChar w:fldCharType="begin"/>
            </w:r>
            <w:r>
              <w:rPr>
                <w:noProof/>
                <w:webHidden/>
              </w:rPr>
              <w:instrText xml:space="preserve"> PAGEREF _Toc33783643 \h </w:instrText>
            </w:r>
            <w:r>
              <w:rPr>
                <w:noProof/>
                <w:webHidden/>
              </w:rPr>
            </w:r>
            <w:r>
              <w:rPr>
                <w:noProof/>
                <w:webHidden/>
              </w:rPr>
              <w:fldChar w:fldCharType="separate"/>
            </w:r>
            <w:r>
              <w:rPr>
                <w:noProof/>
                <w:webHidden/>
              </w:rPr>
              <w:t>9</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783644" w:history="1">
            <w:r>
              <w:rPr>
                <w:rStyle w:val="Hyperlink"/>
                <w:noProof/>
              </w:rPr>
              <w:t>5.3.</w:t>
            </w:r>
            <w:r>
              <w:rPr>
                <w:rFonts w:asciiTheme="minorHAnsi" w:eastAsiaTheme="minorEastAsia" w:hAnsiTheme="minorHAnsi" w:cstheme="minorBidi"/>
                <w:noProof/>
                <w:sz w:val="22"/>
                <w:szCs w:val="22"/>
                <w:lang w:val="en-US"/>
              </w:rPr>
              <w:tab/>
            </w:r>
            <w:r>
              <w:rPr>
                <w:rStyle w:val="Hyperlink"/>
                <w:noProof/>
              </w:rPr>
              <w:t>Αριθμός απαγορεύσεων κυκλοφορίας</w:t>
            </w:r>
            <w:r>
              <w:rPr>
                <w:noProof/>
                <w:webHidden/>
              </w:rPr>
              <w:tab/>
            </w:r>
            <w:r>
              <w:rPr>
                <w:noProof/>
                <w:webHidden/>
              </w:rPr>
              <w:fldChar w:fldCharType="begin"/>
            </w:r>
            <w:r>
              <w:rPr>
                <w:noProof/>
                <w:webHidden/>
              </w:rPr>
              <w:instrText xml:space="preserve"> PAGEREF _Toc33783644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783645" w:history="1">
            <w:r>
              <w:rPr>
                <w:rStyle w:val="Hyperlink"/>
                <w:noProof/>
              </w:rPr>
              <w:t>5.4.</w:t>
            </w:r>
            <w:r>
              <w:rPr>
                <w:rFonts w:asciiTheme="minorHAnsi" w:eastAsiaTheme="minorEastAsia" w:hAnsiTheme="minorHAnsi" w:cstheme="minorBidi"/>
                <w:noProof/>
                <w:sz w:val="22"/>
                <w:szCs w:val="22"/>
                <w:lang w:val="en-US"/>
              </w:rPr>
              <w:tab/>
            </w:r>
            <w:r>
              <w:rPr>
                <w:rStyle w:val="Hyperlink"/>
                <w:noProof/>
              </w:rPr>
              <w:t>Προέλευση των οχημάτων στα οποία απαγορεύτηκε η κυκλοφορία</w:t>
            </w:r>
            <w:r>
              <w:rPr>
                <w:noProof/>
                <w:webHidden/>
              </w:rPr>
              <w:tab/>
            </w:r>
            <w:r>
              <w:rPr>
                <w:noProof/>
                <w:webHidden/>
              </w:rPr>
              <w:fldChar w:fldCharType="begin"/>
            </w:r>
            <w:r>
              <w:rPr>
                <w:noProof/>
                <w:webHidden/>
              </w:rPr>
              <w:instrText xml:space="preserve"> PAGEREF _Toc33783645 \h </w:instrText>
            </w:r>
            <w:r>
              <w:rPr>
                <w:noProof/>
                <w:webHidden/>
              </w:rPr>
            </w:r>
            <w:r>
              <w:rPr>
                <w:noProof/>
                <w:webHidden/>
              </w:rPr>
              <w:fldChar w:fldCharType="separate"/>
            </w:r>
            <w:r>
              <w:rPr>
                <w:noProof/>
                <w:webHidden/>
              </w:rPr>
              <w:t>12</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783646" w:history="1">
            <w:r>
              <w:rPr>
                <w:rStyle w:val="Hyperlink"/>
                <w:noProof/>
              </w:rPr>
              <w:t>5.5.</w:t>
            </w:r>
            <w:r>
              <w:rPr>
                <w:rFonts w:asciiTheme="minorHAnsi" w:eastAsiaTheme="minorEastAsia" w:hAnsiTheme="minorHAnsi" w:cstheme="minorBidi"/>
                <w:noProof/>
                <w:sz w:val="22"/>
                <w:szCs w:val="22"/>
                <w:lang w:val="en-US"/>
              </w:rPr>
              <w:tab/>
            </w:r>
            <w:r>
              <w:rPr>
                <w:rStyle w:val="Hyperlink"/>
                <w:noProof/>
              </w:rPr>
              <w:t>Απαγόρευση κυκλοφορίας οχημάτων ανά κατηγορία οχημάτων και ανά κράτος μέλος ταξινόμησης</w:t>
            </w:r>
            <w:r>
              <w:rPr>
                <w:noProof/>
                <w:webHidden/>
              </w:rPr>
              <w:tab/>
            </w:r>
            <w:r>
              <w:rPr>
                <w:noProof/>
                <w:webHidden/>
              </w:rPr>
              <w:fldChar w:fldCharType="begin"/>
            </w:r>
            <w:r>
              <w:rPr>
                <w:noProof/>
                <w:webHidden/>
              </w:rPr>
              <w:instrText xml:space="preserve"> PAGEREF _Toc33783646 \h </w:instrText>
            </w:r>
            <w:r>
              <w:rPr>
                <w:noProof/>
                <w:webHidden/>
              </w:rPr>
            </w:r>
            <w:r>
              <w:rPr>
                <w:noProof/>
                <w:webHidden/>
              </w:rPr>
              <w:fldChar w:fldCharType="separate"/>
            </w:r>
            <w:r>
              <w:rPr>
                <w:noProof/>
                <w:webHidden/>
              </w:rPr>
              <w:t>15</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783647" w:history="1">
            <w:r>
              <w:rPr>
                <w:rStyle w:val="Hyperlink"/>
                <w:noProof/>
              </w:rPr>
              <w:t>5.6.</w:t>
            </w:r>
            <w:r>
              <w:rPr>
                <w:rFonts w:asciiTheme="minorHAnsi" w:eastAsiaTheme="minorEastAsia" w:hAnsiTheme="minorHAnsi" w:cstheme="minorBidi"/>
                <w:noProof/>
                <w:sz w:val="22"/>
                <w:szCs w:val="22"/>
                <w:lang w:val="en-US"/>
              </w:rPr>
              <w:tab/>
            </w:r>
            <w:r>
              <w:rPr>
                <w:rStyle w:val="Hyperlink"/>
                <w:noProof/>
              </w:rPr>
              <w:t>Είδη ελαττωμάτων που αναφέρθηκαν από τα κράτη μέλη</w:t>
            </w:r>
            <w:r>
              <w:rPr>
                <w:noProof/>
                <w:webHidden/>
              </w:rPr>
              <w:tab/>
            </w:r>
            <w:r>
              <w:rPr>
                <w:noProof/>
                <w:webHidden/>
              </w:rPr>
              <w:fldChar w:fldCharType="begin"/>
            </w:r>
            <w:r>
              <w:rPr>
                <w:noProof/>
                <w:webHidden/>
              </w:rPr>
              <w:instrText xml:space="preserve"> PAGEREF _Toc33783647 \h </w:instrText>
            </w:r>
            <w:r>
              <w:rPr>
                <w:noProof/>
                <w:webHidden/>
              </w:rPr>
            </w:r>
            <w:r>
              <w:rPr>
                <w:noProof/>
                <w:webHidden/>
              </w:rPr>
              <w:fldChar w:fldCharType="separate"/>
            </w:r>
            <w:r>
              <w:rPr>
                <w:noProof/>
                <w:webHidden/>
              </w:rPr>
              <w:t>16</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783648" w:history="1">
            <w:r>
              <w:rPr>
                <w:rStyle w:val="Hyperlink"/>
                <w:noProof/>
              </w:rPr>
              <w:t>6.</w:t>
            </w:r>
            <w:r>
              <w:rPr>
                <w:rFonts w:asciiTheme="minorHAnsi" w:eastAsiaTheme="minorEastAsia" w:hAnsiTheme="minorHAnsi" w:cstheme="minorBidi"/>
                <w:noProof/>
                <w:sz w:val="22"/>
                <w:szCs w:val="22"/>
                <w:lang w:val="en-US"/>
              </w:rPr>
              <w:tab/>
            </w:r>
            <w:r>
              <w:rPr>
                <w:rStyle w:val="Hyperlink"/>
                <w:noProof/>
              </w:rPr>
              <w:t>ΕΙΔΗ ΚΥΡΩΣΕΩΝ</w:t>
            </w:r>
            <w:r>
              <w:rPr>
                <w:noProof/>
                <w:webHidden/>
              </w:rPr>
              <w:tab/>
            </w:r>
            <w:r>
              <w:rPr>
                <w:noProof/>
                <w:webHidden/>
              </w:rPr>
              <w:fldChar w:fldCharType="begin"/>
            </w:r>
            <w:r>
              <w:rPr>
                <w:noProof/>
                <w:webHidden/>
              </w:rPr>
              <w:instrText xml:space="preserve"> PAGEREF _Toc33783648 \h </w:instrText>
            </w:r>
            <w:r>
              <w:rPr>
                <w:noProof/>
                <w:webHidden/>
              </w:rPr>
            </w:r>
            <w:r>
              <w:rPr>
                <w:noProof/>
                <w:webHidden/>
              </w:rPr>
              <w:fldChar w:fldCharType="separate"/>
            </w:r>
            <w:r>
              <w:rPr>
                <w:noProof/>
                <w:webHidden/>
              </w:rPr>
              <w:t>18</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783649" w:history="1">
            <w:r>
              <w:rPr>
                <w:rStyle w:val="Hyperlink"/>
                <w:noProof/>
              </w:rPr>
              <w:t>7.</w:t>
            </w:r>
            <w:r>
              <w:rPr>
                <w:rFonts w:asciiTheme="minorHAnsi" w:eastAsiaTheme="minorEastAsia" w:hAnsiTheme="minorHAnsi" w:cstheme="minorBidi"/>
                <w:noProof/>
                <w:sz w:val="22"/>
                <w:szCs w:val="22"/>
                <w:lang w:val="en-US"/>
              </w:rPr>
              <w:tab/>
            </w:r>
            <w:r>
              <w:rPr>
                <w:rStyle w:val="Hyperlink"/>
                <w:noProof/>
              </w:rPr>
              <w:t>ΣΥΝΟΠΤΙΚΑ ΣΥΜΠΕΡΑΣΜΑΤΑ</w:t>
            </w:r>
            <w:r>
              <w:rPr>
                <w:noProof/>
                <w:webHidden/>
              </w:rPr>
              <w:tab/>
            </w:r>
            <w:r>
              <w:rPr>
                <w:noProof/>
                <w:webHidden/>
              </w:rPr>
              <w:fldChar w:fldCharType="begin"/>
            </w:r>
            <w:r>
              <w:rPr>
                <w:noProof/>
                <w:webHidden/>
              </w:rPr>
              <w:instrText xml:space="preserve"> PAGEREF _Toc33783649 \h </w:instrText>
            </w:r>
            <w:r>
              <w:rPr>
                <w:noProof/>
                <w:webHidden/>
              </w:rPr>
            </w:r>
            <w:r>
              <w:rPr>
                <w:noProof/>
                <w:webHidden/>
              </w:rPr>
              <w:fldChar w:fldCharType="separate"/>
            </w:r>
            <w:r>
              <w:rPr>
                <w:noProof/>
                <w:webHidden/>
              </w:rPr>
              <w:t>19</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783650" w:history="1">
            <w:r>
              <w:rPr>
                <w:rStyle w:val="Hyperlink"/>
                <w:noProof/>
              </w:rPr>
              <w:t>7.1        Έλεγχοι</w:t>
            </w:r>
            <w:r>
              <w:rPr>
                <w:noProof/>
                <w:webHidden/>
              </w:rPr>
              <w:tab/>
            </w:r>
            <w:r>
              <w:rPr>
                <w:noProof/>
                <w:webHidden/>
              </w:rPr>
              <w:fldChar w:fldCharType="begin"/>
            </w:r>
            <w:r>
              <w:rPr>
                <w:noProof/>
                <w:webHidden/>
              </w:rPr>
              <w:instrText xml:space="preserve"> PAGEREF _Toc33783650 \h </w:instrText>
            </w:r>
            <w:r>
              <w:rPr>
                <w:noProof/>
                <w:webHidden/>
              </w:rPr>
            </w:r>
            <w:r>
              <w:rPr>
                <w:noProof/>
                <w:webHidden/>
              </w:rPr>
              <w:fldChar w:fldCharType="separate"/>
            </w:r>
            <w:r>
              <w:rPr>
                <w:noProof/>
                <w:webHidden/>
              </w:rPr>
              <w:t>19</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783651" w:history="1">
            <w:r>
              <w:rPr>
                <w:rStyle w:val="Hyperlink"/>
                <w:noProof/>
              </w:rPr>
              <w:t>7.2        Απαγορεύσεις κυκλοφορίας</w:t>
            </w:r>
            <w:r>
              <w:rPr>
                <w:noProof/>
                <w:webHidden/>
              </w:rPr>
              <w:tab/>
            </w:r>
            <w:r>
              <w:rPr>
                <w:noProof/>
                <w:webHidden/>
              </w:rPr>
              <w:fldChar w:fldCharType="begin"/>
            </w:r>
            <w:r>
              <w:rPr>
                <w:noProof/>
                <w:webHidden/>
              </w:rPr>
              <w:instrText xml:space="preserve"> PAGEREF _Toc33783651 \h </w:instrText>
            </w:r>
            <w:r>
              <w:rPr>
                <w:noProof/>
                <w:webHidden/>
              </w:rPr>
            </w:r>
            <w:r>
              <w:rPr>
                <w:noProof/>
                <w:webHidden/>
              </w:rPr>
              <w:fldChar w:fldCharType="separate"/>
            </w:r>
            <w:r>
              <w:rPr>
                <w:noProof/>
                <w:webHidden/>
              </w:rPr>
              <w:t>19</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783652" w:history="1">
            <w:r>
              <w:rPr>
                <w:rStyle w:val="Hyperlink"/>
                <w:noProof/>
              </w:rPr>
              <w:t>7.3        Ελαττώματα</w:t>
            </w:r>
            <w:r>
              <w:rPr>
                <w:noProof/>
                <w:webHidden/>
              </w:rPr>
              <w:tab/>
            </w:r>
            <w:r>
              <w:rPr>
                <w:noProof/>
                <w:webHidden/>
              </w:rPr>
              <w:fldChar w:fldCharType="begin"/>
            </w:r>
            <w:r>
              <w:rPr>
                <w:noProof/>
                <w:webHidden/>
              </w:rPr>
              <w:instrText xml:space="preserve"> PAGEREF _Toc33783652 \h </w:instrText>
            </w:r>
            <w:r>
              <w:rPr>
                <w:noProof/>
                <w:webHidden/>
              </w:rPr>
            </w:r>
            <w:r>
              <w:rPr>
                <w:noProof/>
                <w:webHidden/>
              </w:rPr>
              <w:fldChar w:fldCharType="separate"/>
            </w:r>
            <w:r>
              <w:rPr>
                <w:noProof/>
                <w:webHidden/>
              </w:rPr>
              <w:t>20</w:t>
            </w:r>
            <w:r>
              <w:rPr>
                <w:noProof/>
                <w:webHidden/>
              </w:rPr>
              <w:fldChar w:fldCharType="end"/>
            </w:r>
          </w:hyperlink>
        </w:p>
        <w:p>
          <w:pPr>
            <w:rPr>
              <w:noProof/>
            </w:rPr>
          </w:pPr>
          <w:r>
            <w:rPr>
              <w:b/>
              <w:bCs/>
              <w:noProof/>
            </w:rPr>
            <w:fldChar w:fldCharType="end"/>
          </w:r>
        </w:p>
      </w:sdtContent>
    </w:sdt>
    <w:p>
      <w:pPr>
        <w:rPr>
          <w:rFonts w:ascii="Times New Roman" w:eastAsia="Times New Roman" w:hAnsi="Times New Roman"/>
          <w:b/>
          <w:noProof/>
          <w:sz w:val="28"/>
          <w:szCs w:val="24"/>
        </w:rPr>
      </w:pPr>
    </w:p>
    <w:p>
      <w:pPr>
        <w:spacing w:before="120" w:after="120" w:line="240" w:lineRule="auto"/>
        <w:jc w:val="both"/>
        <w:rPr>
          <w:rFonts w:ascii="Times New Roman" w:eastAsia="Times New Roman" w:hAnsi="Times New Roman"/>
          <w:noProof/>
          <w:sz w:val="24"/>
          <w:szCs w:val="24"/>
        </w:rPr>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pgNumType w:start="1"/>
          <w:cols w:space="720"/>
          <w:docGrid w:linePitch="326"/>
        </w:sectPr>
      </w:pPr>
    </w:p>
    <w:p>
      <w:pPr>
        <w:pStyle w:val="Heading1"/>
        <w:rPr>
          <w:rFonts w:cs="Times New Roman"/>
          <w:noProof/>
        </w:rPr>
      </w:pPr>
      <w:bookmarkStart w:id="2" w:name="_Toc33783637"/>
      <w:r>
        <w:rPr>
          <w:rFonts w:cs="Times New Roman"/>
          <w:noProof/>
        </w:rPr>
        <w:t>1.</w:t>
      </w:r>
      <w:r>
        <w:rPr>
          <w:rFonts w:cs="Times New Roman"/>
          <w:noProof/>
        </w:rPr>
        <w:tab/>
        <w:t>ΕΙΣΑΓΩΓΗ</w:t>
      </w:r>
      <w:bookmarkEnd w:id="2"/>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Προς το συμφέρον της οδικής ασφάλειας, της προστασίας του περιβάλλοντος και του θεμιτού ανταγωνισμού, η ευρωπαϊκή νομοθεσία προβλέπει δέσμη μέτρων που διασφαλίζουν ότι τα οχήματα επαγγελματικής χρήσης που κυκλοφορούν στο ευρωπαϊκό οδικό δίκτυο είναι σε κατάλληλη τεχνική κατάσταση. Στα μέτρα αυτά περιλαμβάνονται:</w:t>
      </w:r>
    </w:p>
    <w:p>
      <w:pPr>
        <w:numPr>
          <w:ilvl w:val="0"/>
          <w:numId w:val="39"/>
        </w:numPr>
        <w:spacing w:after="24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κανόνες για την πρόσβαση στο επάγγελμα, βάσει των οποίων οι επιχειρήσεις μεταφορών απαιτείται να έχουν οικονομική επάρκεια ώστε να εξασφαλίζουν ορθή συντήρηση των οχημάτων [κανονισμός (ΕΚ) αριθ. 1072/2009</w:t>
      </w:r>
      <w:r>
        <w:rPr>
          <w:rStyle w:val="FootnoteReference"/>
          <w:rFonts w:ascii="Times New Roman" w:hAnsi="Times New Roman" w:cs="Times New Roman"/>
          <w:noProof/>
          <w:sz w:val="24"/>
          <w:szCs w:val="24"/>
        </w:rPr>
        <w:footnoteReference w:id="1"/>
      </w:r>
      <w:r>
        <w:rPr>
          <w:rFonts w:ascii="Times New Roman" w:hAnsi="Times New Roman" w:cs="Times New Roman"/>
          <w:noProof/>
          <w:sz w:val="24"/>
          <w:szCs w:val="24"/>
        </w:rPr>
        <w:t>]·</w:t>
      </w:r>
    </w:p>
    <w:p>
      <w:pPr>
        <w:numPr>
          <w:ilvl w:val="0"/>
          <w:numId w:val="39"/>
        </w:numPr>
        <w:spacing w:after="24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περιοδικοί τεχνικοί έλεγχοι οχημάτων, οι οποίοι πρέπει να πραγματοποιούνται στα κράτη μέλη για τα ταξινομημένα στην επικράτειά τους οχήματα, με ελάχιστη συχνότητα η οποία έχει καθοριστεί σε ευρωπαϊκό επίπεδο (οδηγία 2009/40/ΕΚ</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w:t>
      </w:r>
    </w:p>
    <w:p>
      <w:pPr>
        <w:numPr>
          <w:ilvl w:val="0"/>
          <w:numId w:val="39"/>
        </w:numPr>
        <w:spacing w:after="24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οδικοί τεχνικοί έλεγχοι, το αντικείμενο της παρούσας έκθεσης, με τους οποίους διασφαλίζεται ότι τα οχήματα επαγγελματικής χρήσης χρησιμοποιούνται μόνον εφόσον συντηρούνται, ώστε να διασφαλίζεται τεχνική κατάσταση υψηλού επιπέδου (οδηγία 2000/30/ΕΚ</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Σύμφωνα με την οδηγία 2000/30/ΕΚ, τα οχήματα επαγγελματικής χρήσης που κυκλοφορούν στα κράτη μέλη υπόκεινται σε οδικούς τεχνικούς ελέγχους, δηλαδή σε τεχνικούς ελέγχους με στόχο τη βελτίωση της οδικής ασφάλειας και την προστασία του περιβάλλοντος. Το άρθρο 6 της οδηγίας προβλέπει ότι, ανά διετία, τα κράτη μέλη θα πρέπει να παρέχουν στην Επιτροπή τα δεδομένα που συνέλεξαν τα προηγούμενα δύο έτη σχετικά με:</w:t>
      </w:r>
    </w:p>
    <w:p>
      <w:pPr>
        <w:numPr>
          <w:ilvl w:val="0"/>
          <w:numId w:val="40"/>
        </w:num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τον αριθμό των ελεγχθέντων οχημάτων επαγγελματικής χρήσης, ομαδοποιημένων σε επτά κατηγορίες οχημάτων και ομαδοποιημένων επίσης ανά χώρα ταξινόμησης· </w:t>
      </w:r>
    </w:p>
    <w:p>
      <w:pPr>
        <w:numPr>
          <w:ilvl w:val="0"/>
          <w:numId w:val="40"/>
        </w:num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τα σημεία που ελέγχθηκαν σύμφωνα με την οδηγία· και</w:t>
      </w:r>
    </w:p>
    <w:p>
      <w:pPr>
        <w:numPr>
          <w:ilvl w:val="0"/>
          <w:numId w:val="40"/>
        </w:num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τα διαπιστωθέντα ελαττώματα.</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Μετά τη συλλογή των εν λόγω δεδομένων, η οδηγία 2000/30/ΕΚ προβλέπει επίσης ότι η Επιτροπή πρέπει να υποβάλλει έκθεση στο Συμβούλιο σχετικά με την εφαρμογή της οδηγίας, με βάση τα δεδομένα που παραλαμβάνει από τα κράτη μέλη, μαζί με περίληψη των αποτελεσμάτων. Αυτό είναι το αντικείμενο της παρούσας έκθεσης. Σύμφωνα με την οδηγία 2000/30/ΕΚ, η Επιτροπή υποχρεούται επίσης να διαβιβάζει στο Ευρωπαϊκό Κοινοβούλιο τις πληροφορίες που παραλαμβάνει από τα κράτη μέλη δυνάμει του άρθρου 6 της οδηγίας.</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Στην οδηγία 2000/30/ΕΚ απαριθμούνται εννέα διαφορετικά σημεία που εμπίπτουν στο πεδίο εφαρμογής του οδικού τεχνικού ελέγχου. Περισσότερες λεπτομέρειες περιλαμβάνονται στο τμήμα 4 κατωτέρω. Εάν κατά τη διάρκεια ενός ελέγχου καταστεί προφανές ότι όχημα επαγγελματικής χρήσης ενέχει σοβαρό κίνδυνο για τους επιβαίνοντες ή άλλους χρήστες του οδικού δικτύου, η χρήση του εν λόγω οχήματος μπορεί να απαγορευτεί μέχρι να επισκευαστούν τυχόν επικίνδυνα ελαττώματα που διαπιστώθηκαν. Επίσης, μετά τη διεξαγωγή ελέγχου οχήματος, τυχόν διαπιστωθέντα ελαττώματα πρέπει να τεκμηριώνονται σε έκθεση ελέγχου, η οποία παραδίδεται στον οδηγό του οχήματος.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Το 2014 το Ευρωπαϊκό Κοινοβούλιο και το Συμβούλιο αναθεώρησαν τους κανόνες και τις διαδικασίες για τους οδικούς τεχνικούς ελέγχους των οχημάτων επαγγελματικής χρήσης. Στις 3 Απριλίου 2014 εκδόθηκε η οδηγία 2014/47/ΕΕ</w:t>
      </w:r>
      <w:r>
        <w:rPr>
          <w:rFonts w:ascii="Times New Roman" w:eastAsia="Times New Roman" w:hAnsi="Times New Roman" w:cs="Times New Roman"/>
          <w:noProof/>
          <w:sz w:val="24"/>
          <w:szCs w:val="24"/>
          <w:vertAlign w:val="superscript"/>
        </w:rPr>
        <w:footnoteReference w:id="4"/>
      </w:r>
      <w:r>
        <w:rPr>
          <w:rFonts w:ascii="Times New Roman" w:hAnsi="Times New Roman" w:cs="Times New Roman"/>
          <w:noProof/>
          <w:sz w:val="24"/>
          <w:szCs w:val="24"/>
        </w:rPr>
        <w:t xml:space="preserve"> (στο εξής: οδηγία 2014/47/ΕΕ), η οποία εφαρμόζεται από τις 20 Μαΐου 2018. Με την οδηγία 2014/47/ΕΕ θεσπίστηκαν, μεταξύ άλλων, δύο είδη ελέγχων (επιθεωρήσεων), ήτοι οι αρχικοί και οι διεξοδικότεροι έλεγχοι</w:t>
      </w:r>
      <w:r>
        <w:rPr>
          <w:rFonts w:ascii="Times New Roman" w:eastAsia="Times New Roman" w:hAnsi="Times New Roman" w:cs="Times New Roman"/>
          <w:noProof/>
          <w:sz w:val="24"/>
          <w:szCs w:val="24"/>
          <w:vertAlign w:val="superscript"/>
        </w:rPr>
        <w:footnoteReference w:id="5"/>
      </w:r>
      <w:r>
        <w:rPr>
          <w:rFonts w:ascii="Times New Roman" w:hAnsi="Times New Roman" w:cs="Times New Roman"/>
          <w:noProof/>
          <w:sz w:val="24"/>
          <w:szCs w:val="24"/>
        </w:rPr>
        <w:t xml:space="preserve">, και η απαίτηση ο συνολικός αριθμός αρχικών οδικών ελέγχων στην ΕΕ να αντιστοιχεί κάθε ημερολογιακό έτος τουλάχιστον στο 5 % του συνολικού αριθμού οχημάτων που είναι ταξινομημένα στα κράτη μέλη. Προκειμένου να επιτευχθεί αυτός ο στόχος, κάθε κράτος μέλος πρέπει να καταβάλλει προσπάθειες για τη διεξαγωγή κατάλληλου αριθμού οδικών τεχνικών ελέγχων, ανάλογου προς τον συνολικό αριθμό τέτοιων οχημάτων που είναι ταξινομημένα στην επικράτειά του. Η πρώτη έκθεση με βάση την απαίτηση να ελεγχθεί ενδελεχώς ο στόχος αυτός πρέπει να υποβληθεί έως τις 31 Μαρτίου 2021 για την περίοδο 2019-2020.  </w:t>
      </w:r>
    </w:p>
    <w:p>
      <w:pPr>
        <w:pStyle w:val="Heading1"/>
        <w:rPr>
          <w:rFonts w:cs="Times New Roman"/>
          <w:noProof/>
        </w:rPr>
      </w:pPr>
      <w:bookmarkStart w:id="3" w:name="_Toc33783638"/>
      <w:r>
        <w:rPr>
          <w:rFonts w:cs="Times New Roman"/>
          <w:noProof/>
        </w:rPr>
        <w:t>2.</w:t>
      </w:r>
      <w:r>
        <w:rPr>
          <w:rFonts w:cs="Times New Roman"/>
          <w:noProof/>
        </w:rPr>
        <w:tab/>
        <w:t>ΟΔΗΓΙΑ 2000/30/EΚ</w:t>
      </w:r>
      <w:bookmarkEnd w:id="3"/>
    </w:p>
    <w:p>
      <w:pPr>
        <w:spacing w:before="120" w:after="120" w:line="240" w:lineRule="auto"/>
        <w:jc w:val="both"/>
        <w:rPr>
          <w:rFonts w:ascii="Times New Roman" w:eastAsia="Times New Roman" w:hAnsi="Times New Roman" w:cs="Times New Roman"/>
          <w:noProof/>
          <w:sz w:val="24"/>
          <w:szCs w:val="24"/>
          <w:highlight w:val="yellow"/>
        </w:rPr>
      </w:pPr>
      <w:r>
        <w:rPr>
          <w:rFonts w:ascii="Times New Roman" w:hAnsi="Times New Roman" w:cs="Times New Roman"/>
          <w:noProof/>
          <w:sz w:val="24"/>
          <w:szCs w:val="24"/>
        </w:rPr>
        <w:t xml:space="preserve">Σύμφωνα με την οδηγία 2009/40/ΕΚ σχετικά με τον τεχνικό έλεγχο των μηχανοκίνητων οχημάτων και των ρυμουλκουμένων τους, τα οχήματα επαγγελματικής χρήσης πρέπει να ελέγχονται σε ετήσια βάση. Ωστόσο, επειδή ο ετήσιος έλεγχος δεν θεωρείται επαρκής για να εξασφαλίζεται ότι τα οχήματα αυτά παραμένουν σε καλή τεχνική κατάσταση μεταξύ δύο διαδοχικών τεχνικών ελέγχων, είναι απαραίτητη, ως μέτρο οδικής ασφάλειας, η διεξαγωγή οδικών τεχνικών ελέγχων ως εκτελεστικό μέτρο.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Ως οδικός τεχνικός έλεγχος νοείται απροειδοποίητη εξέταση οχήματος επαγγελματικής χρήσης που κυκλοφορεί στο έδαφος κράτους μέλους. Ο έλεγχος διενεργείται κατά κύριο λόγο στο δημόσιο οδικό δίκτυο, είτε από τις αρχές είτε από άλλο φορέα ο οποίος ενεργεί υπό την επίβλεψή τους.</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Όλοι οι οδικοί τεχνικοί έλεγχοι πρέπει να διενεργούνται χωρίς διακρίσεις λόγω της ιθαγένειας του οδηγού ή της χώρας στην οποία έχει ταξινομηθεί ή έχει τεθεί σε κυκλοφορία το όχημα επαγγελματικής χρήσης. Οι δραστηριότητες ελέγχου πρέπει επίσης να διενεργούνται κατά τρόπον ώστε να προκαλείται ελάχιστο κόστος και καθυστέρηση για τους οδηγούς και τις επιχειρήσεις.</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Για την επιλογή των οχημάτων επαγγελματικής χρήσης για οδικό τεχνικό έλεγχο θα πρέπει να υιοθετηθεί στοχευμένη προσέγγιση, βάσει της οποίας δίνεται ιδιαίτερη έμφαση στον εντοπισμό των οχημάτων που φαίνεται πιθανότερο να μη συντηρούνται ορθά</w:t>
      </w:r>
      <w:r>
        <w:rPr>
          <w:rStyle w:val="FootnoteReference"/>
          <w:rFonts w:ascii="Times New Roman" w:eastAsia="Times New Roman" w:hAnsi="Times New Roman" w:cs="Times New Roman"/>
          <w:noProof/>
          <w:sz w:val="24"/>
          <w:szCs w:val="24"/>
        </w:rPr>
        <w:footnoteReference w:id="6"/>
      </w:r>
      <w:r>
        <w:rPr>
          <w:rFonts w:ascii="Times New Roman" w:hAnsi="Times New Roman" w:cs="Times New Roman"/>
          <w:noProof/>
          <w:sz w:val="24"/>
          <w:szCs w:val="24"/>
        </w:rPr>
        <w: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Οι οδικοί τεχνικοί έλεγχοι διεξάγονται συνήθως βάσει σταδιακής προσέγγισης. Πρώτα διενεργείται οπτική αξιολόγηση της κατάστασης συντήρησης του οχήματος εν στάσει, συνοδευόμενη από έλεγχο τυχόν εγγράφων που αφορούν πρόσφατο οδικό τεχνικό έλεγχο (κατά περίπτωση) του οχήματος και τον τεχνικό έλεγχό του. Είναι επίσης δυνατόν να διεξαχθεί επιτόπου ή στο πλησιέστερο κέντρο τεχνικού ελέγχου διεξοδικότερος έλεγχος προκειμένου να διαπιστωθούν παρατυπίες με βάση τον κατάλογο σημείων της οδηγίας 2000/30/ΕΚ. Σε περίπτωση διεξοδικότερου ελέγχου, το αποτέλεσμά του πρέπει να τεκμηριώνεται με έκθεση οδικού τεχνικού ελέγχου βάσει του υποδείγματος που παρατίθεται στην οδηγία. Οι πληροφορίες αυτές παρέχουν τη βάση για τις πληροφορίες που απαιτείται να κοινοποιούν τα κράτη μέλη στην Ευρωπαϊκή Επιτροπή.</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Εάν όχημα επαγγελματικής χρήσης με επικίνδυνα ελαττώματα παρουσιάζει σοβαρό κίνδυνο για την οδική ασφάλεια, επιτρέπεται να απαγορευτεί η χρήση του μέχρι να επισκευαστούν τα ελαττώματά του. Επιπλέον, αλλοδαπά οχήματα με σοβαρά ελαττώματα πρέπει να κοινοποιούνται στο κράτος μέλος ταξινόμησης ώστε να είναι δυνατή η κατάλληλη παρακολούθησή τους.</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Η οδηγία 2000/30/ΕΚ όπως τροποποιήθηκε</w:t>
      </w:r>
      <w:r>
        <w:rPr>
          <w:rStyle w:val="FootnoteReference"/>
          <w:rFonts w:ascii="Times New Roman" w:hAnsi="Times New Roman" w:cs="Times New Roman"/>
          <w:noProof/>
          <w:sz w:val="24"/>
          <w:szCs w:val="24"/>
        </w:rPr>
        <w:footnoteReference w:id="7"/>
      </w:r>
      <w:r>
        <w:rPr>
          <w:rFonts w:ascii="Times New Roman" w:hAnsi="Times New Roman" w:cs="Times New Roman"/>
          <w:noProof/>
          <w:sz w:val="24"/>
          <w:szCs w:val="24"/>
        </w:rPr>
        <w:t xml:space="preserve"> —η οποία εφαρμόζεται έως τις 19 Μαΐου 2018— θέτει ορισμένες προϋποθέσεις για τους οδικούς τεχνικούς ελέγχους των οχημάτων επαγγελματικής χρήσης που κυκλοφορούν στην ΕΕ. Με την οδηγία 2010/47/ΕΕ τροποποιήθηκαν από την 1η Ιανουαρίου 2012 οι κατηγορίες οχημάτων και ο κατάλογος των προς έλεγχο σημείων του παραρτήματος I της οδηγίας.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Πριν από την τροποποίηση, τα οχήματα στην έκθεση οδικού τεχνικού ελέγχου (παράρτημα Ι) κατανέμονταν ανά κλάση, π.χ. οδικός συρμός που σήμαινε κάθε μηχανοκίνητο όχημα μεταφοράς εμπορευμάτων με μέγιστη μάζα άνω των 3,5 τόνων (κατηγορίες Ν2 και Ν3) στο οποίο έχει ζευχθεί ρυμουλκούμενο (κατηγορίες Ο3 και Ο4). Ταυτόχρονα, τα οχήματα της κατηγορίας N2 έπρεπε να σημειώνονται ως «ελαφρά φορτηγά οχήματα», τα οχήματα της κατηγορίας Ν3 ως «φορτηγά», ενώ τα οχήματα των κατηγοριών O3 και O4 ως «ρυμουλκούμενα» και «ημιρυμουλκούμενα». </w:t>
      </w:r>
    </w:p>
    <w:p>
      <w:pPr>
        <w:spacing w:before="120" w:after="120" w:line="240" w:lineRule="auto"/>
        <w:jc w:val="both"/>
        <w:rPr>
          <w:rFonts w:ascii="Times New Roman" w:eastAsia="Times New Roman" w:hAnsi="Times New Roman" w:cs="Times New Roman"/>
          <w:noProof/>
          <w:sz w:val="24"/>
          <w:szCs w:val="24"/>
          <w:highlight w:val="cyan"/>
        </w:rPr>
      </w:pPr>
      <w:r>
        <w:rPr>
          <w:rFonts w:ascii="Times New Roman" w:hAnsi="Times New Roman" w:cs="Times New Roman"/>
          <w:noProof/>
          <w:sz w:val="24"/>
          <w:szCs w:val="24"/>
        </w:rPr>
        <w:t>Ωστόσο, με μία από τις τροποποιήσεις που επήλθαν βάσει της οδηγίας 2010/47/ΕΕ καθιερώθηκε διαφορετικός τρόπος ομαδοποίησης των οχημάτων, σύμφωνα με τον οποίο η κατηγορία τους καθορίζεται με βάση τη νομοθεσία για την έγκριση τύπου. Συνεπώς, όχημα το οποίο θα μπορούσε να σημειώνεται σε διαφορετικές κλάσεις μπορεί πλέον να σημειώνεται μόνο σε μία κατηγορία οχημάτων. Επιπλέον το έλκον όχημα και το ρυμουλκούμενο πρέπει να σημειώνονται χωριστά. Λαμβανομένου υπόψη ότι το έλκον όχημα και το ρυμουλκούμενο μπορούν να έχουν ταξινομηθεί σε διαφορετικά κράτη μέλη, οι εν λόγω αναθεωρημένες ταξινομήσεις παρέχουν ακριβέστερες πληροφορίες, ενώ είναι επίσης σημαντικές για τη βελτίωση της κατάστασης όσον αφορά κράτη μέλη τα οποία είναι απαραίτητο να προβούν σε κοινοποίηση προς άλλο κράτος μέλος σε περίπτωση διαπίστωσης σοβαρών ελαττωμάτων σε όχημα που είναι ταξινομημένο στο εν λόγω κράτος μέλος.</w:t>
      </w:r>
    </w:p>
    <w:p>
      <w:pPr>
        <w:pStyle w:val="Heading1"/>
        <w:rPr>
          <w:rFonts w:cs="Times New Roman"/>
          <w:noProof/>
        </w:rPr>
      </w:pPr>
      <w:bookmarkStart w:id="4" w:name="_Toc33783639"/>
      <w:r>
        <w:rPr>
          <w:rFonts w:cs="Times New Roman"/>
          <w:noProof/>
        </w:rPr>
        <w:t>3.</w:t>
      </w:r>
      <w:r>
        <w:rPr>
          <w:rFonts w:cs="Times New Roman"/>
          <w:noProof/>
        </w:rPr>
        <w:tab/>
        <w:t>ΔΕΔΟΜΕΝΑ ΠΟΥ ΚΟΙΝΟΠΟΙΗΣΑΝ ΤΑ ΚΡΑΤΗ ΜΕΛΗ</w:t>
      </w:r>
      <w:bookmarkEnd w:id="4"/>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Η παρούσα έκθεση είναι η έβδομη κατά σειρά έκθεση σχετικά με τον τρόπο εφαρμογής της οδηγίας 2000/30/ΕΚ στα κράτη μέλη και καλύπτει τα ημερολογιακά έτη 2017-2018. Είναι σκόπιμο να επισημανθεί ότι μολονότι η οδηγία 2000/30/ΕΚ καταργήθηκε με την οδηγία 2014/47/ΕΕ στις 20 Μαΐου 2018, η πρώτη έκθεση με βάση την οδηγία 2014/47/ΕΕ θα καλύπτει τα έτη 2019-2020. Αυτό σημαίνει ότι, ελλείψει πρόβλεψης μεταβατικών μέτρων στην οδηγία 2014/47/ΕΕ, τα κράτη μέλη παροτρύνθηκαν να υποβάλουν την έκθεσή τους σύμφωνα με τις απαιτήσεις της οδηγίας 2000/30/ΕΚ και για την περίοδο μεταξύ της 20ής Μαΐου 2018 και της 31ης Δεκεμβρίου 2018 προκειμένου να επιτευχθεί ο στόχος της οδηγίας 2000/30/ΕΚ και της οδηγίας 2014/47/ΕΕ, ο οποίος δεν έχει αλλάξει, παρότι οι έλεγχοι που διενεργήθηκαν και τα δεδομένα που συλλέχθηκαν είχαν ήδη βασιστεί στην οδηγία 2014/47/ΕΕ. Αυτό το νομικό κενό προκάλεσε σημαντικά πρακτικά προβλήματα για τα κράτη μέλη και οδήγησε, σε ορισμένες περιπτώσεις, σε εσφαλμένες εκθέσεις· επομένως, τυχόν συμπεράσματα θα πρέπει να συναχθούν με επιφύλαξη. Η προθεσμία υποβολής των δεδομένων των κρατών μελών στην Επιτροπή για τη συγκεκριμένη περίοδο αναφοράς ήταν η 31η Μαρτίου 2019.</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Για να διευκολυνθεί η εκπλήρωση της υποχρέωσης υποβολής εκθέσεων, και σύμφωνα με την προηγούμενη πρακτική, η Επιτροπή απέστειλε ενημερωτική επιστολή στα κράτη μέλη στα μέσα Φεβρουαρίου του 2019. Η εν λόγω επιστολή συνοδευόταν από προσυμπληρωμένο υπόδειγμα (που καταρτίστηκε από κοινού από την Επιτροπή και εμπειρογνώμονες των κρατών μελών), το οποίο παροτρύνονταν να χρησιμοποιήσουν τα κράτη μέλη για να υποβάλουν τις εκθέσεις τους ηλεκτρονικά, απλουστεύοντας δηλαδή τις εργασίες επεξεργασίας δεδομένων μετά την παραλαβή όλων των πληροφοριών. Κατόπιν τούτου, τον Μάρτιο του 2019 απεστάλη στα κράτη μέλη επιστολή υπόμνησης της επικείμενης λήξης της προθεσμίας για την υποβολή των εκθέσεών τους. Τον Μάιο του 2019 απεστάλη τρίτη επιστολή υπόμνησης στα κράτη μέλη τα οποία δεν είχαν υποβάλει τις εκθέσεις τους έως την προβλεπόμενη προθεσμία. Ακολούθησε περαιτέρω επικοινωνία μεταξύ της Επιτροπής και συγκεκριμένων κρατών μελών ειδικά για το θέμα αυτό. Όλα τα κράτη μέλη χρησιμοποίησαν το προσυμπληρωμένο υπόδειγμα για να υποβάλουν ηλεκτρονικά τα δεδομένα τους, διαδικασία που επικροτήθηκε διότι απλούστευσε τις εργασίες αντιπαραβολής των δεδομένων.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Ωστόσο, δεν τήρησαν όλα τα κράτη μέλη την προθεσμία υποβολής των δεδομένων τους. Η Εσθονία, η Ελλάδα, η Κύπρος, η Λετονία, η Λιθουανία, οι Κάτω Χώρες, η Αυστρία, η Πολωνία, η Πορτογαλία και η Σουηδία διαβίβασαν τα δεδομένα εγκαίρως, πριν από τη λήξη της προθεσμίας της 31ης Μαρτίου 2019. Ορισμένα άλλα κράτη μέλη ήταν οριακά εκπρόθεσμα (συγκεκριμένα η Βουλγαρία, η Δανία, η Γερμανία, η Ιρλανδία, το Λουξεμβούργο, η Σλοβενία και το Ηνωμένο Βασίλειο), ενώ κάποια άλλα (συγκεκριμένα η Μάλτα, η Ουγγαρία, η Γαλλία, η Ισπανία και η Φινλανδία) δεν υπέβαλαν τα δεδομένα τους πριν από τον Σεπτέμβριο του 2019. Κατά την εν λόγω περίοδο δεν κινήθηκε καμία διαδικασία επί παραβάσει κατά κράτους μέλους λόγω μη διαβίβασης των δεδομένων στην Επιτροπή.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Δεκαεπτά κράτη μέλη, συγκεκριμένα η Αυστρία, η Βουλγαρία, η Τσεχική Δημοκρατία, η Δανία, η Εσθονία, η Φινλανδία, η Γερμανία, η Ουγγαρία, η Ιρλανδία, η Λετονία, η Λιθουανία, το Λουξεμβούργο, οι Κάτω Χώρες, η Πολωνία, η Ρουμανία, η Σλοβενία και η Σουηδία, υπέβαλαν δεδομένα σχετικά με τα οχήματα που είναι ταξινομημένα εκτός της ΕΕ, κατηγοριοποιημένα ανά χώρα ταξινόμησης. Το Βέλγιο, η Ιταλία και το Ηνωμένο Βασίλειο υπέβαλαν τους συνολικούς αριθμούς των ελέγχων οχημάτων ταξινομημένων εκτός της ΕΕ, χωρίς να προσδιορίζουν τα κράτη στα οποία αναφέρονται. Η Σλοβακία δεν διαβίβασε λεπτομερή στατιστικά στοιχεία για τα οχήματα τρίτων χωρών σε χρησιμοποιήσιμη μορφή και, ως εκ τούτου, τα σχετικά δεδομένα δεν ελήφθησαν υπόψη.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Η Γαλλία, η Ισπανία και η Ελλάδα δεν διαβίβασαν πληροφορίες για τρίτες χώρες και για την Κροατία· ωστόσο, η Ελλάδα επιβεβαίωσε ότι δεν διενήργησε ελέγχους σε οχήματα από τις εν λόγω γεωγραφικές περιοχές. Η Κύπρος δεν υπέβαλε πληροφορίες για κανένα άλλο κράτος μέλος, επιβεβαιώνοντας ότι δεν διενεργήθηκαν έλεγχοι σε άλλα οχήματα πέραν των ταξινομημένων στο έδαφός της οχημάτων. Ομοίως, ούτε η Μάλτα υπέβαλε δεδομένα από τρίτες χώρες, επιβεβαιώνοντας ότι δεν διενεργήθηκαν σχετικοί έλεγχοι. Επιπλέον, η Μάλτα και η Αυστρία υπέβαλαν επίσης πληροφορίες για τις κατηγορίες T5, υποχρέωση που εμπίπτει στο πεδίο εφαρμογής της οδηγίας 2014/47/ΕΕ.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Τέλος, δώδεκα κράτη μέλη, συγκεκριμένα η Αυστρία, η Βουλγαρία, η Τσεχική Δημοκρατία, η Δανία, η Γαλλία, η Μάλτα, οι Κάτω Χώρες, η Πορτογαλία, η Ρουμανία, η Σλοβενία, η Σλοβακία και το Ηνωμένο Βασίλειο, υπέβαλαν πρόσθετες πληροφορίες σχετικά με τους κωδικούς ελαττωμάτων των σημείων που ελέγχθηκαν [π.χ. 1) σύστημα πέδησης· 1.1.8. σύνδεσμοι (ρακόρ) για σύστημα πέδησης ρυμουλκούμενου]. Τα εν λόγω λεπτομερή στοιχεία θεσπίστηκαν με την οδηγία 2010/47/ΕΕ, με την οποία τροποποιήθηκε από την 1η Ιανουαρίου 2012 το παράρτημα I της οδηγίας 2000/30/ΕΚ· ωστόσο, η παροχή αυτού του πρόσθετου επιπέδου λεπτομέρειας δεν είναι υποχρεωτική.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Μετά την πρώτη ανάλυση των εθνικών εκθέσεων, η Επιτροπή επικοινώνησε με διάφορα κράτη μέλη προκειμένου να κατανοήσει τους πιθανούς λόγους αξιοσημείωτων αποτελεσμάτων ή αλλαγών σε σύγκριση με την προηγούμενη περίοδο. Σύμφωνα με τις διευκρινίσεις που παρείχαν τα κράτη μέλη, συντρέχουν διάφορες περιστάσεις οι οποίες είχαν αρνητικό αντίκτυπο στην ποσότητα και την ποιότητα των οδικών τεχνικών ελέγχων. Στις περιστάσεις αυτές συγκαταλέγονται, μεταξύ άλλων, η συλλογή δεδομένων βάσει της οδηγίας 2014/47/ΕΕ, η αναδιοργάνωση ή η αποκέντρωση των αρμοδιοτήτων, καθώς και δημοσιονομικοί περιορισμοί που είχαν ως αποτέλεσμα ελλείψεις προσωπικού, περιορισμένο αριθμό ελέγχων και περιορισμένη πρόσβαση σε εξοπλισμό. Από την ανταλλαγή πληροφοριών με τα κράτη μέλη διαπιστώθηκε επίσης ότι υπάρχουν σημαντικές διαφορές ως προς την κατανόηση και την εκτέλεση της συλλογής των δεδομένων και της υποβολής εκθέσεων, που ενδέχεται να συντελούν επίσης στις εν λόγω διαφορές. Οι διαφορές αυτές μπορεί να μειωθούν από τις 20 Μαΐου 2018, λαμβανομένου υπόψη ότι η οδηγία 2014/47/ΕΕ θα εξασφαλίσει υψηλότερο βαθμό εναρμόνισης όσον αφορά τις μεθόδους ελέγχου, την αξιολόγηση των ελαττωμάτων (αστοχιών), τη χρήση εξοπλισμού ελέγχου και τις απαιτήσεις υποβολής εκθέσεων. Η πρώτη έκθεση με βάση την οδηγία 2014/47/ΕΕ θα καλύπτει την περίοδο 2019-2020 και τα κράτη μέλη θα πρέπει να υποβάλουν τις εθνικές εκθέσεις τους έως τις 31 Μαρτίου 2021.            </w:t>
      </w:r>
    </w:p>
    <w:p>
      <w:pPr>
        <w:spacing w:before="120" w:after="120" w:line="240" w:lineRule="auto"/>
        <w:jc w:val="both"/>
        <w:rPr>
          <w:rFonts w:ascii="Times New Roman" w:eastAsia="Times New Roman" w:hAnsi="Times New Roman" w:cs="Times New Roman"/>
          <w:noProof/>
          <w:sz w:val="24"/>
          <w:szCs w:val="24"/>
        </w:rPr>
      </w:pPr>
    </w:p>
    <w:p>
      <w:pPr>
        <w:pStyle w:val="Heading1"/>
        <w:rPr>
          <w:rFonts w:cs="Times New Roman"/>
          <w:noProof/>
          <w:color w:val="FF0000"/>
        </w:rPr>
      </w:pPr>
      <w:bookmarkStart w:id="5" w:name="_Toc33783640"/>
      <w:r>
        <w:rPr>
          <w:rFonts w:cs="Times New Roman"/>
          <w:noProof/>
        </w:rPr>
        <w:t>4.</w:t>
      </w:r>
      <w:r>
        <w:rPr>
          <w:rFonts w:cs="Times New Roman"/>
          <w:noProof/>
        </w:rPr>
        <w:tab/>
        <w:t>ΠΕΡΙΕΧΟΜΕΝΟ ΤΟΥ ΕΛΕΓΧΟΥ</w:t>
      </w:r>
      <w:bookmarkEnd w:id="5"/>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Στην Επιτροπή πρέπει να διαβιβάζονται, κατ’ ελάχιστον, τα δεδομένα σχετικά με τα προς έλεγχο σημεία τα οποία περιγράφονται αναλυτικά στο σημείο 10 του υποδείγματος έκθεσης που περιλαμβάνεται στο παράρτημα I της οδηγίας 2000/30/ΕΚ. Τα σημεία αυτά είναι τα ακόλουθα:</w:t>
      </w:r>
    </w:p>
    <w:p>
      <w:pPr>
        <w:numPr>
          <w:ilvl w:val="0"/>
          <w:numId w:val="41"/>
        </w:numPr>
        <w:spacing w:after="120" w:line="240" w:lineRule="auto"/>
        <w:ind w:left="1196" w:hanging="357"/>
        <w:jc w:val="both"/>
        <w:rPr>
          <w:rFonts w:ascii="Times New Roman" w:eastAsia="Times New Roman" w:hAnsi="Times New Roman" w:cs="Times New Roman"/>
          <w:noProof/>
          <w:sz w:val="24"/>
          <w:szCs w:val="24"/>
        </w:rPr>
      </w:pPr>
      <w:r>
        <w:rPr>
          <w:rFonts w:ascii="Times New Roman" w:hAnsi="Times New Roman" w:cs="Times New Roman"/>
          <w:noProof/>
          <w:sz w:val="24"/>
          <w:szCs w:val="24"/>
        </w:rPr>
        <w:t>ταυτοποίηση·</w:t>
      </w:r>
    </w:p>
    <w:p>
      <w:pPr>
        <w:numPr>
          <w:ilvl w:val="0"/>
          <w:numId w:val="41"/>
        </w:numPr>
        <w:spacing w:after="120" w:line="240" w:lineRule="auto"/>
        <w:ind w:left="1196" w:hanging="357"/>
        <w:jc w:val="both"/>
        <w:rPr>
          <w:rFonts w:ascii="Times New Roman" w:eastAsia="Times New Roman" w:hAnsi="Times New Roman" w:cs="Times New Roman"/>
          <w:noProof/>
          <w:sz w:val="24"/>
          <w:szCs w:val="24"/>
        </w:rPr>
      </w:pPr>
      <w:r>
        <w:rPr>
          <w:rFonts w:ascii="Times New Roman" w:hAnsi="Times New Roman" w:cs="Times New Roman"/>
          <w:noProof/>
          <w:sz w:val="24"/>
          <w:szCs w:val="24"/>
        </w:rPr>
        <w:t>σύστημα πέδησης·</w:t>
      </w:r>
    </w:p>
    <w:p>
      <w:pPr>
        <w:numPr>
          <w:ilvl w:val="0"/>
          <w:numId w:val="41"/>
        </w:numPr>
        <w:spacing w:after="120" w:line="240" w:lineRule="auto"/>
        <w:ind w:left="1196" w:hanging="357"/>
        <w:jc w:val="both"/>
        <w:rPr>
          <w:rFonts w:ascii="Times New Roman" w:eastAsia="Times New Roman" w:hAnsi="Times New Roman" w:cs="Times New Roman"/>
          <w:noProof/>
          <w:sz w:val="24"/>
          <w:szCs w:val="24"/>
        </w:rPr>
      </w:pPr>
      <w:r>
        <w:rPr>
          <w:rFonts w:ascii="Times New Roman" w:hAnsi="Times New Roman" w:cs="Times New Roman"/>
          <w:noProof/>
          <w:sz w:val="24"/>
          <w:szCs w:val="24"/>
        </w:rPr>
        <w:t>σύστημα διεύθυνσης·</w:t>
      </w:r>
    </w:p>
    <w:p>
      <w:pPr>
        <w:numPr>
          <w:ilvl w:val="0"/>
          <w:numId w:val="41"/>
        </w:numPr>
        <w:spacing w:after="120" w:line="240" w:lineRule="auto"/>
        <w:ind w:left="1196" w:hanging="357"/>
        <w:jc w:val="both"/>
        <w:rPr>
          <w:rFonts w:ascii="Times New Roman" w:eastAsia="Times New Roman" w:hAnsi="Times New Roman" w:cs="Times New Roman"/>
          <w:noProof/>
          <w:sz w:val="24"/>
          <w:szCs w:val="24"/>
        </w:rPr>
      </w:pPr>
      <w:r>
        <w:rPr>
          <w:rFonts w:ascii="Times New Roman" w:hAnsi="Times New Roman" w:cs="Times New Roman"/>
          <w:noProof/>
          <w:sz w:val="24"/>
          <w:szCs w:val="24"/>
        </w:rPr>
        <w:t>ορατότητα·</w:t>
      </w:r>
    </w:p>
    <w:p>
      <w:pPr>
        <w:numPr>
          <w:ilvl w:val="0"/>
          <w:numId w:val="41"/>
        </w:numPr>
        <w:spacing w:after="120" w:line="240" w:lineRule="auto"/>
        <w:ind w:left="1196" w:hanging="357"/>
        <w:jc w:val="both"/>
        <w:rPr>
          <w:rFonts w:ascii="Times New Roman" w:eastAsia="Times New Roman" w:hAnsi="Times New Roman" w:cs="Times New Roman"/>
          <w:noProof/>
          <w:sz w:val="24"/>
          <w:szCs w:val="24"/>
        </w:rPr>
      </w:pPr>
      <w:r>
        <w:rPr>
          <w:rFonts w:ascii="Times New Roman" w:hAnsi="Times New Roman" w:cs="Times New Roman"/>
          <w:noProof/>
          <w:sz w:val="24"/>
          <w:szCs w:val="24"/>
        </w:rPr>
        <w:t>διατάξεις φωτισμού και ηλεκτρικό σύστημα·</w:t>
      </w:r>
    </w:p>
    <w:p>
      <w:pPr>
        <w:numPr>
          <w:ilvl w:val="0"/>
          <w:numId w:val="41"/>
        </w:numPr>
        <w:spacing w:after="120" w:line="240" w:lineRule="auto"/>
        <w:ind w:left="1196" w:hanging="357"/>
        <w:jc w:val="both"/>
        <w:rPr>
          <w:rFonts w:ascii="Times New Roman" w:eastAsia="Times New Roman" w:hAnsi="Times New Roman" w:cs="Times New Roman"/>
          <w:noProof/>
          <w:sz w:val="24"/>
          <w:szCs w:val="24"/>
        </w:rPr>
      </w:pPr>
      <w:r>
        <w:rPr>
          <w:rFonts w:ascii="Times New Roman" w:hAnsi="Times New Roman" w:cs="Times New Roman"/>
          <w:noProof/>
          <w:sz w:val="24"/>
          <w:szCs w:val="24"/>
        </w:rPr>
        <w:t>άξονες, τροχοί, ελαστικά-επίσωτρα, ανάρτηση·</w:t>
      </w:r>
    </w:p>
    <w:p>
      <w:pPr>
        <w:numPr>
          <w:ilvl w:val="0"/>
          <w:numId w:val="41"/>
        </w:numPr>
        <w:spacing w:after="120" w:line="240" w:lineRule="auto"/>
        <w:ind w:left="1196" w:hanging="357"/>
        <w:jc w:val="both"/>
        <w:rPr>
          <w:rFonts w:ascii="Times New Roman" w:eastAsia="Times New Roman" w:hAnsi="Times New Roman" w:cs="Times New Roman"/>
          <w:noProof/>
          <w:sz w:val="24"/>
          <w:szCs w:val="24"/>
        </w:rPr>
      </w:pPr>
      <w:r>
        <w:rPr>
          <w:rFonts w:ascii="Times New Roman" w:hAnsi="Times New Roman" w:cs="Times New Roman"/>
          <w:noProof/>
          <w:sz w:val="24"/>
          <w:szCs w:val="24"/>
        </w:rPr>
        <w:t>πλαίσιο και εξαρτήματα πλαισίου·</w:t>
      </w:r>
    </w:p>
    <w:p>
      <w:pPr>
        <w:numPr>
          <w:ilvl w:val="0"/>
          <w:numId w:val="41"/>
        </w:numPr>
        <w:spacing w:after="120" w:line="240" w:lineRule="auto"/>
        <w:ind w:left="1196" w:hanging="357"/>
        <w:jc w:val="both"/>
        <w:rPr>
          <w:rFonts w:ascii="Times New Roman" w:eastAsia="Times New Roman" w:hAnsi="Times New Roman" w:cs="Times New Roman"/>
          <w:noProof/>
          <w:sz w:val="24"/>
          <w:szCs w:val="24"/>
        </w:rPr>
      </w:pPr>
      <w:r>
        <w:rPr>
          <w:rFonts w:ascii="Times New Roman" w:hAnsi="Times New Roman" w:cs="Times New Roman"/>
          <w:noProof/>
          <w:sz w:val="24"/>
          <w:szCs w:val="24"/>
        </w:rPr>
        <w:t>λοιπός εξοπλισμός, συμπεριλαμβανομένων του ταχογράφου και των διατάξεων περιορισμού της ταχύτητας·</w:t>
      </w:r>
    </w:p>
    <w:p>
      <w:pPr>
        <w:numPr>
          <w:ilvl w:val="0"/>
          <w:numId w:val="41"/>
        </w:numPr>
        <w:spacing w:after="120" w:line="240" w:lineRule="auto"/>
        <w:ind w:left="1196" w:hanging="357"/>
        <w:jc w:val="both"/>
        <w:rPr>
          <w:rFonts w:ascii="Times New Roman" w:eastAsia="Times New Roman" w:hAnsi="Times New Roman" w:cs="Times New Roman"/>
          <w:noProof/>
          <w:sz w:val="24"/>
          <w:szCs w:val="24"/>
        </w:rPr>
      </w:pPr>
      <w:r>
        <w:rPr>
          <w:rFonts w:ascii="Times New Roman" w:hAnsi="Times New Roman" w:cs="Times New Roman"/>
          <w:noProof/>
          <w:sz w:val="24"/>
          <w:szCs w:val="24"/>
        </w:rPr>
        <w:t>οχλήσεις συμπεριλαμβανομένων των εκπομπών και της διαρροής καυσίμου ή/και ελαίου.</w:t>
      </w:r>
    </w:p>
    <w:p>
      <w:pPr>
        <w:spacing w:after="24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Για να διευκολυνθεί η καταχώριση των ελαττωμάτων που διαπιστώνουν οι ελεγκτές ως προς τα εν λόγω σημεία, στην πίσω όψη της έκθεσης ελέγχου πρέπει να περιλαμβάνεται πλήρης κατάλογος των σημείων προς έλεγχο. Οι ελεγκτές υποχρεούνται να επισημαίνουν στην έκθεση (χρησιμοποιώντας τους προκαθορισμένους κωδικούς) τυχόν σημεία στα οποία έχουν διαπιστωθεί ελαττώματα και να παραδίδουν αντίγραφο της εν λόγω έκθεσης στον οδηγό του οχήματος μετά την ολοκλήρωση του ελέγχου τους.</w:t>
      </w:r>
    </w:p>
    <w:p>
      <w:pPr>
        <w:spacing w:after="24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Εάν ο ελεγκτής θεωρήσει ότι τυχόν διαπιστωθέντα ελαττώματα μπορεί να αποτελέσουν κίνδυνο ασφάλειας, ιδίως όσον αφορά την πέδηση, ο οποίος δικαιολογεί πιο εμπεριστατωμένους ελέγχους, μπορεί να δώσει εντολή για τη μεταφορά του οχήματος σε καθορισμένη οδική εγκατάσταση τεχνικού ελέγχου προκειμένου να υποβληθεί σε διεξοδικότερη εξέταση. </w:t>
      </w:r>
    </w:p>
    <w:p>
      <w:pPr>
        <w:spacing w:after="24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Επιπλέον, εάν κατά τη διάρκεια του ελέγχου καταστεί προφανές ότι όχημα επαγγελματικής χρήσης ενέχει σοβαρό κίνδυνο για τους επιβαίνοντες ή άλλους χρήστες του οδικού δικτύου, η χρήση του εν λόγω οχήματος μπορεί να απαγορευτεί μέχρι να επισκευαστούν τυχόν επικίνδυνα ελαττώματα που διαπιστώθηκαν. </w:t>
      </w:r>
    </w:p>
    <w:p>
      <w:pPr>
        <w:spacing w:after="24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 </w:t>
      </w:r>
    </w:p>
    <w:p>
      <w:pPr>
        <w:pStyle w:val="Heading1"/>
        <w:rPr>
          <w:rFonts w:cs="Times New Roman"/>
          <w:noProof/>
        </w:rPr>
      </w:pPr>
      <w:bookmarkStart w:id="6" w:name="_Toc33783641"/>
      <w:r>
        <w:rPr>
          <w:rFonts w:cs="Times New Roman"/>
          <w:noProof/>
        </w:rPr>
        <w:t>5.</w:t>
      </w:r>
      <w:r>
        <w:rPr>
          <w:rFonts w:cs="Times New Roman"/>
          <w:noProof/>
        </w:rPr>
        <w:tab/>
        <w:t>ΣΤΑΤΙΣΤΙΚΑ ΔΕΔΟΜΕΝΑ</w:t>
      </w:r>
      <w:bookmarkEnd w:id="6"/>
    </w:p>
    <w:p>
      <w:pPr>
        <w:pStyle w:val="Heading2"/>
        <w:rPr>
          <w:rFonts w:cs="Times New Roman"/>
          <w:noProof/>
        </w:rPr>
      </w:pPr>
      <w:bookmarkStart w:id="7" w:name="_Toc33783642"/>
      <w:r>
        <w:rPr>
          <w:rFonts w:cs="Times New Roman"/>
          <w:noProof/>
        </w:rPr>
        <w:t xml:space="preserve">5.1. </w:t>
      </w:r>
      <w:r>
        <w:rPr>
          <w:rFonts w:cs="Times New Roman"/>
          <w:noProof/>
        </w:rPr>
        <w:tab/>
        <w:t>Αριθμός ελέγχων</w:t>
      </w:r>
      <w:bookmarkEnd w:id="7"/>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Σε σύγκριση με την περίοδο αναφοράς 2015-2016, κατά την περίοδο αναφοράς 2017-2018 ελέγχθηκαν </w:t>
      </w:r>
      <w:r>
        <w:rPr>
          <w:rFonts w:ascii="Times New Roman" w:hAnsi="Times New Roman" w:cs="Times New Roman"/>
          <w:b/>
          <w:bCs/>
          <w:noProof/>
          <w:sz w:val="24"/>
          <w:szCs w:val="24"/>
        </w:rPr>
        <w:t>1 048 863</w:t>
      </w:r>
      <w:r>
        <w:rPr>
          <w:rFonts w:ascii="Times New Roman" w:hAnsi="Times New Roman" w:cs="Times New Roman"/>
          <w:b/>
          <w:noProof/>
          <w:sz w:val="24"/>
          <w:szCs w:val="24"/>
        </w:rPr>
        <w:t xml:space="preserve"> λιγότερα οχήματα</w:t>
      </w:r>
      <w:r>
        <w:rPr>
          <w:rFonts w:ascii="Times New Roman" w:hAnsi="Times New Roman" w:cs="Times New Roman"/>
          <w:noProof/>
          <w:sz w:val="24"/>
          <w:szCs w:val="24"/>
        </w:rPr>
        <w:t xml:space="preserve">, αριθμός που αντιστοιχεί σε </w:t>
      </w:r>
      <w:r>
        <w:rPr>
          <w:rFonts w:ascii="Times New Roman" w:hAnsi="Times New Roman" w:cs="Times New Roman"/>
          <w:b/>
          <w:noProof/>
          <w:sz w:val="24"/>
          <w:szCs w:val="24"/>
        </w:rPr>
        <w:t>μείωση της τάξης του 20,9 %</w:t>
      </w:r>
      <w:r>
        <w:rPr>
          <w:rFonts w:ascii="Times New Roman" w:hAnsi="Times New Roman" w:cs="Times New Roman"/>
          <w:noProof/>
          <w:sz w:val="24"/>
          <w:szCs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Είναι σκόπιμο να επισημανθεί ότι κατά την περίοδο 2015-2016 είχαν διενεργηθεί ήδη </w:t>
      </w:r>
      <w:r>
        <w:rPr>
          <w:rFonts w:ascii="Times New Roman" w:hAnsi="Times New Roman" w:cs="Times New Roman"/>
          <w:b/>
          <w:noProof/>
          <w:sz w:val="24"/>
          <w:szCs w:val="24"/>
        </w:rPr>
        <w:t>534 473 λιγότεροι έλεγχοι</w:t>
      </w:r>
      <w:r>
        <w:rPr>
          <w:rFonts w:ascii="Times New Roman" w:hAnsi="Times New Roman" w:cs="Times New Roman"/>
          <w:noProof/>
          <w:sz w:val="24"/>
          <w:szCs w:val="24"/>
        </w:rPr>
        <w:t xml:space="preserve"> σε σύγκριση με την περίοδο 2013-2014. Ενώ κατά την περίοδο 2011-2012 είχαν ελεγχθεί </w:t>
      </w:r>
      <w:r>
        <w:rPr>
          <w:rFonts w:ascii="Times New Roman" w:hAnsi="Times New Roman" w:cs="Times New Roman"/>
          <w:b/>
          <w:noProof/>
          <w:sz w:val="24"/>
          <w:szCs w:val="24"/>
        </w:rPr>
        <w:t>6 016 947</w:t>
      </w:r>
      <w:r>
        <w:rPr>
          <w:rFonts w:ascii="Times New Roman" w:hAnsi="Times New Roman" w:cs="Times New Roman"/>
          <w:noProof/>
          <w:sz w:val="24"/>
          <w:szCs w:val="24"/>
        </w:rPr>
        <w:t xml:space="preserve"> οχήματα, κατά την περίοδο 2017-2018 ελέγχθηκαν μόνο </w:t>
      </w:r>
      <w:r>
        <w:rPr>
          <w:rFonts w:ascii="Times New Roman" w:hAnsi="Times New Roman" w:cs="Times New Roman"/>
          <w:b/>
          <w:noProof/>
          <w:sz w:val="24"/>
          <w:szCs w:val="24"/>
        </w:rPr>
        <w:t>3 980 900 οχήματα, που σημαίνει ότι ο αριθμός των ελέγχων που διενεργήθηκαν μειώθηκε κατά 1/3 από το 2011 έως 2018</w:t>
      </w:r>
      <w:r>
        <w:rPr>
          <w:rFonts w:ascii="Times New Roman" w:hAnsi="Times New Roman" w:cs="Times New Roman"/>
          <w:noProof/>
          <w:sz w:val="24"/>
          <w:szCs w:val="24"/>
        </w:rPr>
        <w:t xml:space="preserve">. Σε περίπτωση που η μείωση του αριθμού των ελέγχων συνοδευόταν από υψηλότερα ποσοστά απαγόρευσης κυκλοφορίας, στοιχείο που θα αποτελούσε ένδειξη πιο προηγμένου συστήματος στόχευσης, η μείωση των ελέγχων δεν θα ήταν ανησυχητική· πλην όμως, όπως προκύπτει από τα αριθμητικά στοιχεία, δεν ισχύει απαραιτήτως κάτι τέτοιο. </w:t>
      </w:r>
    </w:p>
    <w:p>
      <w:pPr>
        <w:spacing w:before="120" w:after="120" w:line="240" w:lineRule="auto"/>
        <w:jc w:val="both"/>
        <w:rPr>
          <w:rFonts w:ascii="Times New Roman" w:eastAsia="Times New Roman" w:hAnsi="Times New Roman"/>
          <w:noProof/>
          <w:sz w:val="24"/>
          <w:szCs w:val="24"/>
        </w:rPr>
      </w:pPr>
    </w:p>
    <w:p>
      <w:pPr>
        <w:spacing w:before="120" w:after="120" w:line="240" w:lineRule="auto"/>
        <w:jc w:val="center"/>
        <w:rPr>
          <w:rFonts w:ascii="Times New Roman" w:eastAsia="Times New Roman" w:hAnsi="Times New Roman"/>
          <w:b/>
          <w:noProof/>
        </w:rPr>
      </w:pPr>
      <w:r>
        <w:rPr>
          <w:rFonts w:ascii="Times New Roman" w:hAnsi="Times New Roman"/>
          <w:b/>
          <w:noProof/>
        </w:rPr>
        <w:t xml:space="preserve">Πίνακας 1: Αριθμός ελέγχων — Σύγκριση μεταξύ των περιόδων 2015-2016 και 2017-2018 </w:t>
      </w:r>
    </w:p>
    <w:tbl>
      <w:tblPr>
        <w:tblW w:w="8084" w:type="dxa"/>
        <w:jc w:val="center"/>
        <w:tblLook w:val="04A0" w:firstRow="1" w:lastRow="0" w:firstColumn="1" w:lastColumn="0" w:noHBand="0" w:noVBand="1"/>
      </w:tblPr>
      <w:tblGrid>
        <w:gridCol w:w="1856"/>
        <w:gridCol w:w="1458"/>
        <w:gridCol w:w="1437"/>
        <w:gridCol w:w="1716"/>
        <w:gridCol w:w="1617"/>
      </w:tblGrid>
      <w:tr>
        <w:trPr>
          <w:trHeight w:val="1238"/>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Κράτος μέλος που υπέβαλε την έκθεση (ΚΜ)</w:t>
            </w: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Οχήματα που ελέγχθηκαν την περίοδο 2015-2016</w:t>
            </w:r>
          </w:p>
        </w:tc>
        <w:tc>
          <w:tcPr>
            <w:tcW w:w="1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Οχήματα που ελέγχθηκαν την περίοδο 2017-2018</w:t>
            </w:r>
          </w:p>
        </w:tc>
        <w:tc>
          <w:tcPr>
            <w:tcW w:w="1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Διαφορά μεταξύ των περιόδων 2015-2016 και 2017-2018</w:t>
            </w:r>
          </w:p>
        </w:tc>
        <w:tc>
          <w:tcPr>
            <w:tcW w:w="16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Ποσοστό (%) διαφοράς μεταξύ των περιόδων 2015-2016 και 2017-2018</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Αυστρία</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42 438</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39 754</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-2 684</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-6,3 %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Βέλγιο</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9 693</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 xml:space="preserve">11 282 </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1 589</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16,4 %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Βουλγαρία</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250 516</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153 748</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-96 768</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-38,6 %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Κροατία</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39 204</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22 169</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-17 035</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-43,5 %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Κύπρος</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6 214</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5 984</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-230</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-3,7 %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Τσεχική Δημοκρατία</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88 389</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96 261</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7 872</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8,9 %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Δανία</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3 753</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5 054</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1 301</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34,7 %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Εσθονία</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2 768</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2 281</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-487</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-17,6 %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Φινλανδία</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8 390</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12 060</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3 670</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43,7 %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Γαλλία</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996 892</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612 476</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-384 416</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-38,6 %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Γερμανία</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1 620 465</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1 247 506</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-372 959</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-23,0 %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Ελλάδα</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5 395</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360</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-5 035</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-93,3 %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 xml:space="preserve">Ουγγαρία </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195 905</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202 323</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6 418</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3,3 %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Ιρλανδία</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29 840</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27 501</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-2 339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Ιταλία</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5 514</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5 446</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-68</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Λετονία</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8 652</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8 804</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152</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Λιθουανία</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70 586</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50 238</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-20 348</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-28,8 %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Λουξεμβούργο</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398</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2 107</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1 709</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429,4 %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Μάλτα</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6 943</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6 305</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3 172</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-9,2 %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Κάτω Χώρες</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6 709</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10 989</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1 004</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63,8 %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Πολωνία</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627 384</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758 414</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131 030</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20,9 %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Πορτογαλία</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1 522</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962</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-560</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-36,8 %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Ρουμανία</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13 144</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19 535</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6 391</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48,6 %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Σλοβακία</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18 760</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23 582</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4 822</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25,7 %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Σλοβενία</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4 945</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5 402</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457</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9,2 %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Ισπανία</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654 392</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345 620</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-308 772</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-47,2 %</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Σουηδία</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45 417</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44 711</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-706</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-1,6 %</w:t>
            </w:r>
          </w:p>
        </w:tc>
      </w:tr>
      <w:tr>
        <w:trPr>
          <w:trHeight w:val="315"/>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Ηνωμένο Βασίλειο</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265 535</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260 026</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-5 509</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-2,1 %</w:t>
            </w:r>
          </w:p>
        </w:tc>
      </w:tr>
      <w:tr>
        <w:trPr>
          <w:trHeight w:val="315"/>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Σύνολα</w:t>
            </w:r>
          </w:p>
        </w:tc>
        <w:tc>
          <w:tcPr>
            <w:tcW w:w="145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5 029 763</w:t>
            </w:r>
          </w:p>
        </w:tc>
        <w:tc>
          <w:tcPr>
            <w:tcW w:w="1437" w:type="dxa"/>
            <w:tcBorders>
              <w:top w:val="single" w:sz="4" w:space="0" w:color="auto"/>
              <w:left w:val="nil"/>
              <w:bottom w:val="single" w:sz="4" w:space="0" w:color="auto"/>
              <w:right w:val="single" w:sz="4" w:space="0" w:color="auto"/>
            </w:tcBorders>
            <w:shd w:val="clear" w:color="000000" w:fill="D9D9D9"/>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3 980 900</w:t>
            </w:r>
          </w:p>
        </w:tc>
        <w:tc>
          <w:tcPr>
            <w:tcW w:w="1716" w:type="dxa"/>
            <w:tcBorders>
              <w:top w:val="single" w:sz="4" w:space="0" w:color="auto"/>
              <w:left w:val="nil"/>
              <w:bottom w:val="single" w:sz="4" w:space="0" w:color="auto"/>
              <w:right w:val="single" w:sz="4" w:space="0" w:color="auto"/>
            </w:tcBorders>
            <w:shd w:val="clear" w:color="000000" w:fill="D9D9D9"/>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-1 048 863</w:t>
            </w:r>
          </w:p>
        </w:tc>
        <w:tc>
          <w:tcPr>
            <w:tcW w:w="1617" w:type="dxa"/>
            <w:tcBorders>
              <w:top w:val="single" w:sz="4" w:space="0" w:color="auto"/>
              <w:left w:val="nil"/>
              <w:bottom w:val="single" w:sz="4" w:space="0" w:color="auto"/>
              <w:right w:val="single" w:sz="4" w:space="0" w:color="auto"/>
            </w:tcBorders>
            <w:shd w:val="clear" w:color="000000" w:fill="D9D9D9"/>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-20,9 %</w:t>
            </w:r>
          </w:p>
        </w:tc>
      </w:tr>
    </w:tbl>
    <w:p>
      <w:pPr>
        <w:spacing w:before="120" w:after="120" w:line="240" w:lineRule="auto"/>
        <w:jc w:val="both"/>
        <w:rPr>
          <w:rFonts w:ascii="Times New Roman" w:eastAsia="Times New Roman" w:hAnsi="Times New Roman"/>
          <w:noProof/>
          <w:sz w:val="24"/>
          <w:szCs w:val="24"/>
        </w:rPr>
      </w:pP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Δεκαέξι κράτη μέλη πραγματοποίησαν λιγότερους ελέγχους κατά την περίοδο 2017-2018 σε σύγκριση με την περίοδο 2015-2016. </w:t>
      </w:r>
    </w:p>
    <w:p>
      <w:pPr>
        <w:jc w:val="both"/>
        <w:rPr>
          <w:rFonts w:ascii="Times New Roman" w:eastAsia="Times New Roman" w:hAnsi="Times New Roman"/>
          <w:noProof/>
          <w:sz w:val="24"/>
          <w:szCs w:val="24"/>
        </w:rPr>
      </w:pPr>
      <w:r>
        <w:rPr>
          <w:rFonts w:ascii="Times New Roman" w:hAnsi="Times New Roman"/>
          <w:noProof/>
          <w:sz w:val="24"/>
          <w:szCs w:val="24"/>
        </w:rPr>
        <w:t>Οι ποσοστιαίες μειώσεις κυμάνθηκαν από 1,2 % στην περίπτωση της Ιταλίας έως 93,3 % στην περίπτωση της Ελλάδας. Άλλα κράτη μέλη που κατέγραψαν σημαντικές μειώσεις ήταν η Ισπανία (47,2 %), η Κροατία (43,5 %), η Βουλγαρία (38,6 %), η Γαλλία (38,6 %) και η Πορτογαλία (36,8 %). Όσον αφορά τους λόγους των μειώσεων, εκτός από τη Σουηδία που διευκρίνισε ότι εφάρμοσε προσέγγιση βάσει κινδύνων σύμφωνα με την οδηγία 2014/47/ΕΕ, τα κράτη μέλη εξήγησαν ότι πρόκειται για το συνδυαστικό αποτέλεσμα των μειωμένων πόρων, της αναδιοργάνωσης, των αλλαγών της εθνικής νομοθεσίας και της εφαρμογής των κανόνων.</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Από την άλλη πλευρά, δώδεκα κράτη μέλη κατέγραψαν αυξήσεις όσον αφορά τον αριθμό των ελέγχων που διενεργήθηκαν κατά τη διάρκεια της περιόδου 2017-2018. Οι ποσοστιαίες αυξήσεις κυμάνθηκαν από 1,8 % στην περίπτωση της Λετονίας έως 48,6 % στην περίπτωση της Ρουμανίας, 63,8 % στην περίπτωση των Κάτω Χωρών και 429,4 % στην περίπτωση του Λουξεμβούργου.  </w:t>
      </w:r>
    </w:p>
    <w:p>
      <w:pPr>
        <w:pStyle w:val="Heading2"/>
        <w:rPr>
          <w:noProof/>
        </w:rPr>
      </w:pPr>
    </w:p>
    <w:p>
      <w:pPr>
        <w:pStyle w:val="Heading2"/>
        <w:rPr>
          <w:noProof/>
        </w:rPr>
      </w:pPr>
      <w:bookmarkStart w:id="8" w:name="_Toc33783643"/>
      <w:r>
        <w:rPr>
          <w:noProof/>
        </w:rPr>
        <w:t xml:space="preserve">5.2. </w:t>
      </w:r>
      <w:r>
        <w:rPr>
          <w:noProof/>
        </w:rPr>
        <w:tab/>
        <w:t>Προέλευση των ελεγχθέντων οχημάτων</w:t>
      </w:r>
      <w:bookmarkEnd w:id="8"/>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Στον πίνακα 2 κατωτέρω παρουσιάζεται επισκόπηση της προέλευσης των οχημάτων που ελέγχθηκαν από τα κράτη μέλη. Όπως προαναφέρθηκε, μόνο η Κύπρος δεν υπέβαλε δεδομένα σχετικά με τους ελέγχους οχημάτων «εκτός κράτους», δηλαδή οχημάτων ταξινομημένων είτε σε άλλο κράτος μέλος είτε εκτός της ΕΕ. Είκοσι επτά κράτη μέλη υπέβαλαν δεδομένα σχετικά με τους ελέγχους που διενεργήθηκαν σε οχήματα ταξινομημένα σε άλλο κράτος μέλος, ενώ είκοσι κράτη μέλη πραγματοποίησαν επίσης ελέγχους σε οχήματα που κυκλοφορούσαν στα εδάφη τους και ήταν ταξινομημένα εκτός της ΕΕ.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Ορισμένα βασικά σημεία που πρέπει να επισημανθούν από τα δεδομένα που παρουσιάζονται στον πίνακα 2 είναι ότι το 57,7 % των ελέγχων που διενεργήθηκαν κατά την περίοδο 2017-2018 αφορούσαν οχήματα ταξινομημένα στο κράτος μέλος διεξαγωγής του ελέγχου, ενώ το 34,1 % των ελέγχων πραγματοποιήθηκαν σε οχήματα ταξινομημένα σε άλλο κράτος μέλος και μόνο το 8,2 % σε οχήματα ταξινομημένα εκτός της ΕΕ.</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Στο Λουξεμβούργο, μόνο το 14,4 % των ελέγχων που πραγματοποιήθηκαν αφορούσαν οχήματα ταξινομημένα στο συγκεκριμένο κράτος μέλος, ενώ το 80,1 % των ελέγχων αφορούσαν οχήματα ταξινομημένα σε άλλο κράτος μέλος. Από την άλλη πλευρά, το 49,4 % και το 63,4 % των οχημάτων που ελέγχθηκαν από τις πολωνικές και τις βουλγαρικές αρχές αντίστοιχα ήταν ταξινομημένα στα εν λόγω κράτη μέλη, ενώ το ποσοστό των ελέγχων που πραγματοποιήθηκαν σε οχήματα ταξινομημένα εκτός της ΕΕ ήταν υψηλότερο σε σύγκριση με τους ελέγχους οχημάτων από άλλα κράτη μέλη. Τα εν λόγω στατιστικά στοιχεία αιτιολογούνται κατά πάσα πιθανότητα από τη γεωγραφική θέση των συγκεκριμένων κρατών μελών με υψηλή διαμετακομιστική κίνηση. </w:t>
      </w:r>
    </w:p>
    <w:p>
      <w:pPr>
        <w:spacing w:before="120" w:after="120" w:line="240" w:lineRule="auto"/>
        <w:jc w:val="both"/>
        <w:rPr>
          <w:rFonts w:ascii="Times New Roman" w:eastAsia="Times New Roman" w:hAnsi="Times New Roman"/>
          <w:noProof/>
          <w:sz w:val="24"/>
          <w:szCs w:val="24"/>
        </w:rPr>
      </w:pPr>
    </w:p>
    <w:p>
      <w:pPr>
        <w:spacing w:before="120" w:after="120" w:line="240" w:lineRule="auto"/>
        <w:jc w:val="center"/>
        <w:rPr>
          <w:rFonts w:ascii="Times New Roman" w:eastAsia="Times New Roman" w:hAnsi="Times New Roman"/>
          <w:b/>
          <w:noProof/>
        </w:rPr>
      </w:pPr>
      <w:r>
        <w:rPr>
          <w:rFonts w:ascii="Times New Roman" w:hAnsi="Times New Roman"/>
          <w:b/>
          <w:noProof/>
        </w:rPr>
        <w:t>Πίνακας 2: Προέλευση των ελεγχθέντων οχημάτων</w:t>
      </w:r>
    </w:p>
    <w:tbl>
      <w:tblPr>
        <w:tblW w:w="8286" w:type="dxa"/>
        <w:jc w:val="center"/>
        <w:tblLook w:val="04A0" w:firstRow="1" w:lastRow="0" w:firstColumn="1" w:lastColumn="0" w:noHBand="0" w:noVBand="1"/>
      </w:tblPr>
      <w:tblGrid>
        <w:gridCol w:w="1800"/>
        <w:gridCol w:w="1505"/>
        <w:gridCol w:w="1505"/>
        <w:gridCol w:w="1505"/>
        <w:gridCol w:w="1106"/>
        <w:gridCol w:w="1240"/>
      </w:tblGrid>
      <w:tr>
        <w:trPr>
          <w:trHeight w:val="915"/>
          <w:jc w:val="center"/>
        </w:trPr>
        <w:tc>
          <w:tcPr>
            <w:tcW w:w="1800" w:type="dxa"/>
            <w:tcBorders>
              <w:top w:val="single" w:sz="8" w:space="0" w:color="auto"/>
              <w:left w:val="single" w:sz="8" w:space="0" w:color="auto"/>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Κράτος μέλος που υπέβαλε την έκθεση (ΚΜ)</w:t>
            </w:r>
          </w:p>
        </w:tc>
        <w:tc>
          <w:tcPr>
            <w:tcW w:w="1280"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Οχήματα ταξινομημένα στο ΚΜ</w:t>
            </w:r>
          </w:p>
        </w:tc>
        <w:tc>
          <w:tcPr>
            <w:tcW w:w="1360"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Οχήματα ταξινομημένα σε άλλο ΚΜ</w:t>
            </w:r>
          </w:p>
        </w:tc>
        <w:tc>
          <w:tcPr>
            <w:tcW w:w="1500"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Οχήματα ταξινομημένα εκτός της ΕΕ</w:t>
            </w:r>
          </w:p>
        </w:tc>
        <w:tc>
          <w:tcPr>
            <w:tcW w:w="1106"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Σύνολο</w:t>
            </w:r>
          </w:p>
        </w:tc>
        <w:tc>
          <w:tcPr>
            <w:tcW w:w="1240" w:type="dxa"/>
            <w:tcBorders>
              <w:top w:val="single" w:sz="8" w:space="0" w:color="auto"/>
              <w:left w:val="nil"/>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Οχήματα των ΚΜ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Αυστρία</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16 667</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21 399</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1 688</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39 754</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41,9 %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Βέλγιο</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3 825</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7 118</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339</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11 282</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33,9 %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Βουλγαρία</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97 469</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14 782</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41 497</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153 748</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63,4 %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Κροατία</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18 418</w:t>
            </w:r>
          </w:p>
        </w:tc>
        <w:tc>
          <w:tcPr>
            <w:tcW w:w="1360" w:type="dxa"/>
            <w:tcBorders>
              <w:top w:val="single" w:sz="4" w:space="0" w:color="000000"/>
              <w:left w:val="nil"/>
              <w:bottom w:val="single" w:sz="4" w:space="0" w:color="000000"/>
              <w:right w:val="single" w:sz="4" w:space="0" w:color="000000"/>
            </w:tcBorders>
            <w:shd w:val="clear" w:color="auto" w:fill="auto"/>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3 751</w:t>
            </w:r>
          </w:p>
        </w:tc>
        <w:tc>
          <w:tcPr>
            <w:tcW w:w="1500" w:type="dxa"/>
            <w:tcBorders>
              <w:top w:val="single" w:sz="4" w:space="0" w:color="000000"/>
              <w:left w:val="nil"/>
              <w:bottom w:val="single" w:sz="4" w:space="0" w:color="000000"/>
              <w:right w:val="single" w:sz="4" w:space="0" w:color="000000"/>
            </w:tcBorders>
            <w:shd w:val="clear" w:color="auto" w:fill="auto"/>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0 </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22 169</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83,1 %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Κύπρος</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5 984</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0 </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0 </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5 984</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100,0 %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Τσεχική Δημοκρατία</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54 001</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39 397</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2 863</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96 261</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56,1 %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Δανία</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4 199</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806</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49</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5 054</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83,1 %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Εσθονία</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1 858</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152</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271</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2 281</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81,5 %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Φινλανδία</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7 408</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2 102</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2 550</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12 060</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61,4 %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Γαλλία</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220 388</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392 088</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0 </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612 476</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36,0 %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Γερμανία</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735 289</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475 644</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36 573</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1 247 506</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58,9 %</w:t>
            </w:r>
          </w:p>
        </w:tc>
      </w:tr>
      <w:tr>
        <w:trPr>
          <w:trHeight w:val="300"/>
          <w:jc w:val="center"/>
        </w:trPr>
        <w:tc>
          <w:tcPr>
            <w:tcW w:w="1800" w:type="dxa"/>
            <w:tcBorders>
              <w:top w:val="nil"/>
              <w:left w:val="single" w:sz="8" w:space="0" w:color="auto"/>
              <w:bottom w:val="single" w:sz="2"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Ελλάδα</w:t>
            </w:r>
          </w:p>
        </w:tc>
        <w:tc>
          <w:tcPr>
            <w:tcW w:w="1280" w:type="dxa"/>
            <w:tcBorders>
              <w:top w:val="single" w:sz="4" w:space="0" w:color="000000"/>
              <w:left w:val="single" w:sz="4" w:space="0" w:color="000000"/>
              <w:bottom w:val="single" w:sz="2" w:space="0" w:color="auto"/>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204</w:t>
            </w:r>
          </w:p>
        </w:tc>
        <w:tc>
          <w:tcPr>
            <w:tcW w:w="1360" w:type="dxa"/>
            <w:tcBorders>
              <w:top w:val="single" w:sz="4" w:space="0" w:color="000000"/>
              <w:left w:val="nil"/>
              <w:bottom w:val="single" w:sz="2" w:space="0" w:color="auto"/>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156</w:t>
            </w:r>
          </w:p>
        </w:tc>
        <w:tc>
          <w:tcPr>
            <w:tcW w:w="1500" w:type="dxa"/>
            <w:tcBorders>
              <w:top w:val="single" w:sz="4" w:space="0" w:color="000000"/>
              <w:left w:val="nil"/>
              <w:bottom w:val="single" w:sz="2" w:space="0" w:color="auto"/>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0 </w:t>
            </w:r>
          </w:p>
        </w:tc>
        <w:tc>
          <w:tcPr>
            <w:tcW w:w="1106" w:type="dxa"/>
            <w:tcBorders>
              <w:top w:val="single" w:sz="4" w:space="0" w:color="000000"/>
              <w:left w:val="nil"/>
              <w:bottom w:val="single" w:sz="2" w:space="0" w:color="auto"/>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360</w:t>
            </w:r>
          </w:p>
        </w:tc>
        <w:tc>
          <w:tcPr>
            <w:tcW w:w="1240" w:type="dxa"/>
            <w:tcBorders>
              <w:top w:val="single" w:sz="4" w:space="0" w:color="000000"/>
              <w:left w:val="nil"/>
              <w:bottom w:val="single" w:sz="2" w:space="0" w:color="auto"/>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56,7 %</w:t>
            </w:r>
          </w:p>
        </w:tc>
      </w:tr>
      <w:tr>
        <w:trPr>
          <w:trHeight w:val="300"/>
          <w:jc w:val="center"/>
        </w:trPr>
        <w:tc>
          <w:tcPr>
            <w:tcW w:w="1800" w:type="dxa"/>
            <w:tcBorders>
              <w:top w:val="single" w:sz="4" w:space="0" w:color="auto"/>
              <w:left w:val="single" w:sz="8" w:space="0" w:color="auto"/>
              <w:bottom w:val="single" w:sz="2"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Ουγγαρία</w:t>
            </w:r>
          </w:p>
        </w:tc>
        <w:tc>
          <w:tcPr>
            <w:tcW w:w="1280" w:type="dxa"/>
            <w:tcBorders>
              <w:top w:val="single" w:sz="2" w:space="0" w:color="auto"/>
              <w:left w:val="single" w:sz="8" w:space="0" w:color="auto"/>
              <w:bottom w:val="single" w:sz="2" w:space="0" w:color="auto"/>
              <w:right w:val="single" w:sz="2" w:space="0" w:color="auto"/>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148 164</w:t>
            </w:r>
          </w:p>
        </w:tc>
        <w:tc>
          <w:tcPr>
            <w:tcW w:w="1360" w:type="dxa"/>
            <w:tcBorders>
              <w:top w:val="single" w:sz="2" w:space="0" w:color="auto"/>
              <w:left w:val="single" w:sz="2" w:space="0" w:color="auto"/>
              <w:bottom w:val="single" w:sz="2" w:space="0" w:color="auto"/>
              <w:right w:val="single" w:sz="2" w:space="0" w:color="auto"/>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51 517</w:t>
            </w:r>
          </w:p>
        </w:tc>
        <w:tc>
          <w:tcPr>
            <w:tcW w:w="1500" w:type="dxa"/>
            <w:tcBorders>
              <w:top w:val="single" w:sz="2" w:space="0" w:color="auto"/>
              <w:left w:val="single" w:sz="2" w:space="0" w:color="auto"/>
              <w:bottom w:val="single" w:sz="2" w:space="0" w:color="auto"/>
              <w:right w:val="single" w:sz="2" w:space="0" w:color="auto"/>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2 642</w:t>
            </w:r>
          </w:p>
        </w:tc>
        <w:tc>
          <w:tcPr>
            <w:tcW w:w="1106" w:type="dxa"/>
            <w:tcBorders>
              <w:top w:val="single" w:sz="2" w:space="0" w:color="auto"/>
              <w:left w:val="single" w:sz="2" w:space="0" w:color="auto"/>
              <w:bottom w:val="single" w:sz="2" w:space="0" w:color="auto"/>
              <w:right w:val="single" w:sz="2" w:space="0" w:color="auto"/>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202 323</w:t>
            </w:r>
          </w:p>
        </w:tc>
        <w:tc>
          <w:tcPr>
            <w:tcW w:w="1240" w:type="dxa"/>
            <w:tcBorders>
              <w:top w:val="single" w:sz="2" w:space="0" w:color="auto"/>
              <w:left w:val="single" w:sz="2" w:space="0" w:color="auto"/>
              <w:bottom w:val="single" w:sz="2" w:space="0" w:color="auto"/>
              <w:right w:val="single" w:sz="2" w:space="0" w:color="auto"/>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73,2 %</w:t>
            </w:r>
          </w:p>
        </w:tc>
      </w:tr>
      <w:tr>
        <w:trPr>
          <w:trHeight w:val="300"/>
          <w:jc w:val="center"/>
        </w:trPr>
        <w:tc>
          <w:tcPr>
            <w:tcW w:w="1800" w:type="dxa"/>
            <w:tcBorders>
              <w:top w:val="single" w:sz="2"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Ιρλανδία</w:t>
            </w:r>
          </w:p>
        </w:tc>
        <w:tc>
          <w:tcPr>
            <w:tcW w:w="1280" w:type="dxa"/>
            <w:tcBorders>
              <w:top w:val="single" w:sz="2" w:space="0" w:color="auto"/>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24 539</w:t>
            </w:r>
          </w:p>
        </w:tc>
        <w:tc>
          <w:tcPr>
            <w:tcW w:w="1360" w:type="dxa"/>
            <w:tcBorders>
              <w:top w:val="single" w:sz="2" w:space="0" w:color="auto"/>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2 953</w:t>
            </w:r>
          </w:p>
        </w:tc>
        <w:tc>
          <w:tcPr>
            <w:tcW w:w="1500" w:type="dxa"/>
            <w:tcBorders>
              <w:top w:val="single" w:sz="2" w:space="0" w:color="auto"/>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w:t>
            </w:r>
          </w:p>
        </w:tc>
        <w:tc>
          <w:tcPr>
            <w:tcW w:w="1106" w:type="dxa"/>
            <w:tcBorders>
              <w:top w:val="single" w:sz="2" w:space="0" w:color="auto"/>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27 501</w:t>
            </w:r>
          </w:p>
        </w:tc>
        <w:tc>
          <w:tcPr>
            <w:tcW w:w="1240" w:type="dxa"/>
            <w:tcBorders>
              <w:top w:val="single" w:sz="2" w:space="0" w:color="auto"/>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89,2 %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Ιταλία</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4 480</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954</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5 446</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82,3 %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Λετονία</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5 491</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2 908</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405</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8 804</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62,4 %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Λιθουανία</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35 081</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9 137</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6 020</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50 238</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69,8 %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Λουξεμβούργο</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303</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1 726</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78</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2 107</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14,4 %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Μάλτα</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6 277</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0 </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6 305</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99,6 %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Κάτω Χώρες</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7 816</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2 993</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180</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10 989</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71,1 %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Πολωνία</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374 840</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158 367</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225 207</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758 414</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49,4 %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Πορτογαλία</w:t>
            </w:r>
          </w:p>
        </w:tc>
        <w:tc>
          <w:tcPr>
            <w:tcW w:w="1280" w:type="dxa"/>
            <w:tcBorders>
              <w:top w:val="nil"/>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935</w:t>
            </w:r>
          </w:p>
        </w:tc>
        <w:tc>
          <w:tcPr>
            <w:tcW w:w="1360" w:type="dxa"/>
            <w:tcBorders>
              <w:top w:val="nil"/>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27</w:t>
            </w:r>
          </w:p>
        </w:tc>
        <w:tc>
          <w:tcPr>
            <w:tcW w:w="1500" w:type="dxa"/>
            <w:tcBorders>
              <w:top w:val="nil"/>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0 </w:t>
            </w:r>
          </w:p>
        </w:tc>
        <w:tc>
          <w:tcPr>
            <w:tcW w:w="1106" w:type="dxa"/>
            <w:tcBorders>
              <w:top w:val="nil"/>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962</w:t>
            </w:r>
          </w:p>
        </w:tc>
        <w:tc>
          <w:tcPr>
            <w:tcW w:w="1240" w:type="dxa"/>
            <w:tcBorders>
              <w:top w:val="nil"/>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97,2 %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Ρουμανία</w:t>
            </w:r>
          </w:p>
        </w:tc>
        <w:tc>
          <w:tcPr>
            <w:tcW w:w="1280" w:type="dxa"/>
            <w:tcBorders>
              <w:top w:val="nil"/>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18 686</w:t>
            </w:r>
          </w:p>
        </w:tc>
        <w:tc>
          <w:tcPr>
            <w:tcW w:w="1360" w:type="dxa"/>
            <w:tcBorders>
              <w:top w:val="nil"/>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513</w:t>
            </w:r>
          </w:p>
        </w:tc>
        <w:tc>
          <w:tcPr>
            <w:tcW w:w="1500" w:type="dxa"/>
            <w:tcBorders>
              <w:top w:val="nil"/>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336</w:t>
            </w:r>
          </w:p>
        </w:tc>
        <w:tc>
          <w:tcPr>
            <w:tcW w:w="1106" w:type="dxa"/>
            <w:tcBorders>
              <w:top w:val="nil"/>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19 535</w:t>
            </w:r>
          </w:p>
        </w:tc>
        <w:tc>
          <w:tcPr>
            <w:tcW w:w="1240" w:type="dxa"/>
            <w:tcBorders>
              <w:top w:val="nil"/>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95,7 %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Σλοβακία</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14 923</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8 659</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0 </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23 582</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63,3 %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Σλοβενία</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4 271</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1 028</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103</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5 402</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79,1 %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Ισπανία</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316 637</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28 983</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0 </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345 620</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91,6 %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Σουηδία</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37 658</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6 727</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326</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44 711</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84,2 %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Ηνωμένο Βασίλειο</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131 402</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122 409</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6 215</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260 026</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50,5 %</w:t>
            </w:r>
          </w:p>
        </w:tc>
      </w:tr>
      <w:tr>
        <w:trPr>
          <w:trHeight w:val="315"/>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Σύνολα</w:t>
            </w:r>
          </w:p>
        </w:tc>
        <w:tc>
          <w:tcPr>
            <w:tcW w:w="1280" w:type="dxa"/>
            <w:tcBorders>
              <w:top w:val="single" w:sz="4" w:space="0" w:color="000000"/>
              <w:left w:val="single" w:sz="4" w:space="0" w:color="000000"/>
              <w:bottom w:val="single" w:sz="4" w:space="0" w:color="auto"/>
              <w:right w:val="single" w:sz="4" w:space="0" w:color="000000"/>
            </w:tcBorders>
            <w:shd w:val="clear" w:color="FFFFFF" w:fill="FFFFFF"/>
            <w:noWrap/>
            <w:vAlign w:val="center"/>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2 297 213</w:t>
            </w:r>
          </w:p>
        </w:tc>
        <w:tc>
          <w:tcPr>
            <w:tcW w:w="1360" w:type="dxa"/>
            <w:tcBorders>
              <w:top w:val="single" w:sz="4" w:space="0" w:color="000000"/>
              <w:left w:val="nil"/>
              <w:bottom w:val="single" w:sz="4" w:space="0" w:color="000000"/>
              <w:right w:val="single" w:sz="4" w:space="0" w:color="000000"/>
            </w:tcBorders>
            <w:shd w:val="clear" w:color="FFFFFF" w:fill="FFFFFF"/>
            <w:noWrap/>
            <w:vAlign w:val="center"/>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1 356 324</w:t>
            </w:r>
          </w:p>
        </w:tc>
        <w:tc>
          <w:tcPr>
            <w:tcW w:w="1500" w:type="dxa"/>
            <w:tcBorders>
              <w:top w:val="single" w:sz="4" w:space="0" w:color="000000"/>
              <w:left w:val="nil"/>
              <w:bottom w:val="single" w:sz="4" w:space="0" w:color="000000"/>
              <w:right w:val="single" w:sz="4" w:space="0" w:color="000000"/>
            </w:tcBorders>
            <w:shd w:val="clear" w:color="FFFFFF" w:fill="FFFFFF"/>
            <w:noWrap/>
            <w:vAlign w:val="center"/>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327 363</w:t>
            </w:r>
          </w:p>
        </w:tc>
        <w:tc>
          <w:tcPr>
            <w:tcW w:w="1106" w:type="dxa"/>
            <w:tcBorders>
              <w:top w:val="single" w:sz="4" w:space="0" w:color="000000"/>
              <w:left w:val="nil"/>
              <w:bottom w:val="single" w:sz="4" w:space="0" w:color="000000"/>
              <w:right w:val="single" w:sz="4" w:space="0" w:color="000000"/>
            </w:tcBorders>
            <w:shd w:val="clear" w:color="FFFFFF" w:fill="FFFFFF"/>
            <w:noWrap/>
            <w:vAlign w:val="center"/>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noProof/>
              </w:rPr>
              <w:t>3 980 900</w:t>
            </w:r>
          </w:p>
        </w:tc>
        <w:tc>
          <w:tcPr>
            <w:tcW w:w="1240" w:type="dxa"/>
            <w:tcBorders>
              <w:top w:val="single" w:sz="4" w:space="0" w:color="000000"/>
              <w:left w:val="nil"/>
              <w:bottom w:val="single" w:sz="4" w:space="0" w:color="000000"/>
              <w:right w:val="single" w:sz="4" w:space="0" w:color="000000"/>
            </w:tcBorders>
            <w:shd w:val="clear" w:color="FFFFFF" w:fill="FFFFFF"/>
            <w:noWrap/>
            <w:vAlign w:val="center"/>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57,7 %</w:t>
            </w:r>
          </w:p>
        </w:tc>
      </w:tr>
      <w:tr>
        <w:trPr>
          <w:trHeight w:val="315"/>
          <w:jc w:val="center"/>
        </w:trPr>
        <w:tc>
          <w:tcPr>
            <w:tcW w:w="1800" w:type="dxa"/>
            <w:tcBorders>
              <w:top w:val="single" w:sz="4" w:space="0" w:color="auto"/>
              <w:left w:val="single" w:sz="8" w:space="0" w:color="auto"/>
              <w:bottom w:val="single" w:sz="4" w:space="0" w:color="auto"/>
              <w:right w:val="single" w:sz="8"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FF0000"/>
              </w:rPr>
              <w:t>Ελβετία</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bCs/>
                <w:noProof/>
                <w:color w:val="000000"/>
              </w:rPr>
            </w:pPr>
            <w:r>
              <w:rPr>
                <w:rFonts w:ascii="Times New Roman" w:hAnsi="Times New Roman"/>
                <w:noProof/>
              </w:rPr>
              <w:t>85 873</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bCs/>
                <w:noProof/>
                <w:color w:val="000000"/>
              </w:rPr>
            </w:pPr>
            <w:r>
              <w:rPr>
                <w:rFonts w:ascii="Times New Roman" w:hAnsi="Times New Roman"/>
                <w:noProof/>
              </w:rPr>
              <w:t>91 914</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bCs/>
                <w:noProof/>
                <w:color w:val="000000"/>
              </w:rPr>
            </w:pPr>
            <w:r>
              <w:rPr>
                <w:rFonts w:ascii="Times New Roman" w:hAnsi="Times New Roman"/>
                <w:noProof/>
              </w:rPr>
              <w:t>3 935</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hAnsi="Times New Roman" w:cs="Times New Roman"/>
                <w:noProof/>
                <w:color w:val="000000"/>
              </w:rPr>
            </w:pPr>
            <w:r>
              <w:rPr>
                <w:rFonts w:ascii="Times New Roman" w:hAnsi="Times New Roman"/>
                <w:bCs/>
                <w:noProof/>
              </w:rPr>
              <w:t>181 722</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47,3 %</w:t>
            </w:r>
          </w:p>
        </w:tc>
      </w:tr>
      <w:tr>
        <w:trPr>
          <w:trHeight w:val="315"/>
          <w:jc w:val="center"/>
        </w:trPr>
        <w:tc>
          <w:tcPr>
            <w:tcW w:w="1800" w:type="dxa"/>
            <w:tcBorders>
              <w:top w:val="single" w:sz="4" w:space="0" w:color="auto"/>
              <w:left w:val="single" w:sz="8" w:space="0" w:color="auto"/>
              <w:bottom w:val="single" w:sz="8" w:space="0" w:color="auto"/>
              <w:right w:val="single" w:sz="8"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 xml:space="preserve">Σύνολα </w:t>
            </w:r>
          </w:p>
        </w:tc>
        <w:tc>
          <w:tcPr>
            <w:tcW w:w="1280" w:type="dxa"/>
            <w:tcBorders>
              <w:top w:val="single" w:sz="4" w:space="0" w:color="auto"/>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2 383 086</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1 448 238</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331 298</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hAnsi="Times New Roman" w:cs="Times New Roman"/>
                <w:b/>
                <w:noProof/>
                <w:color w:val="000000"/>
              </w:rPr>
            </w:pPr>
            <w:r>
              <w:rPr>
                <w:rFonts w:ascii="Times New Roman" w:hAnsi="Times New Roman"/>
                <w:b/>
                <w:noProof/>
              </w:rPr>
              <w:t>4 162 622</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57,2 %</w:t>
            </w:r>
          </w:p>
        </w:tc>
      </w:tr>
    </w:tbl>
    <w:p>
      <w:pPr>
        <w:pStyle w:val="Heading2"/>
        <w:rPr>
          <w:noProof/>
        </w:rPr>
      </w:pPr>
    </w:p>
    <w:p>
      <w:pPr>
        <w:pStyle w:val="Heading2"/>
        <w:rPr>
          <w:noProof/>
        </w:rPr>
      </w:pPr>
      <w:bookmarkStart w:id="9" w:name="_Toc33783644"/>
      <w:r>
        <w:rPr>
          <w:noProof/>
        </w:rPr>
        <w:t>5.3.</w:t>
      </w:r>
      <w:r>
        <w:rPr>
          <w:noProof/>
        </w:rPr>
        <w:tab/>
        <w:t>Αριθμός απαγορεύσεων κυκλοφορίας</w:t>
      </w:r>
      <w:bookmarkEnd w:id="9"/>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Σε σύγκριση με την περίοδο 2015-2016, κατά την περίοδο αναφοράς 2017-2018 απαγορεύτηκε η κυκλοφορία 99 617</w:t>
      </w:r>
      <w:r>
        <w:rPr>
          <w:rFonts w:ascii="Times New Roman" w:hAnsi="Times New Roman"/>
          <w:b/>
          <w:noProof/>
          <w:sz w:val="24"/>
          <w:szCs w:val="24"/>
        </w:rPr>
        <w:t> λιγότερων οχημάτων</w:t>
      </w:r>
      <w:r>
        <w:rPr>
          <w:rFonts w:ascii="Times New Roman" w:hAnsi="Times New Roman"/>
          <w:noProof/>
          <w:sz w:val="24"/>
          <w:szCs w:val="24"/>
        </w:rPr>
        <w:t xml:space="preserve">, αριθμός που αντιστοιχεί σε </w:t>
      </w:r>
      <w:r>
        <w:rPr>
          <w:rFonts w:ascii="Times New Roman" w:hAnsi="Times New Roman"/>
          <w:b/>
          <w:noProof/>
          <w:sz w:val="24"/>
          <w:szCs w:val="24"/>
        </w:rPr>
        <w:t>μείωση της τάξης του 24,7 %</w:t>
      </w:r>
      <w:r>
        <w:rPr>
          <w:rFonts w:ascii="Times New Roman" w:hAnsi="Times New Roman"/>
          <w:noProof/>
          <w:sz w:val="24"/>
          <w:szCs w:val="24"/>
        </w:rPr>
        <w:t>. Στον πίνακα 3 κατωτέρω παρουσιάζεται η κατανομή ανά κράτος μέλος. Λαμβανομένου υπόψη ότι κατά το ίδιο χρονικό διάστημα μειώθηκε επίσης ο αριθμός των ελεγχθέντων οχημάτων κατά 20,9 %</w:t>
      </w:r>
      <w:r>
        <w:rPr>
          <w:rFonts w:ascii="Times New Roman" w:hAnsi="Times New Roman"/>
          <w:b/>
          <w:noProof/>
          <w:sz w:val="24"/>
          <w:szCs w:val="24"/>
        </w:rPr>
        <w:t xml:space="preserve"> </w:t>
      </w:r>
      <w:r>
        <w:rPr>
          <w:rFonts w:ascii="Times New Roman" w:hAnsi="Times New Roman"/>
          <w:noProof/>
          <w:sz w:val="24"/>
          <w:szCs w:val="24"/>
        </w:rPr>
        <w:t xml:space="preserve">σε σύγκριση με την περίοδο 2015-2016, τα στοιχεία αυτά μπορεί να είναι ενδεικτικά της απουσίας βελτίωσης με τη χρήση μεθόδου καλύτερης στόχευσης. </w:t>
      </w:r>
    </w:p>
    <w:p>
      <w:pPr>
        <w:spacing w:before="120" w:after="120" w:line="240" w:lineRule="auto"/>
        <w:jc w:val="both"/>
        <w:rPr>
          <w:rFonts w:ascii="Times New Roman" w:eastAsia="Times New Roman" w:hAnsi="Times New Roman"/>
          <w:noProof/>
          <w:sz w:val="24"/>
          <w:szCs w:val="24"/>
        </w:rPr>
      </w:pPr>
    </w:p>
    <w:p>
      <w:pPr>
        <w:spacing w:before="120" w:after="120" w:line="240" w:lineRule="auto"/>
        <w:jc w:val="center"/>
        <w:rPr>
          <w:rFonts w:ascii="Times New Roman" w:eastAsia="Times New Roman" w:hAnsi="Times New Roman"/>
          <w:noProof/>
          <w:sz w:val="24"/>
          <w:szCs w:val="24"/>
        </w:rPr>
      </w:pPr>
      <w:r>
        <w:rPr>
          <w:rFonts w:ascii="Times New Roman" w:hAnsi="Times New Roman"/>
          <w:b/>
          <w:noProof/>
        </w:rPr>
        <w:t>Πίνακας 3: Απαγορεύσεις κυκλοφορίας — Σύγκριση μεταξύ των περιόδων 2015-2016 και 2017-2018</w:t>
      </w:r>
    </w:p>
    <w:tbl>
      <w:tblPr>
        <w:tblW w:w="8259" w:type="dxa"/>
        <w:jc w:val="center"/>
        <w:tblLook w:val="04A0" w:firstRow="1" w:lastRow="0" w:firstColumn="1" w:lastColumn="0" w:noHBand="0" w:noVBand="1"/>
      </w:tblPr>
      <w:tblGrid>
        <w:gridCol w:w="1939"/>
        <w:gridCol w:w="1532"/>
        <w:gridCol w:w="1532"/>
        <w:gridCol w:w="1677"/>
        <w:gridCol w:w="1701"/>
      </w:tblGrid>
      <w:tr>
        <w:trPr>
          <w:trHeight w:val="1170"/>
          <w:jc w:val="center"/>
        </w:trPr>
        <w:tc>
          <w:tcPr>
            <w:tcW w:w="1939" w:type="dxa"/>
            <w:tcBorders>
              <w:top w:val="single" w:sz="8" w:space="0" w:color="auto"/>
              <w:left w:val="single" w:sz="8" w:space="0" w:color="auto"/>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Κράτος μέλος που υπέβαλε την έκθεση (ΚΜ)</w:t>
            </w:r>
          </w:p>
        </w:tc>
        <w:tc>
          <w:tcPr>
            <w:tcW w:w="1476"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Απαγορεύσεις κυκλοφορίας οχημάτων την περίοδο 2015-2016</w:t>
            </w:r>
          </w:p>
        </w:tc>
        <w:tc>
          <w:tcPr>
            <w:tcW w:w="1466"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Απαγορεύσεις κυκλοφορίας οχημάτων την περίοδο 2017-2018</w:t>
            </w:r>
          </w:p>
        </w:tc>
        <w:tc>
          <w:tcPr>
            <w:tcW w:w="1677"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Διαφορά μεταξύ των περιόδων 2015-2016 και 2017-2018</w:t>
            </w:r>
          </w:p>
        </w:tc>
        <w:tc>
          <w:tcPr>
            <w:tcW w:w="1701" w:type="dxa"/>
            <w:tcBorders>
              <w:top w:val="single" w:sz="8" w:space="0" w:color="auto"/>
              <w:left w:val="nil"/>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Ποσοστό (%) διαφοράς μεταξύ των περιόδων 2015-2016 και 2017-2018</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Αυστρία</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24 194</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25 180</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986</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4,1 %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Βέλγιο</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691</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1 015</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324</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46,9 %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Βουλγαρία</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1 646</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1 720</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74</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 xml:space="preserve">Κροατία </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2 548</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1 675</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-873</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-34,3 %</w:t>
            </w:r>
          </w:p>
        </w:tc>
      </w:tr>
      <w:tr>
        <w:trPr>
          <w:trHeight w:val="300"/>
          <w:jc w:val="center"/>
        </w:trPr>
        <w:tc>
          <w:tcPr>
            <w:tcW w:w="1939" w:type="dxa"/>
            <w:tcBorders>
              <w:top w:val="nil"/>
              <w:left w:val="single" w:sz="8" w:space="0" w:color="auto"/>
              <w:bottom w:val="single" w:sz="8"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Κύπρος</w:t>
            </w:r>
          </w:p>
        </w:tc>
        <w:tc>
          <w:tcPr>
            <w:tcW w:w="1476" w:type="dxa"/>
            <w:tcBorders>
              <w:top w:val="nil"/>
              <w:left w:val="nil"/>
              <w:bottom w:val="single" w:sz="8"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1 232</w:t>
            </w:r>
          </w:p>
        </w:tc>
        <w:tc>
          <w:tcPr>
            <w:tcW w:w="1466" w:type="dxa"/>
            <w:tcBorders>
              <w:top w:val="nil"/>
              <w:left w:val="nil"/>
              <w:bottom w:val="single" w:sz="8"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1 012</w:t>
            </w:r>
          </w:p>
        </w:tc>
        <w:tc>
          <w:tcPr>
            <w:tcW w:w="1677" w:type="dxa"/>
            <w:tcBorders>
              <w:top w:val="nil"/>
              <w:left w:val="nil"/>
              <w:bottom w:val="single" w:sz="8"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-220</w:t>
            </w:r>
          </w:p>
        </w:tc>
        <w:tc>
          <w:tcPr>
            <w:tcW w:w="1701" w:type="dxa"/>
            <w:tcBorders>
              <w:top w:val="nil"/>
              <w:left w:val="nil"/>
              <w:bottom w:val="single" w:sz="8"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-17,9 %</w:t>
            </w:r>
          </w:p>
        </w:tc>
      </w:tr>
      <w:tr>
        <w:trPr>
          <w:trHeight w:val="300"/>
          <w:jc w:val="center"/>
        </w:trPr>
        <w:tc>
          <w:tcPr>
            <w:tcW w:w="1939" w:type="dxa"/>
            <w:tcBorders>
              <w:top w:val="single" w:sz="8"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Τσεχική Δημοκρατία</w:t>
            </w:r>
          </w:p>
        </w:tc>
        <w:tc>
          <w:tcPr>
            <w:tcW w:w="1476" w:type="dxa"/>
            <w:tcBorders>
              <w:top w:val="single" w:sz="8"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375</w:t>
            </w:r>
          </w:p>
        </w:tc>
        <w:tc>
          <w:tcPr>
            <w:tcW w:w="1466" w:type="dxa"/>
            <w:tcBorders>
              <w:top w:val="single" w:sz="8"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7 620</w:t>
            </w:r>
          </w:p>
        </w:tc>
        <w:tc>
          <w:tcPr>
            <w:tcW w:w="1677"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7 245</w:t>
            </w:r>
          </w:p>
        </w:tc>
        <w:tc>
          <w:tcPr>
            <w:tcW w:w="1701" w:type="dxa"/>
            <w:tcBorders>
              <w:top w:val="single" w:sz="8"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1 932,0 %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Δανία</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1 192</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1 292</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100</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8,4 %</w:t>
            </w:r>
          </w:p>
        </w:tc>
      </w:tr>
      <w:tr>
        <w:trPr>
          <w:trHeight w:val="300"/>
          <w:jc w:val="center"/>
        </w:trPr>
        <w:tc>
          <w:tcPr>
            <w:tcW w:w="1939"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Εσθονία</w:t>
            </w:r>
          </w:p>
        </w:tc>
        <w:tc>
          <w:tcPr>
            <w:tcW w:w="1476" w:type="dxa"/>
            <w:tcBorders>
              <w:top w:val="single" w:sz="4" w:space="0" w:color="auto"/>
              <w:left w:val="single" w:sz="8"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2 636</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2 067</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-569</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-21,6 %</w:t>
            </w:r>
          </w:p>
        </w:tc>
      </w:tr>
      <w:tr>
        <w:trPr>
          <w:trHeight w:val="300"/>
          <w:jc w:val="center"/>
        </w:trPr>
        <w:tc>
          <w:tcPr>
            <w:tcW w:w="1939"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Φινλανδία</w:t>
            </w:r>
          </w:p>
        </w:tc>
        <w:tc>
          <w:tcPr>
            <w:tcW w:w="1476" w:type="dxa"/>
            <w:tcBorders>
              <w:top w:val="single" w:sz="4" w:space="0" w:color="auto"/>
              <w:left w:val="single" w:sz="8"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163</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5 384</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5 221</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3 203,1 %</w:t>
            </w:r>
          </w:p>
        </w:tc>
      </w:tr>
      <w:tr>
        <w:trPr>
          <w:trHeight w:val="300"/>
          <w:jc w:val="center"/>
        </w:trPr>
        <w:tc>
          <w:tcPr>
            <w:tcW w:w="1939"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Γαλλία</w:t>
            </w:r>
          </w:p>
        </w:tc>
        <w:tc>
          <w:tcPr>
            <w:tcW w:w="1476" w:type="dxa"/>
            <w:tcBorders>
              <w:top w:val="single" w:sz="4" w:space="0" w:color="auto"/>
              <w:left w:val="single" w:sz="8"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103 720</w:t>
            </w:r>
          </w:p>
        </w:tc>
        <w:tc>
          <w:tcPr>
            <w:tcW w:w="1466"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49 592</w:t>
            </w:r>
          </w:p>
        </w:tc>
        <w:tc>
          <w:tcPr>
            <w:tcW w:w="1677"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-54 128</w:t>
            </w:r>
          </w:p>
        </w:tc>
        <w:tc>
          <w:tcPr>
            <w:tcW w:w="1701" w:type="dxa"/>
            <w:tcBorders>
              <w:top w:val="single" w:sz="4"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-52,2 %</w:t>
            </w:r>
          </w:p>
        </w:tc>
      </w:tr>
      <w:tr>
        <w:trPr>
          <w:trHeight w:val="300"/>
          <w:jc w:val="center"/>
        </w:trPr>
        <w:tc>
          <w:tcPr>
            <w:tcW w:w="1939"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Γερμανία</w:t>
            </w:r>
          </w:p>
        </w:tc>
        <w:tc>
          <w:tcPr>
            <w:tcW w:w="1476" w:type="dxa"/>
            <w:tcBorders>
              <w:top w:val="single" w:sz="4" w:space="0" w:color="auto"/>
              <w:left w:val="single" w:sz="8"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26 768</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26 912</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-469</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-1,7 %</w:t>
            </w:r>
          </w:p>
        </w:tc>
      </w:tr>
      <w:tr>
        <w:trPr>
          <w:trHeight w:val="300"/>
          <w:jc w:val="center"/>
        </w:trPr>
        <w:tc>
          <w:tcPr>
            <w:tcW w:w="1939"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Ελλάδα</w:t>
            </w:r>
          </w:p>
        </w:tc>
        <w:tc>
          <w:tcPr>
            <w:tcW w:w="1476"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71</w:t>
            </w:r>
          </w:p>
        </w:tc>
        <w:tc>
          <w:tcPr>
            <w:tcW w:w="1466"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w:t>
            </w:r>
          </w:p>
        </w:tc>
        <w:tc>
          <w:tcPr>
            <w:tcW w:w="1677"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-59</w:t>
            </w:r>
          </w:p>
        </w:tc>
        <w:tc>
          <w:tcPr>
            <w:tcW w:w="1701" w:type="dxa"/>
            <w:tcBorders>
              <w:top w:val="single" w:sz="4"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-83,1 %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Ουγγαρία</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8 388</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8 830</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442</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5,3 %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Ιρλανδία</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1 909</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1 420</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930</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189,8 %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Ιταλία</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2 923</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2 864</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-59</w:t>
            </w:r>
          </w:p>
        </w:tc>
        <w:tc>
          <w:tcPr>
            <w:tcW w:w="1701" w:type="dxa"/>
            <w:tcBorders>
              <w:top w:val="single" w:sz="4"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Λετονία</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61</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833</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772</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1 265,6 %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Λιθουανία</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311</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1 371</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1 060</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340,8 %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Λουξεμβούργο</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34</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183,3 %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Μάλτα</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3 674</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3 172</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-502</w:t>
            </w:r>
          </w:p>
        </w:tc>
        <w:tc>
          <w:tcPr>
            <w:tcW w:w="1701" w:type="dxa"/>
            <w:tcBorders>
              <w:top w:val="single" w:sz="4"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-13,7 %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Κάτω Χώρες</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172</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1 004</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832</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483,7 %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Πολωνία</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38 374</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34 017</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-4 357</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-11,4 %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Πορτογαλία</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776</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-768</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-99,0 %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Ρουμανία</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3 825</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1 804</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-2 021</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-52,8 %</w:t>
            </w:r>
          </w:p>
        </w:tc>
      </w:tr>
      <w:tr>
        <w:trPr>
          <w:trHeight w:val="300"/>
          <w:jc w:val="center"/>
        </w:trPr>
        <w:tc>
          <w:tcPr>
            <w:tcW w:w="1939"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Σλοβακία</w:t>
            </w:r>
          </w:p>
        </w:tc>
        <w:tc>
          <w:tcPr>
            <w:tcW w:w="1476" w:type="dxa"/>
            <w:tcBorders>
              <w:top w:val="single" w:sz="4" w:space="0" w:color="auto"/>
              <w:left w:val="single" w:sz="8"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5 955</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4 575</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-1 380</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-23,2 %</w:t>
            </w:r>
          </w:p>
        </w:tc>
      </w:tr>
      <w:tr>
        <w:trPr>
          <w:trHeight w:val="300"/>
          <w:jc w:val="center"/>
        </w:trPr>
        <w:tc>
          <w:tcPr>
            <w:tcW w:w="1939"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Σλοβενία</w:t>
            </w:r>
          </w:p>
        </w:tc>
        <w:tc>
          <w:tcPr>
            <w:tcW w:w="1476" w:type="dxa"/>
            <w:tcBorders>
              <w:top w:val="single" w:sz="4" w:space="0" w:color="auto"/>
              <w:left w:val="single" w:sz="8"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109</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154</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41,3 %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Ισπανία</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57 239</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60 546</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3 307</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5,8 %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Σουηδία</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42 087</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1 827</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-40 260</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-95,7 %</w:t>
            </w:r>
          </w:p>
        </w:tc>
      </w:tr>
      <w:tr>
        <w:trPr>
          <w:trHeight w:val="315"/>
          <w:jc w:val="center"/>
        </w:trPr>
        <w:tc>
          <w:tcPr>
            <w:tcW w:w="1939" w:type="dxa"/>
            <w:tcBorders>
              <w:top w:val="single" w:sz="4" w:space="0" w:color="auto"/>
              <w:left w:val="single" w:sz="8" w:space="0" w:color="000000"/>
              <w:bottom w:val="single" w:sz="4" w:space="0" w:color="auto"/>
              <w:right w:val="single" w:sz="8" w:space="0" w:color="000000"/>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Ηνωμένο Βασίλειο</w:t>
            </w:r>
          </w:p>
        </w:tc>
        <w:tc>
          <w:tcPr>
            <w:tcW w:w="1476" w:type="dxa"/>
            <w:tcBorders>
              <w:top w:val="single" w:sz="4" w:space="0" w:color="auto"/>
              <w:left w:val="single" w:sz="8" w:space="0" w:color="000000"/>
              <w:bottom w:val="single" w:sz="12"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72 886</w:t>
            </w:r>
          </w:p>
        </w:tc>
        <w:tc>
          <w:tcPr>
            <w:tcW w:w="1466" w:type="dxa"/>
            <w:tcBorders>
              <w:top w:val="single" w:sz="4" w:space="0" w:color="auto"/>
              <w:left w:val="single" w:sz="4" w:space="0" w:color="auto"/>
              <w:bottom w:val="single" w:sz="12"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58 380</w:t>
            </w:r>
          </w:p>
        </w:tc>
        <w:tc>
          <w:tcPr>
            <w:tcW w:w="1677"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-14 506</w:t>
            </w:r>
          </w:p>
        </w:tc>
        <w:tc>
          <w:tcPr>
            <w:tcW w:w="1701" w:type="dxa"/>
            <w:tcBorders>
              <w:top w:val="single" w:sz="4" w:space="0" w:color="auto"/>
              <w:left w:val="single" w:sz="4" w:space="0" w:color="auto"/>
              <w:bottom w:val="single" w:sz="12"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-19,9 %</w:t>
            </w:r>
          </w:p>
        </w:tc>
      </w:tr>
      <w:tr>
        <w:trPr>
          <w:trHeight w:val="315"/>
          <w:jc w:val="center"/>
        </w:trPr>
        <w:tc>
          <w:tcPr>
            <w:tcW w:w="1939" w:type="dxa"/>
            <w:tcBorders>
              <w:top w:val="single" w:sz="4" w:space="0" w:color="auto"/>
              <w:left w:val="single" w:sz="8" w:space="0" w:color="auto"/>
              <w:bottom w:val="single" w:sz="8"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Σύνολα</w:t>
            </w:r>
          </w:p>
        </w:tc>
        <w:tc>
          <w:tcPr>
            <w:tcW w:w="1476" w:type="dxa"/>
            <w:tcBorders>
              <w:top w:val="single" w:sz="12" w:space="0" w:color="auto"/>
              <w:left w:val="nil"/>
              <w:bottom w:val="single" w:sz="8"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noProof/>
                <w:color w:val="000000"/>
              </w:rPr>
            </w:pPr>
            <w:r>
              <w:rPr>
                <w:rFonts w:ascii="Times New Roman" w:hAnsi="Times New Roman"/>
                <w:b/>
                <w:noProof/>
              </w:rPr>
              <w:t>403 937</w:t>
            </w:r>
          </w:p>
        </w:tc>
        <w:tc>
          <w:tcPr>
            <w:tcW w:w="1466" w:type="dxa"/>
            <w:tcBorders>
              <w:top w:val="single" w:sz="12" w:space="0" w:color="auto"/>
              <w:left w:val="nil"/>
              <w:bottom w:val="single" w:sz="8"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noProof/>
                <w:color w:val="000000"/>
              </w:rPr>
            </w:pPr>
            <w:r>
              <w:rPr>
                <w:rFonts w:ascii="Times New Roman" w:hAnsi="Times New Roman"/>
                <w:b/>
                <w:noProof/>
              </w:rPr>
              <w:t>304 320</w:t>
            </w:r>
          </w:p>
        </w:tc>
        <w:tc>
          <w:tcPr>
            <w:tcW w:w="1677" w:type="dxa"/>
            <w:tcBorders>
              <w:top w:val="single" w:sz="12" w:space="0" w:color="auto"/>
              <w:left w:val="nil"/>
              <w:bottom w:val="single" w:sz="8"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noProof/>
                <w:color w:val="000000"/>
              </w:rPr>
            </w:pPr>
            <w:r>
              <w:rPr>
                <w:rFonts w:ascii="Times New Roman" w:hAnsi="Times New Roman"/>
                <w:b/>
                <w:noProof/>
              </w:rPr>
              <w:t>-99 617</w:t>
            </w:r>
          </w:p>
        </w:tc>
        <w:tc>
          <w:tcPr>
            <w:tcW w:w="1701" w:type="dxa"/>
            <w:tcBorders>
              <w:top w:val="single" w:sz="12" w:space="0" w:color="auto"/>
              <w:left w:val="nil"/>
              <w:bottom w:val="single" w:sz="8" w:space="0" w:color="auto"/>
              <w:right w:val="single" w:sz="8"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noProof/>
                <w:color w:val="000000"/>
              </w:rPr>
            </w:pPr>
            <w:r>
              <w:rPr>
                <w:rFonts w:ascii="Times New Roman" w:hAnsi="Times New Roman"/>
                <w:b/>
                <w:noProof/>
              </w:rPr>
              <w:t>-24,7 %</w:t>
            </w:r>
          </w:p>
        </w:tc>
      </w:tr>
    </w:tbl>
    <w:p>
      <w:pPr>
        <w:spacing w:before="120" w:after="120" w:line="240" w:lineRule="auto"/>
        <w:jc w:val="both"/>
        <w:rPr>
          <w:rFonts w:ascii="Times New Roman" w:eastAsia="Times New Roman" w:hAnsi="Times New Roman"/>
          <w:noProof/>
          <w:sz w:val="24"/>
          <w:szCs w:val="24"/>
        </w:rPr>
      </w:pP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Δεκατέσσερα κράτη μέλη κατέγραψαν αύξηση του αριθμού των απαγορεύσεων κυκλοφορίας κατά την περίοδο αναφοράς 2017-2018 σε σύγκριση με την περίοδο αναφοράς 2015-2016. Οι ποσοστιαίες αυξήσεις κυμάνθηκαν από 4,1 % στην περίπτωση της Αυστρίας έως περίπου 3 203 % στην περίπτωση της Φινλανδίας, πιθανώς λόγω της υιοθέτησης μιας προσέγγισης βασιζόμενης περισσότερο στους κινδύνους. Άλλα κράτη μέλη που κατέγραψαν αξιοσημείωτες αυξήσεις ήταν η Τσεχική Δημοκρατία (1 932,0 %), η Λετονία (1 265,6 %), οι Κάτω Χώρες (483,7 %) και η Λιθουανία (340,8 %).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Από τη σύγκριση των εν λόγω αυξήσεων με την αντίστοιχη αλλαγή στον αριθμό των ελέγχων για τα οικεία κράτη μέλη προκύπτει ότι, εξαιρουμένης της Λιθουανίας (η οποία κατέγραψε μείωση της τάξης του 28,8 %), η Φινλανδία, η Τσεχική Δημοκρατία, η Λετονία και οι Κάτω Χώρες κατέγραψαν αυξήσεις στον αριθμό των ελέγχων κατά 43,7 %, 8,9 %, 1,8 % και 63,8 % αντίστοιχα. Επομένως, από τα δεδομένα καθίσταται προφανές ότι η Λιθουανία τουλάχιστον πρέπει να άλλαξε την πολιτική ελέγχων της, υιοθετώντας μια προσέγγιση βάσει κινδύνων, η οποία είχε ως αποτέλεσμα την έκδοση υψηλότερου ποσοστού απαγορεύσεων κυκλοφορίας.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Από την άλλη πλευρά, δεκατέσσερα κράτη μέλη παρουσίασαν μειώσεις στον αριθμό των απαγορεύσεων κυκλοφορίας που καταγράφηκαν, οι οποίες κυμάνθηκαν από 1,7 % στην περίπτωση της Γερμανίας έως 99,0 % στην περίπτωση της Πορτογαλίας, η οποία διαβίβασε μόλις 8 απαγορεύσεις κυκλοφορίας για την τρέχουσα περίοδο αναφοράς έναντι 776 κατά την περίοδο αναφοράς 2015-2016.</w:t>
      </w:r>
    </w:p>
    <w:p>
      <w:pPr>
        <w:spacing w:before="120" w:after="120" w:line="240" w:lineRule="auto"/>
        <w:jc w:val="both"/>
        <w:rPr>
          <w:rFonts w:ascii="Times New Roman" w:eastAsia="Times New Roman" w:hAnsi="Times New Roman"/>
          <w:noProof/>
          <w:sz w:val="24"/>
          <w:szCs w:val="24"/>
        </w:rPr>
      </w:pPr>
    </w:p>
    <w:p>
      <w:pPr>
        <w:pStyle w:val="Heading2"/>
        <w:rPr>
          <w:noProof/>
        </w:rPr>
      </w:pPr>
      <w:bookmarkStart w:id="10" w:name="_Toc33783645"/>
      <w:r>
        <w:rPr>
          <w:noProof/>
        </w:rPr>
        <w:t>5.4.</w:t>
      </w:r>
      <w:r>
        <w:rPr>
          <w:noProof/>
        </w:rPr>
        <w:tab/>
        <w:t>Προέλευση των οχημάτων στα οποία απαγορεύτηκε η κυκλοφορία</w:t>
      </w:r>
      <w:bookmarkEnd w:id="10"/>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Στον πίνακα 4 παρουσιάζονται συνοπτικά τα δεδομένα που υπέβαλαν τα κράτη μέλη και από τα οποία προκύπτει ότι το ποσοστό των απαγορεύσεων κυκλοφορίας εγχώριων οχημάτων κυμαίνεται από λιγότερο από 0,9 % στην Πορτογαλία, 1,1 % στη Βουλγαρία, 1,3 % στη Γερμανία και 2,3 % στη Σλοβενία έως άνω του 50,0 % στην Αυστρία, την Εσθονία, την Ιταλία και τη Μάλτα. Το ποσοστό των απαγορεύσεων κυκλοφορίας οχημάτων της ΕΕ (εξαιρουμένου του κράτους μέλους που υπέβαλε την έκθεση) κυμαίνεται από 1,4 % στο Λουξεμβούργο, 1,8 % στη Βουλγαρία και 2,1 % στην Πολωνία έως άνω του 50,0 % στην Αυστρία και την Εσθονία. Επισημαίνεται ότι η Εσθονία σημείωσε ποσοστό άνω του 90,0 % όσον αφορά την απαγόρευση κυκλοφορίας εγχώριων οχημάτων, και τούτο λόγω της μεθοδολογίας συλλογής δεδομένων, ενώ το συνολικό ποσοστό απαγόρευσης κυκλοφορίας εγχώριων οχημάτων σε όλα τα κράτη μέλη ανέρχεται στο 8,1 %, ποσοστό που παρουσιάζει μικρή αύξηση από το 7,9 % που είχε σημειωθεί κατά την περίοδο αναφοράς 2015-2016.</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Κατά την εξέταση των διαφορών ως προς τα ποσοστά απαγόρευσης κυκλοφορίας εγχώριων οχημάτων έναντι οχημάτων ταξινομημένων σε άλλο κράτος μέλος, διαπιστώνεται ότι έξι κράτη μέλη, συγκεκριμένα η Αυστρία, το Βέλγιο, η Γαλλία, η Γερμανία, το Λουξεμβούργο και το Ηνωμένο Βασίλειο, υπέβαλαν δεδομένα τα οποία υποδηλώνουν ενδεχομένως ότι τα οχήματα που είναι ταξινομημένα σε άλλο κράτος μέλος πληρούν υψηλότερα πρότυπα τεχνικού ελέγχου εφόσον αναφέρθηκαν μεγαλύτεροι αριθμοί απαγορεύσεων κυκλοφορίας εγχώριων οχημάτων. Τα κράτη μέλη που παρουσίασαν διαφορά άνω του 10 % ως προς το ποσοστό απαγόρευσης κυκλοφορίας εγχώριων οχημάτων ήταν η Δανία (13,7 %), η Εσθονία (23,9 %), η Ιταλία (39,2 %), η Μάλτα (36,2 %) και η Ισπανία (13,0 %). Απεναντίας, το Ηνωμένο Βασίλειο είναι το μόνο κράτος μέλος το οποίο παρουσίασε διαφορά της τάξης του 10,0 % περίπου ως προς το ποσοστό απαγόρευσης κυκλοφορίας οχημάτων ταξινομημένων σε άλλο κράτος μέλος (9,2 %).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Το μέσο ποσοστό απαγορεύσεων κυκλοφορίας για οχήματα της ΕΕ (εξαιρουμένων των εγχώριων οχημάτων) και στα 28 κράτη μέλη ανέρχεται στο 7,6 %, ποσοστό που συνιστά μείωση σε σχέση με το ποσοστό του 9,0 % που είχε καταγραφεί για την περίοδο αναφοράς 2015-2016.</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Η Κύπρος δεν πραγματοποίησε ελέγχους σε άλλα οχήματα της ΕΕ, κατά πάσα πιθανότητα λόγω της γεωγραφικής της θέσης εντός της Ένωσης. Ομοίως, ούτε η Πορτογαλία διαβίβασε δεδομένα για οχήματα τρίτων χωρών και, ως εκ τούτου, το ποσοστό απαγόρευσης κυκλοφορίας της τάξης του 7,6 % θα μπορούσε να είναι διαφοροποιημένο διότι δεν περιλαμβάνει δεδομένα από ένα κράτος μέλος. </w:t>
      </w:r>
    </w:p>
    <w:p>
      <w:pPr>
        <w:spacing w:before="120" w:after="120" w:line="240" w:lineRule="auto"/>
        <w:jc w:val="center"/>
        <w:rPr>
          <w:rFonts w:ascii="Times New Roman" w:eastAsia="Times New Roman" w:hAnsi="Times New Roman"/>
          <w:b/>
          <w:noProof/>
        </w:rPr>
      </w:pPr>
    </w:p>
    <w:p>
      <w:pPr>
        <w:spacing w:before="120" w:after="120" w:line="240" w:lineRule="auto"/>
        <w:jc w:val="center"/>
        <w:rPr>
          <w:rFonts w:ascii="Times New Roman" w:eastAsia="Times New Roman" w:hAnsi="Times New Roman"/>
          <w:noProof/>
          <w:sz w:val="24"/>
          <w:szCs w:val="24"/>
        </w:rPr>
      </w:pPr>
      <w:r>
        <w:rPr>
          <w:rFonts w:ascii="Times New Roman" w:hAnsi="Times New Roman"/>
          <w:b/>
          <w:noProof/>
        </w:rPr>
        <w:t>Πίνακας 4: Κατανομή των απαγορεύσεων κυκλοφορίας — Εγχώρια οχήματα έναντι οχημάτων της ΕΕ</w:t>
      </w:r>
    </w:p>
    <w:tbl>
      <w:tblPr>
        <w:tblW w:w="9555" w:type="dxa"/>
        <w:jc w:val="center"/>
        <w:tblLook w:val="04A0" w:firstRow="1" w:lastRow="0" w:firstColumn="1" w:lastColumn="0" w:noHBand="0" w:noVBand="1"/>
      </w:tblPr>
      <w:tblGrid>
        <w:gridCol w:w="1843"/>
        <w:gridCol w:w="1385"/>
        <w:gridCol w:w="1594"/>
        <w:gridCol w:w="1594"/>
        <w:gridCol w:w="1385"/>
        <w:gridCol w:w="1594"/>
        <w:gridCol w:w="1594"/>
      </w:tblGrid>
      <w:tr>
        <w:trPr>
          <w:trHeight w:val="315"/>
          <w:jc w:val="center"/>
        </w:trPr>
        <w:tc>
          <w:tcPr>
            <w:tcW w:w="184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sz w:val="24"/>
                <w:szCs w:val="24"/>
              </w:rPr>
            </w:pPr>
          </w:p>
        </w:tc>
        <w:tc>
          <w:tcPr>
            <w:tcW w:w="3946"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Απαγορεύσεις κυκλοφορίας εγχώριων οχημάτων</w:t>
            </w:r>
          </w:p>
        </w:tc>
        <w:tc>
          <w:tcPr>
            <w:tcW w:w="3766" w:type="dxa"/>
            <w:gridSpan w:val="3"/>
            <w:tcBorders>
              <w:top w:val="single" w:sz="8" w:space="0" w:color="auto"/>
              <w:left w:val="nil"/>
              <w:bottom w:val="single" w:sz="8" w:space="0" w:color="auto"/>
              <w:right w:val="single" w:sz="8" w:space="0" w:color="000000"/>
            </w:tcBorders>
            <w:shd w:val="clear" w:color="000000" w:fill="BFBFBF"/>
            <w:noWrap/>
            <w:vAlign w:val="bottom"/>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Απαγορεύσεις κυκλοφορίας οχημάτων της ΕΕ</w:t>
            </w:r>
          </w:p>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(εκτός του κράτους μέλους που υπέβαλε την έκθεση)</w:t>
            </w:r>
          </w:p>
        </w:tc>
      </w:tr>
      <w:tr>
        <w:trPr>
          <w:trHeight w:val="615"/>
          <w:jc w:val="center"/>
        </w:trPr>
        <w:tc>
          <w:tcPr>
            <w:tcW w:w="1843" w:type="dxa"/>
            <w:tcBorders>
              <w:top w:val="single" w:sz="8" w:space="0" w:color="auto"/>
              <w:left w:val="single" w:sz="8" w:space="0" w:color="auto"/>
              <w:bottom w:val="single" w:sz="8" w:space="0" w:color="auto"/>
              <w:right w:val="single" w:sz="8" w:space="0" w:color="auto"/>
            </w:tcBorders>
            <w:shd w:val="clear" w:color="000000" w:fill="BFBFBF"/>
            <w:vAlign w:val="center"/>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Κράτος μέλος που υπέβαλε την έκθεση</w:t>
            </w:r>
          </w:p>
        </w:tc>
        <w:tc>
          <w:tcPr>
            <w:tcW w:w="1276" w:type="dxa"/>
            <w:tcBorders>
              <w:top w:val="nil"/>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Αριθμός ελεγχθέντων εγχώριων οχημάτων</w:t>
            </w:r>
          </w:p>
        </w:tc>
        <w:tc>
          <w:tcPr>
            <w:tcW w:w="1378" w:type="dxa"/>
            <w:tcBorders>
              <w:top w:val="nil"/>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Αριθμός απαγορεύσεων κυκλοφορίας εγχώριων οχημάτων</w:t>
            </w:r>
          </w:p>
        </w:tc>
        <w:tc>
          <w:tcPr>
            <w:tcW w:w="1292" w:type="dxa"/>
            <w:tcBorders>
              <w:top w:val="nil"/>
              <w:left w:val="nil"/>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Ποσοστό απαγορεύσεων κυκλοφορίας εγχώριων οχημάτων (%)</w:t>
            </w:r>
          </w:p>
        </w:tc>
        <w:tc>
          <w:tcPr>
            <w:tcW w:w="1096" w:type="dxa"/>
            <w:tcBorders>
              <w:top w:val="nil"/>
              <w:left w:val="nil"/>
              <w:bottom w:val="nil"/>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Αριθμός ελεγχθέντων οχημάτων της ΕΕ</w:t>
            </w:r>
          </w:p>
        </w:tc>
        <w:tc>
          <w:tcPr>
            <w:tcW w:w="1378" w:type="dxa"/>
            <w:tcBorders>
              <w:top w:val="nil"/>
              <w:left w:val="nil"/>
              <w:bottom w:val="nil"/>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Αριθμός απαγορεύσεων κυκλοφορίας οχημάτων της ΕΕ</w:t>
            </w:r>
          </w:p>
        </w:tc>
        <w:tc>
          <w:tcPr>
            <w:tcW w:w="1292" w:type="dxa"/>
            <w:tcBorders>
              <w:top w:val="nil"/>
              <w:left w:val="nil"/>
              <w:bottom w:val="nil"/>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Ποσοστό απαγορεύσεων κυκλοφορίας οχημάτων της ΕΕ</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Αυστρία</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16 667</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10 297</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61,8 %</w:t>
            </w:r>
          </w:p>
        </w:tc>
        <w:tc>
          <w:tcPr>
            <w:tcW w:w="1096" w:type="dxa"/>
            <w:tcBorders>
              <w:top w:val="single" w:sz="8"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21 399</w:t>
            </w:r>
          </w:p>
        </w:tc>
        <w:tc>
          <w:tcPr>
            <w:tcW w:w="1378" w:type="dxa"/>
            <w:tcBorders>
              <w:top w:val="single" w:sz="8"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13 627</w:t>
            </w:r>
          </w:p>
        </w:tc>
        <w:tc>
          <w:tcPr>
            <w:tcW w:w="1292" w:type="dxa"/>
            <w:tcBorders>
              <w:top w:val="single" w:sz="8"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63,7 %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Βέλγιο</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3 825</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444</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11,6 %</w:t>
            </w:r>
          </w:p>
        </w:tc>
        <w:tc>
          <w:tcPr>
            <w:tcW w:w="109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7 118</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542</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7,6 %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Βουλγαρία</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97 469</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1 111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1,1 %</w:t>
            </w:r>
          </w:p>
        </w:tc>
        <w:tc>
          <w:tcPr>
            <w:tcW w:w="109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14 782</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263</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Κροατία</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18 418</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1 502</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8,2 %</w:t>
            </w:r>
          </w:p>
        </w:tc>
        <w:tc>
          <w:tcPr>
            <w:tcW w:w="109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3 751</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173</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4,6 %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Κύπρος</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5 984</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1 012</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16,9 %</w:t>
            </w:r>
          </w:p>
        </w:tc>
        <w:tc>
          <w:tcPr>
            <w:tcW w:w="109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 xml:space="preserve">μ.δ.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Τσεχική Δημοκρατία</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54 001</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5 126</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9,5 %</w:t>
            </w:r>
          </w:p>
        </w:tc>
        <w:tc>
          <w:tcPr>
            <w:tcW w:w="109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39 397</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2 362</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6,0 %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Δανία</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4 199</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1 167</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27,8 %</w:t>
            </w:r>
          </w:p>
        </w:tc>
        <w:tc>
          <w:tcPr>
            <w:tcW w:w="109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806</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114</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14,1 %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Εσθονία</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1 858</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1 715</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92,3 %</w:t>
            </w:r>
          </w:p>
        </w:tc>
        <w:tc>
          <w:tcPr>
            <w:tcW w:w="109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152</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104</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68,4 %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Φινλανδία</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7 408</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3 385</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45,7 %</w:t>
            </w:r>
          </w:p>
        </w:tc>
        <w:tc>
          <w:tcPr>
            <w:tcW w:w="109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2 102</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 xml:space="preserve">               730</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34,7 %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Γαλλία</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220 388</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23 915</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10,9 %</w:t>
            </w:r>
          </w:p>
        </w:tc>
        <w:tc>
          <w:tcPr>
            <w:tcW w:w="109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392 088</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25 677</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6,5 %</w:t>
            </w:r>
          </w:p>
        </w:tc>
      </w:tr>
      <w:tr>
        <w:trPr>
          <w:trHeight w:val="300"/>
          <w:jc w:val="center"/>
        </w:trPr>
        <w:tc>
          <w:tcPr>
            <w:tcW w:w="1843" w:type="dxa"/>
            <w:tcBorders>
              <w:top w:val="nil"/>
              <w:left w:val="single" w:sz="8" w:space="0" w:color="auto"/>
              <w:bottom w:val="single" w:sz="8"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Γερμανία</w:t>
            </w:r>
          </w:p>
        </w:tc>
        <w:tc>
          <w:tcPr>
            <w:tcW w:w="1276" w:type="dxa"/>
            <w:tcBorders>
              <w:top w:val="nil"/>
              <w:left w:val="nil"/>
              <w:bottom w:val="single" w:sz="8"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735 289</w:t>
            </w:r>
          </w:p>
        </w:tc>
        <w:tc>
          <w:tcPr>
            <w:tcW w:w="1378" w:type="dxa"/>
            <w:tcBorders>
              <w:top w:val="nil"/>
              <w:left w:val="nil"/>
              <w:bottom w:val="single" w:sz="8"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9 914</w:t>
            </w:r>
          </w:p>
        </w:tc>
        <w:tc>
          <w:tcPr>
            <w:tcW w:w="1292" w:type="dxa"/>
            <w:tcBorders>
              <w:top w:val="nil"/>
              <w:left w:val="nil"/>
              <w:bottom w:val="single" w:sz="8"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1,3 %</w:t>
            </w:r>
          </w:p>
        </w:tc>
        <w:tc>
          <w:tcPr>
            <w:tcW w:w="1096" w:type="dxa"/>
            <w:tcBorders>
              <w:top w:val="nil"/>
              <w:left w:val="nil"/>
              <w:bottom w:val="single" w:sz="8"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475 644</w:t>
            </w:r>
          </w:p>
        </w:tc>
        <w:tc>
          <w:tcPr>
            <w:tcW w:w="1378" w:type="dxa"/>
            <w:tcBorders>
              <w:top w:val="nil"/>
              <w:left w:val="nil"/>
              <w:bottom w:val="single" w:sz="8"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15 796</w:t>
            </w:r>
          </w:p>
        </w:tc>
        <w:tc>
          <w:tcPr>
            <w:tcW w:w="1292" w:type="dxa"/>
            <w:tcBorders>
              <w:top w:val="nil"/>
              <w:left w:val="nil"/>
              <w:bottom w:val="single" w:sz="8"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3,3 %</w:t>
            </w:r>
          </w:p>
        </w:tc>
      </w:tr>
      <w:tr>
        <w:trPr>
          <w:trHeight w:val="300"/>
          <w:jc w:val="center"/>
        </w:trPr>
        <w:tc>
          <w:tcPr>
            <w:tcW w:w="1843" w:type="dxa"/>
            <w:tcBorders>
              <w:top w:val="single" w:sz="8"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Ελλάδα</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204</w:t>
            </w:r>
          </w:p>
        </w:tc>
        <w:tc>
          <w:tcPr>
            <w:tcW w:w="1378" w:type="dxa"/>
            <w:tcBorders>
              <w:top w:val="single" w:sz="8"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w:t>
            </w:r>
          </w:p>
        </w:tc>
        <w:tc>
          <w:tcPr>
            <w:tcW w:w="1292" w:type="dxa"/>
            <w:tcBorders>
              <w:top w:val="single" w:sz="8"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2,5 %</w:t>
            </w:r>
          </w:p>
        </w:tc>
        <w:tc>
          <w:tcPr>
            <w:tcW w:w="1096" w:type="dxa"/>
            <w:tcBorders>
              <w:top w:val="single" w:sz="8"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156</w:t>
            </w:r>
          </w:p>
        </w:tc>
        <w:tc>
          <w:tcPr>
            <w:tcW w:w="1378" w:type="dxa"/>
            <w:tcBorders>
              <w:top w:val="single" w:sz="8"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w:t>
            </w:r>
          </w:p>
        </w:tc>
        <w:tc>
          <w:tcPr>
            <w:tcW w:w="1292" w:type="dxa"/>
            <w:tcBorders>
              <w:top w:val="single" w:sz="8"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Ουγγαρία</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148 164</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6 845</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4,6 %</w:t>
            </w:r>
          </w:p>
        </w:tc>
        <w:tc>
          <w:tcPr>
            <w:tcW w:w="109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51 517</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1 940</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3,8 %</w:t>
            </w:r>
          </w:p>
        </w:tc>
      </w:tr>
      <w:tr>
        <w:trPr>
          <w:trHeight w:val="300"/>
          <w:jc w:val="center"/>
        </w:trPr>
        <w:tc>
          <w:tcPr>
            <w:tcW w:w="1843"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Ιρλανδία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24 539</w:t>
            </w:r>
          </w:p>
        </w:tc>
        <w:tc>
          <w:tcPr>
            <w:tcW w:w="1378"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1 253</w:t>
            </w:r>
          </w:p>
        </w:tc>
        <w:tc>
          <w:tcPr>
            <w:tcW w:w="1292"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5,1 %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2 953</w:t>
            </w:r>
          </w:p>
        </w:tc>
        <w:tc>
          <w:tcPr>
            <w:tcW w:w="1378"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166</w:t>
            </w:r>
          </w:p>
        </w:tc>
        <w:tc>
          <w:tcPr>
            <w:tcW w:w="1292" w:type="dxa"/>
            <w:tcBorders>
              <w:top w:val="single" w:sz="4"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5,6 %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Ιταλία</w:t>
            </w:r>
          </w:p>
        </w:tc>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4 480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2 668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59,6 %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954</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195</w:t>
            </w:r>
          </w:p>
        </w:tc>
        <w:tc>
          <w:tcPr>
            <w:tcW w:w="1292"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20,4 %</w:t>
            </w:r>
          </w:p>
        </w:tc>
      </w:tr>
      <w:tr>
        <w:trPr>
          <w:trHeight w:val="300"/>
          <w:jc w:val="center"/>
        </w:trPr>
        <w:tc>
          <w:tcPr>
            <w:tcW w:w="1843" w:type="dxa"/>
            <w:tcBorders>
              <w:top w:val="single" w:sz="2"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Λετονία</w:t>
            </w:r>
          </w:p>
        </w:tc>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5 491</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511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9,3 %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2 908</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260</w:t>
            </w:r>
          </w:p>
        </w:tc>
        <w:tc>
          <w:tcPr>
            <w:tcW w:w="1292"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8,9 %</w:t>
            </w:r>
          </w:p>
        </w:tc>
      </w:tr>
      <w:tr>
        <w:trPr>
          <w:trHeight w:val="300"/>
          <w:jc w:val="center"/>
        </w:trPr>
        <w:tc>
          <w:tcPr>
            <w:tcW w:w="1843" w:type="dxa"/>
            <w:tcBorders>
              <w:top w:val="single" w:sz="4" w:space="0" w:color="auto"/>
              <w:left w:val="single" w:sz="8" w:space="0" w:color="auto"/>
              <w:bottom w:val="single" w:sz="2"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Λιθουανία</w:t>
            </w:r>
          </w:p>
        </w:tc>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35 081</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988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9 137</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290</w:t>
            </w:r>
          </w:p>
        </w:tc>
        <w:tc>
          <w:tcPr>
            <w:tcW w:w="1292"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3,2 %</w:t>
            </w:r>
          </w:p>
        </w:tc>
      </w:tr>
      <w:tr>
        <w:trPr>
          <w:trHeight w:val="300"/>
          <w:jc w:val="center"/>
        </w:trPr>
        <w:tc>
          <w:tcPr>
            <w:tcW w:w="1843" w:type="dxa"/>
            <w:tcBorders>
              <w:top w:val="single" w:sz="2"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Λουξεμβούργο</w:t>
            </w:r>
          </w:p>
        </w:tc>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 xml:space="preserve">             303</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3,0 %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1 726</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w:t>
            </w:r>
          </w:p>
        </w:tc>
        <w:tc>
          <w:tcPr>
            <w:tcW w:w="1292"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Μάλτα</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6 277</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3 168</w:t>
            </w:r>
          </w:p>
        </w:tc>
        <w:tc>
          <w:tcPr>
            <w:tcW w:w="1292"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50,5 %</w:t>
            </w:r>
          </w:p>
        </w:tc>
        <w:tc>
          <w:tcPr>
            <w:tcW w:w="1096" w:type="dxa"/>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14,3 %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Κάτω Χώρες</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7 816</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562</w:t>
            </w:r>
          </w:p>
        </w:tc>
        <w:tc>
          <w:tcPr>
            <w:tcW w:w="1292"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7,2 %</w:t>
            </w:r>
          </w:p>
        </w:tc>
        <w:tc>
          <w:tcPr>
            <w:tcW w:w="1096" w:type="dxa"/>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2 993</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405</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13,5 %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Πολωνία</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374 840</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20 588</w:t>
            </w:r>
          </w:p>
        </w:tc>
        <w:tc>
          <w:tcPr>
            <w:tcW w:w="1292"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5,5 %</w:t>
            </w:r>
          </w:p>
        </w:tc>
        <w:tc>
          <w:tcPr>
            <w:tcW w:w="1096" w:type="dxa"/>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158 367</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3 378</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2,1 %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Πορτογαλία</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935</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w:t>
            </w:r>
          </w:p>
        </w:tc>
        <w:tc>
          <w:tcPr>
            <w:tcW w:w="1292"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0,9 %</w:t>
            </w:r>
          </w:p>
        </w:tc>
        <w:tc>
          <w:tcPr>
            <w:tcW w:w="1096" w:type="dxa"/>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27</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μ.δ.</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Ρουμανία</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18 686</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1 714</w:t>
            </w:r>
          </w:p>
        </w:tc>
        <w:tc>
          <w:tcPr>
            <w:tcW w:w="1292"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9,2 %</w:t>
            </w:r>
          </w:p>
        </w:tc>
        <w:tc>
          <w:tcPr>
            <w:tcW w:w="1096" w:type="dxa"/>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513</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43</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8,4 %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Σλοβακία</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14 923</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3 115</w:t>
            </w:r>
          </w:p>
        </w:tc>
        <w:tc>
          <w:tcPr>
            <w:tcW w:w="1292"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20,9 %</w:t>
            </w:r>
          </w:p>
        </w:tc>
        <w:tc>
          <w:tcPr>
            <w:tcW w:w="1096" w:type="dxa"/>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8 659</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1 460</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16,9 %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Σλοβενία</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4 271</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98</w:t>
            </w:r>
          </w:p>
        </w:tc>
        <w:tc>
          <w:tcPr>
            <w:tcW w:w="1292"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2,3 %</w:t>
            </w:r>
          </w:p>
        </w:tc>
        <w:tc>
          <w:tcPr>
            <w:tcW w:w="1096" w:type="dxa"/>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1 028</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49</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4,8 %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Ισπανία</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316 637</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58 917</w:t>
            </w:r>
          </w:p>
        </w:tc>
        <w:tc>
          <w:tcPr>
            <w:tcW w:w="1292"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18,6 %</w:t>
            </w:r>
          </w:p>
        </w:tc>
        <w:tc>
          <w:tcPr>
            <w:tcW w:w="1096" w:type="dxa"/>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28 983</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1 629</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5,6 %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Σουηδία</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37 658</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1 622</w:t>
            </w:r>
          </w:p>
        </w:tc>
        <w:tc>
          <w:tcPr>
            <w:tcW w:w="1292"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4,3 %</w:t>
            </w:r>
          </w:p>
        </w:tc>
        <w:tc>
          <w:tcPr>
            <w:tcW w:w="1096" w:type="dxa"/>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6 727</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190</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Ηνωμένο Βασίλειο</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131 402</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23 357</w:t>
            </w:r>
          </w:p>
        </w:tc>
        <w:tc>
          <w:tcPr>
            <w:tcW w:w="1292"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17,8 %</w:t>
            </w:r>
          </w:p>
        </w:tc>
        <w:tc>
          <w:tcPr>
            <w:tcW w:w="1096" w:type="dxa"/>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122 409</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33 062</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 xml:space="preserve">27,0 % </w:t>
            </w:r>
          </w:p>
        </w:tc>
      </w:tr>
      <w:tr>
        <w:trPr>
          <w:trHeight w:val="315"/>
          <w:jc w:val="center"/>
        </w:trPr>
        <w:tc>
          <w:tcPr>
            <w:tcW w:w="1843"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Σύνολα</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2 297 213</w:t>
            </w:r>
          </w:p>
        </w:tc>
        <w:tc>
          <w:tcPr>
            <w:tcW w:w="13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185 016</w:t>
            </w:r>
          </w:p>
        </w:tc>
        <w:tc>
          <w:tcPr>
            <w:tcW w:w="129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8,1 %</w:t>
            </w:r>
          </w:p>
        </w:tc>
        <w:tc>
          <w:tcPr>
            <w:tcW w:w="1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1 356 324</w:t>
            </w:r>
          </w:p>
        </w:tc>
        <w:tc>
          <w:tcPr>
            <w:tcW w:w="137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102 491</w:t>
            </w:r>
          </w:p>
        </w:tc>
        <w:tc>
          <w:tcPr>
            <w:tcW w:w="1292" w:type="dxa"/>
            <w:tcBorders>
              <w:top w:val="single" w:sz="4" w:space="0" w:color="auto"/>
              <w:left w:val="nil"/>
              <w:bottom w:val="single" w:sz="4" w:space="0" w:color="auto"/>
              <w:right w:val="single" w:sz="8" w:space="0" w:color="auto"/>
            </w:tcBorders>
            <w:shd w:val="clear" w:color="auto" w:fill="BFBFBF" w:themeFill="background1" w:themeFillShade="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7,6 %</w:t>
            </w:r>
          </w:p>
        </w:tc>
      </w:tr>
      <w:tr>
        <w:trPr>
          <w:trHeight w:val="315"/>
          <w:jc w:val="center"/>
        </w:trPr>
        <w:tc>
          <w:tcPr>
            <w:tcW w:w="1843" w:type="dxa"/>
            <w:tcBorders>
              <w:top w:val="single" w:sz="4" w:space="0" w:color="auto"/>
              <w:left w:val="single" w:sz="8" w:space="0" w:color="auto"/>
              <w:bottom w:val="single" w:sz="4" w:space="0" w:color="auto"/>
              <w:right w:val="single" w:sz="8"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FF0000"/>
              </w:rPr>
              <w:t>Ελβετία</w:t>
            </w:r>
          </w:p>
        </w:tc>
        <w:tc>
          <w:tcPr>
            <w:tcW w:w="1276"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85 873</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3 436</w:t>
            </w:r>
          </w:p>
        </w:tc>
        <w:tc>
          <w:tcPr>
            <w:tcW w:w="1292"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4,0 %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91 914</w:t>
            </w:r>
          </w:p>
        </w:tc>
        <w:tc>
          <w:tcPr>
            <w:tcW w:w="1378"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8 492</w:t>
            </w:r>
          </w:p>
        </w:tc>
        <w:tc>
          <w:tcPr>
            <w:tcW w:w="1292" w:type="dxa"/>
            <w:tcBorders>
              <w:top w:val="single" w:sz="4"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9,2 %</w:t>
            </w:r>
          </w:p>
        </w:tc>
      </w:tr>
      <w:tr>
        <w:trPr>
          <w:trHeight w:val="315"/>
          <w:jc w:val="center"/>
        </w:trPr>
        <w:tc>
          <w:tcPr>
            <w:tcW w:w="1843" w:type="dxa"/>
            <w:tcBorders>
              <w:top w:val="single" w:sz="4" w:space="0" w:color="auto"/>
              <w:left w:val="single" w:sz="8" w:space="0" w:color="auto"/>
              <w:bottom w:val="single" w:sz="8" w:space="0" w:color="auto"/>
              <w:right w:val="single" w:sz="8"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FF0000"/>
              </w:rPr>
            </w:pPr>
            <w:r>
              <w:rPr>
                <w:rFonts w:ascii="Times New Roman" w:hAnsi="Times New Roman"/>
                <w:b/>
                <w:bCs/>
                <w:noProof/>
              </w:rPr>
              <w:t xml:space="preserve">Σύνολα </w:t>
            </w:r>
          </w:p>
        </w:tc>
        <w:tc>
          <w:tcPr>
            <w:tcW w:w="1276" w:type="dxa"/>
            <w:tcBorders>
              <w:top w:val="single" w:sz="4" w:space="0" w:color="auto"/>
              <w:left w:val="nil"/>
              <w:bottom w:val="single" w:sz="8" w:space="0" w:color="auto"/>
              <w:right w:val="single" w:sz="4" w:space="0" w:color="auto"/>
            </w:tcBorders>
            <w:shd w:val="clear" w:color="auto" w:fill="BFBFBF" w:themeFill="background1" w:themeFillShade="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2 383 086</w:t>
            </w:r>
          </w:p>
        </w:tc>
        <w:tc>
          <w:tcPr>
            <w:tcW w:w="1378" w:type="dxa"/>
            <w:tcBorders>
              <w:top w:val="single" w:sz="4" w:space="0" w:color="auto"/>
              <w:left w:val="single" w:sz="4" w:space="0" w:color="auto"/>
              <w:bottom w:val="single" w:sz="8" w:space="0" w:color="auto"/>
              <w:right w:val="single" w:sz="4" w:space="0" w:color="auto"/>
            </w:tcBorders>
            <w:shd w:val="clear" w:color="auto" w:fill="BFBFBF" w:themeFill="background1" w:themeFillShade="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188 452</w:t>
            </w:r>
          </w:p>
        </w:tc>
        <w:tc>
          <w:tcPr>
            <w:tcW w:w="1292" w:type="dxa"/>
            <w:tcBorders>
              <w:top w:val="single" w:sz="4" w:space="0" w:color="auto"/>
              <w:left w:val="nil"/>
              <w:bottom w:val="single" w:sz="8" w:space="0" w:color="auto"/>
              <w:right w:val="single" w:sz="4" w:space="0" w:color="auto"/>
            </w:tcBorders>
            <w:shd w:val="clear" w:color="auto" w:fill="BFBFBF" w:themeFill="background1" w:themeFillShade="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7,9 %</w:t>
            </w:r>
          </w:p>
        </w:tc>
        <w:tc>
          <w:tcPr>
            <w:tcW w:w="1096" w:type="dxa"/>
            <w:tcBorders>
              <w:top w:val="single" w:sz="4" w:space="0" w:color="auto"/>
              <w:left w:val="single" w:sz="4" w:space="0" w:color="auto"/>
              <w:bottom w:val="single" w:sz="8" w:space="0" w:color="auto"/>
              <w:right w:val="single" w:sz="4" w:space="0" w:color="auto"/>
            </w:tcBorders>
            <w:shd w:val="clear" w:color="auto" w:fill="BFBFBF" w:themeFill="background1" w:themeFillShade="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1 448 238</w:t>
            </w:r>
          </w:p>
        </w:tc>
        <w:tc>
          <w:tcPr>
            <w:tcW w:w="1378" w:type="dxa"/>
            <w:tcBorders>
              <w:top w:val="single" w:sz="4" w:space="0" w:color="auto"/>
              <w:left w:val="nil"/>
              <w:bottom w:val="single" w:sz="8" w:space="0" w:color="auto"/>
              <w:right w:val="single" w:sz="4" w:space="0" w:color="auto"/>
            </w:tcBorders>
            <w:shd w:val="clear" w:color="auto" w:fill="BFBFBF" w:themeFill="background1" w:themeFillShade="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110 983</w:t>
            </w:r>
          </w:p>
        </w:tc>
        <w:tc>
          <w:tcPr>
            <w:tcW w:w="1292" w:type="dxa"/>
            <w:tcBorders>
              <w:top w:val="single" w:sz="4" w:space="0" w:color="auto"/>
              <w:left w:val="nil"/>
              <w:bottom w:val="single" w:sz="8" w:space="0" w:color="auto"/>
              <w:right w:val="single" w:sz="8" w:space="0" w:color="auto"/>
            </w:tcBorders>
            <w:shd w:val="clear" w:color="auto" w:fill="BFBFBF" w:themeFill="background1" w:themeFillShade="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7,7 %</w:t>
            </w:r>
          </w:p>
        </w:tc>
      </w:tr>
    </w:tbl>
    <w:p>
      <w:pPr>
        <w:spacing w:before="120" w:after="120" w:line="240" w:lineRule="auto"/>
        <w:jc w:val="both"/>
        <w:rPr>
          <w:rFonts w:ascii="Times New Roman" w:eastAsia="Times New Roman" w:hAnsi="Times New Roman"/>
          <w:noProof/>
          <w:sz w:val="24"/>
          <w:szCs w:val="24"/>
        </w:rPr>
      </w:pP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Όπως προαναφέρθηκε, είκοσι κράτη μέλη υπέβαλαν επίσης δεδομένα σχετικά με τους ελέγχους που διενεργήθηκαν σε οχήματα ταξινομημένα σε χώρες εκτός της ΕΕ. Περισσότερες λεπτομέρειες περιλαμβάνονται στον πίνακα 5 κατωτέρω. Διενεργήθηκαν έλεγχοι σε 327 273 οχήματα τρίτων χωρών οι οποίοι οδήγησαν στην έκδοση 16 813 απαγορεύσεων κυκλοφορίας, ήτοι </w:t>
      </w:r>
      <w:r>
        <w:rPr>
          <w:rFonts w:ascii="Times New Roman" w:hAnsi="Times New Roman"/>
          <w:b/>
          <w:noProof/>
          <w:sz w:val="24"/>
          <w:szCs w:val="24"/>
        </w:rPr>
        <w:t>ποσοστό απαγορεύσεων κυκλοφορίας 5,1 %</w:t>
      </w:r>
      <w:r>
        <w:rPr>
          <w:rFonts w:ascii="Times New Roman" w:hAnsi="Times New Roman"/>
          <w:noProof/>
          <w:sz w:val="24"/>
          <w:szCs w:val="24"/>
        </w:rPr>
        <w:t xml:space="preserve">, έναντι ποσοστού 8,1 % για εγχώρια οχήματα και 7,6 % για οχήματα της ΕΕ (εξαιρουμένων των εγχώριων οχημάτων). Τα ποσοστά απαγόρευσης κυκλοφορίας οχημάτων τρίτων χωρών έναντι οχημάτων της ΕΕ αυξήθηκαν κατά περισσότερο από 10,0 % στην Αυστρία (10,7 %), την Εσθονία (23,1 %) και τη Φινλανδία (15,1 %), ενώ στην Ιταλία παρατηρήθηκε μείωση της τάξης του 12,1 %.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Τα δεδομένα που υπέβαλαν τα κράτη μέλη όσον αφορά τον αριθμό των ελέγχων που διενεργήθηκαν σε οχήματα ταξινομημένα σε τρίτες χώρες εξακολουθούν να μην είναι επαρκή ώστε να μπορούν συναχθούν σημαντικά συμπεράσματα ως προς την τεχνική τους κατάσταση. Ωστόσο, 9 περισσότερα κράτη μέλη υπέβαλαν δεδομένα για οχήματα εκτός της ΕΕ σε σύγκριση με την περίοδο αναφοράς 2015-2016. </w:t>
      </w:r>
    </w:p>
    <w:p>
      <w:pPr>
        <w:spacing w:before="120" w:after="120" w:line="240" w:lineRule="auto"/>
        <w:jc w:val="both"/>
        <w:rPr>
          <w:rFonts w:ascii="Times New Roman" w:eastAsia="Times New Roman" w:hAnsi="Times New Roman"/>
          <w:noProof/>
          <w:sz w:val="24"/>
          <w:szCs w:val="24"/>
        </w:rPr>
      </w:pPr>
    </w:p>
    <w:p>
      <w:pPr>
        <w:spacing w:before="120" w:after="120" w:line="240" w:lineRule="auto"/>
        <w:jc w:val="center"/>
        <w:rPr>
          <w:rFonts w:ascii="Times New Roman" w:eastAsia="Times New Roman" w:hAnsi="Times New Roman"/>
          <w:noProof/>
        </w:rPr>
      </w:pPr>
      <w:r>
        <w:rPr>
          <w:rFonts w:ascii="Times New Roman" w:hAnsi="Times New Roman"/>
          <w:b/>
          <w:noProof/>
        </w:rPr>
        <w:t>Πίνακας 5: Κατανομή απαγορεύσεων κυκλοφορίας — Οχήματα τρίτων χωρών</w:t>
      </w:r>
    </w:p>
    <w:p>
      <w:pPr>
        <w:spacing w:before="120" w:after="120" w:line="240" w:lineRule="auto"/>
        <w:jc w:val="both"/>
        <w:rPr>
          <w:rFonts w:ascii="Times New Roman" w:eastAsia="Times New Roman" w:hAnsi="Times New Roman"/>
          <w:noProof/>
          <w:sz w:val="24"/>
          <w:szCs w:val="24"/>
        </w:rPr>
      </w:pPr>
    </w:p>
    <w:tbl>
      <w:tblPr>
        <w:tblW w:w="7720" w:type="dxa"/>
        <w:jc w:val="center"/>
        <w:tblLook w:val="04A0" w:firstRow="1" w:lastRow="0" w:firstColumn="1" w:lastColumn="0" w:noHBand="0" w:noVBand="1"/>
      </w:tblPr>
      <w:tblGrid>
        <w:gridCol w:w="2160"/>
        <w:gridCol w:w="1701"/>
        <w:gridCol w:w="1779"/>
        <w:gridCol w:w="2080"/>
      </w:tblGrid>
      <w:tr>
        <w:trPr>
          <w:trHeight w:val="315"/>
          <w:jc w:val="center"/>
        </w:trPr>
        <w:tc>
          <w:tcPr>
            <w:tcW w:w="2160"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sz w:val="24"/>
                <w:szCs w:val="24"/>
              </w:rPr>
            </w:pPr>
          </w:p>
        </w:tc>
        <w:tc>
          <w:tcPr>
            <w:tcW w:w="5560"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Απαγορεύσεις κυκλοφορίας (Οχήματα ταξινομημένα εκτός ΕΕ)</w:t>
            </w:r>
          </w:p>
        </w:tc>
      </w:tr>
      <w:tr>
        <w:trPr>
          <w:trHeight w:val="615"/>
          <w:jc w:val="center"/>
        </w:trPr>
        <w:tc>
          <w:tcPr>
            <w:tcW w:w="2160" w:type="dxa"/>
            <w:tcBorders>
              <w:top w:val="single" w:sz="8" w:space="0" w:color="auto"/>
              <w:left w:val="single" w:sz="8" w:space="0" w:color="auto"/>
              <w:bottom w:val="single" w:sz="8" w:space="0" w:color="auto"/>
              <w:right w:val="single" w:sz="8" w:space="0" w:color="auto"/>
            </w:tcBorders>
            <w:shd w:val="clear" w:color="000000" w:fill="BFBFBF"/>
            <w:vAlign w:val="center"/>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Κράτος μέλος που υπέβαλε την έκθεση</w:t>
            </w:r>
          </w:p>
        </w:tc>
        <w:tc>
          <w:tcPr>
            <w:tcW w:w="1701" w:type="dxa"/>
            <w:tcBorders>
              <w:top w:val="nil"/>
              <w:left w:val="nil"/>
              <w:bottom w:val="single" w:sz="8" w:space="0" w:color="auto"/>
              <w:right w:val="single" w:sz="4" w:space="0" w:color="auto"/>
            </w:tcBorders>
            <w:shd w:val="clear" w:color="000000" w:fill="BFBFBF"/>
            <w:vAlign w:val="center"/>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Αριθμός ελεγχθέντων οχημάτων τρίτων χωρών</w:t>
            </w:r>
          </w:p>
        </w:tc>
        <w:tc>
          <w:tcPr>
            <w:tcW w:w="1779" w:type="dxa"/>
            <w:tcBorders>
              <w:top w:val="nil"/>
              <w:left w:val="nil"/>
              <w:bottom w:val="single" w:sz="8" w:space="0" w:color="auto"/>
              <w:right w:val="single" w:sz="4" w:space="0" w:color="auto"/>
            </w:tcBorders>
            <w:shd w:val="clear" w:color="000000" w:fill="BFBFBF"/>
            <w:vAlign w:val="center"/>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Αριθμός απαγορεύσεων κυκλοφορίας οχημάτων τρίτων χωρών</w:t>
            </w:r>
          </w:p>
        </w:tc>
        <w:tc>
          <w:tcPr>
            <w:tcW w:w="2080" w:type="dxa"/>
            <w:tcBorders>
              <w:top w:val="nil"/>
              <w:left w:val="nil"/>
              <w:bottom w:val="single" w:sz="8" w:space="0" w:color="auto"/>
              <w:right w:val="single" w:sz="8" w:space="0" w:color="auto"/>
            </w:tcBorders>
            <w:shd w:val="clear" w:color="000000" w:fill="BFBFBF"/>
            <w:vAlign w:val="center"/>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Ποσοστό απαγορεύσεων κυκλοφορίας οχημάτων τρίτων χωρών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Αυστρία</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1 688</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1 256</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74,4 %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Βέλγιο</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339</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29</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8,6 %</w:t>
            </w:r>
          </w:p>
        </w:tc>
      </w:tr>
      <w:tr>
        <w:trPr>
          <w:trHeight w:val="300"/>
          <w:jc w:val="center"/>
        </w:trPr>
        <w:tc>
          <w:tcPr>
            <w:tcW w:w="2160" w:type="dxa"/>
            <w:tcBorders>
              <w:top w:val="nil"/>
              <w:left w:val="single" w:sz="8" w:space="0" w:color="auto"/>
              <w:bottom w:val="single" w:sz="8"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Βουλγαρία</w:t>
            </w:r>
          </w:p>
        </w:tc>
        <w:tc>
          <w:tcPr>
            <w:tcW w:w="1701" w:type="dxa"/>
            <w:tcBorders>
              <w:top w:val="nil"/>
              <w:left w:val="nil"/>
              <w:bottom w:val="single" w:sz="8" w:space="0" w:color="auto"/>
              <w:right w:val="single" w:sz="4" w:space="0" w:color="auto"/>
            </w:tcBorders>
            <w:shd w:val="clear" w:color="auto" w:fill="auto"/>
            <w:noWrap/>
            <w:vAlign w:val="bottom"/>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 xml:space="preserve">                41 497</w:t>
            </w:r>
          </w:p>
        </w:tc>
        <w:tc>
          <w:tcPr>
            <w:tcW w:w="1779" w:type="dxa"/>
            <w:tcBorders>
              <w:top w:val="nil"/>
              <w:left w:val="nil"/>
              <w:bottom w:val="single" w:sz="8"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346</w:t>
            </w:r>
          </w:p>
        </w:tc>
        <w:tc>
          <w:tcPr>
            <w:tcW w:w="2080" w:type="dxa"/>
            <w:tcBorders>
              <w:top w:val="nil"/>
              <w:left w:val="nil"/>
              <w:bottom w:val="single" w:sz="8"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0,8 %</w:t>
            </w:r>
          </w:p>
        </w:tc>
      </w:tr>
      <w:tr>
        <w:trPr>
          <w:trHeight w:val="300"/>
          <w:jc w:val="center"/>
        </w:trPr>
        <w:tc>
          <w:tcPr>
            <w:tcW w:w="2160" w:type="dxa"/>
            <w:tcBorders>
              <w:top w:val="single" w:sz="8"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Κροατία</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single" w:sz="8"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single" w:sz="8"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μ.δ.</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Κύπρος</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μ.δ.</w:t>
            </w:r>
          </w:p>
        </w:tc>
      </w:tr>
      <w:tr>
        <w:trPr>
          <w:trHeight w:val="300"/>
          <w:jc w:val="center"/>
        </w:trPr>
        <w:tc>
          <w:tcPr>
            <w:tcW w:w="2160"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Τσεχική Δημοκρατία</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 xml:space="preserve"> 2 863</w:t>
            </w:r>
          </w:p>
        </w:tc>
        <w:tc>
          <w:tcPr>
            <w:tcW w:w="1779"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132</w:t>
            </w:r>
          </w:p>
        </w:tc>
        <w:tc>
          <w:tcPr>
            <w:tcW w:w="2080" w:type="dxa"/>
            <w:tcBorders>
              <w:top w:val="single" w:sz="4"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4,6 %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Δανία</w:t>
            </w: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49</w:t>
            </w:r>
          </w:p>
        </w:tc>
        <w:tc>
          <w:tcPr>
            <w:tcW w:w="1779"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w:t>
            </w:r>
          </w:p>
        </w:tc>
        <w:tc>
          <w:tcPr>
            <w:tcW w:w="2080" w:type="dxa"/>
            <w:tcBorders>
              <w:top w:val="single" w:sz="4"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22,4 %</w:t>
            </w:r>
          </w:p>
        </w:tc>
      </w:tr>
      <w:tr>
        <w:trPr>
          <w:trHeight w:val="300"/>
          <w:jc w:val="center"/>
        </w:trPr>
        <w:tc>
          <w:tcPr>
            <w:tcW w:w="2160" w:type="dxa"/>
            <w:tcBorders>
              <w:top w:val="single" w:sz="2" w:space="0" w:color="auto"/>
              <w:left w:val="single" w:sz="8" w:space="0" w:color="auto"/>
              <w:bottom w:val="single" w:sz="2"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Εσθονία</w:t>
            </w: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271</w:t>
            </w:r>
          </w:p>
        </w:tc>
        <w:tc>
          <w:tcPr>
            <w:tcW w:w="1779"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248</w:t>
            </w:r>
          </w:p>
        </w:tc>
        <w:tc>
          <w:tcPr>
            <w:tcW w:w="2080" w:type="dxa"/>
            <w:tcBorders>
              <w:top w:val="single" w:sz="4"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91,5 %</w:t>
            </w:r>
          </w:p>
        </w:tc>
      </w:tr>
      <w:tr>
        <w:trPr>
          <w:trHeight w:val="300"/>
          <w:jc w:val="center"/>
        </w:trPr>
        <w:tc>
          <w:tcPr>
            <w:tcW w:w="2160" w:type="dxa"/>
            <w:tcBorders>
              <w:top w:val="single" w:sz="2"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Φινλανδία</w:t>
            </w: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2 550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1 269</w:t>
            </w:r>
          </w:p>
        </w:tc>
        <w:tc>
          <w:tcPr>
            <w:tcW w:w="2080"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49,8 %</w:t>
            </w:r>
          </w:p>
        </w:tc>
      </w:tr>
      <w:tr>
        <w:trPr>
          <w:trHeight w:val="300"/>
          <w:jc w:val="center"/>
        </w:trPr>
        <w:tc>
          <w:tcPr>
            <w:tcW w:w="2160"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Γαλλία</w:t>
            </w: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μ.δ.</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Γερμανία</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36 573</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1 202</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3,3 %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Ελλάδα</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Times New Roman" w:eastAsia="Times New Roman" w:hAnsi="Times New Roman" w:cs="Times New Roman"/>
                <w:noProof/>
                <w:color w:val="000000"/>
              </w:rPr>
            </w:pPr>
            <w:r>
              <w:rPr>
                <w:rFonts w:ascii="Times New Roman" w:hAnsi="Times New Roman"/>
                <w:noProof/>
              </w:rPr>
              <w:t xml:space="preserve">                         0</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μ.δ.</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Ουγγαρία</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2 642</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Ιρλανδία</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11,1 %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Ιταλία</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8,3 %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Λετονία</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405</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62</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15,3 %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Λιθουανία</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6 020</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93</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Λουξεμβούργο</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78</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Μάλτα</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μ.δ.</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Κάτω Χώρες</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180</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37</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20,6 %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Πολωνία</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225 207</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10 051</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Πορτογαλία</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μ.δ.</w:t>
            </w:r>
          </w:p>
        </w:tc>
      </w:tr>
      <w:tr>
        <w:trPr>
          <w:trHeight w:val="300"/>
          <w:jc w:val="center"/>
        </w:trPr>
        <w:tc>
          <w:tcPr>
            <w:tcW w:w="2160" w:type="dxa"/>
            <w:tcBorders>
              <w:top w:val="nil"/>
              <w:left w:val="single" w:sz="8" w:space="0" w:color="auto"/>
              <w:bottom w:val="single" w:sz="2"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Ρουμανία</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336</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47</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14,0 %</w:t>
            </w:r>
          </w:p>
        </w:tc>
      </w:tr>
      <w:tr>
        <w:trPr>
          <w:trHeight w:val="300"/>
          <w:jc w:val="center"/>
        </w:trPr>
        <w:tc>
          <w:tcPr>
            <w:tcW w:w="2160" w:type="dxa"/>
            <w:tcBorders>
              <w:top w:val="single" w:sz="2" w:space="0" w:color="auto"/>
              <w:left w:val="single" w:sz="8" w:space="0" w:color="auto"/>
              <w:bottom w:val="single" w:sz="2"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Σλοβακία</w:t>
            </w: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μ.δ.</w:t>
            </w:r>
          </w:p>
        </w:tc>
      </w:tr>
      <w:tr>
        <w:trPr>
          <w:trHeight w:val="300"/>
          <w:jc w:val="center"/>
        </w:trPr>
        <w:tc>
          <w:tcPr>
            <w:tcW w:w="2160" w:type="dxa"/>
            <w:tcBorders>
              <w:top w:val="single" w:sz="2" w:space="0" w:color="auto"/>
              <w:left w:val="single" w:sz="8" w:space="0" w:color="auto"/>
              <w:bottom w:val="single" w:sz="2"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Σλοβενία</w:t>
            </w: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103</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w:t>
            </w:r>
          </w:p>
        </w:tc>
        <w:tc>
          <w:tcPr>
            <w:tcW w:w="2080"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6,8 %</w:t>
            </w:r>
          </w:p>
        </w:tc>
      </w:tr>
      <w:tr>
        <w:trPr>
          <w:trHeight w:val="300"/>
          <w:jc w:val="center"/>
        </w:trPr>
        <w:tc>
          <w:tcPr>
            <w:tcW w:w="2160" w:type="dxa"/>
            <w:tcBorders>
              <w:top w:val="single" w:sz="2" w:space="0" w:color="auto"/>
              <w:left w:val="single" w:sz="8" w:space="0" w:color="auto"/>
              <w:bottom w:val="single" w:sz="2"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Ισπανία</w:t>
            </w:r>
          </w:p>
        </w:tc>
        <w:tc>
          <w:tcPr>
            <w:tcW w:w="1701" w:type="dxa"/>
            <w:tcBorders>
              <w:top w:val="single" w:sz="4" w:space="0" w:color="auto"/>
              <w:left w:val="single" w:sz="8" w:space="0" w:color="auto"/>
              <w:bottom w:val="single" w:sz="6" w:space="0" w:color="auto"/>
              <w:right w:val="single" w:sz="6"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single" w:sz="4" w:space="0" w:color="auto"/>
              <w:left w:val="single" w:sz="6" w:space="0" w:color="auto"/>
              <w:bottom w:val="single" w:sz="6" w:space="0" w:color="auto"/>
              <w:right w:val="single" w:sz="4" w:space="0" w:color="000000"/>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single" w:sz="4" w:space="0" w:color="auto"/>
              <w:left w:val="single" w:sz="4" w:space="0" w:color="000000"/>
              <w:bottom w:val="single" w:sz="4" w:space="0" w:color="000000"/>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μ.δ.</w:t>
            </w:r>
          </w:p>
        </w:tc>
      </w:tr>
      <w:tr>
        <w:trPr>
          <w:trHeight w:val="300"/>
          <w:jc w:val="center"/>
        </w:trPr>
        <w:tc>
          <w:tcPr>
            <w:tcW w:w="2160" w:type="dxa"/>
            <w:tcBorders>
              <w:top w:val="single" w:sz="2" w:space="0" w:color="auto"/>
              <w:left w:val="single" w:sz="8" w:space="0" w:color="auto"/>
              <w:bottom w:val="single" w:sz="2"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Σουηδία</w:t>
            </w:r>
          </w:p>
        </w:tc>
        <w:tc>
          <w:tcPr>
            <w:tcW w:w="1701" w:type="dxa"/>
            <w:tcBorders>
              <w:top w:val="single" w:sz="6"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326</w:t>
            </w:r>
          </w:p>
        </w:tc>
        <w:tc>
          <w:tcPr>
            <w:tcW w:w="1779" w:type="dxa"/>
            <w:tcBorders>
              <w:top w:val="single" w:sz="6"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w:t>
            </w:r>
          </w:p>
        </w:tc>
        <w:tc>
          <w:tcPr>
            <w:tcW w:w="2080" w:type="dxa"/>
            <w:tcBorders>
              <w:top w:val="single" w:sz="4" w:space="0" w:color="000000"/>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4,6 %</w:t>
            </w:r>
          </w:p>
        </w:tc>
      </w:tr>
      <w:tr>
        <w:trPr>
          <w:trHeight w:val="300"/>
          <w:jc w:val="center"/>
        </w:trPr>
        <w:tc>
          <w:tcPr>
            <w:tcW w:w="2160" w:type="dxa"/>
            <w:tcBorders>
              <w:top w:val="single" w:sz="2"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Ηνωμένο Βασίλειο</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6 125</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1 961</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31,6 %</w:t>
            </w:r>
          </w:p>
        </w:tc>
      </w:tr>
      <w:tr>
        <w:trPr>
          <w:trHeight w:val="315"/>
          <w:jc w:val="center"/>
        </w:trPr>
        <w:tc>
          <w:tcPr>
            <w:tcW w:w="2160"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Σύνολα</w:t>
            </w:r>
          </w:p>
        </w:tc>
        <w:tc>
          <w:tcPr>
            <w:tcW w:w="1701" w:type="dxa"/>
            <w:tcBorders>
              <w:top w:val="single" w:sz="4" w:space="0" w:color="auto"/>
              <w:left w:val="single" w:sz="8" w:space="0" w:color="auto"/>
              <w:bottom w:val="single" w:sz="4" w:space="0" w:color="auto"/>
              <w:right w:val="single" w:sz="6"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327 273</w:t>
            </w:r>
          </w:p>
        </w:tc>
        <w:tc>
          <w:tcPr>
            <w:tcW w:w="1779" w:type="dxa"/>
            <w:tcBorders>
              <w:top w:val="single" w:sz="4" w:space="0" w:color="auto"/>
              <w:left w:val="single" w:sz="6" w:space="0" w:color="auto"/>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16 813</w:t>
            </w:r>
          </w:p>
        </w:tc>
        <w:tc>
          <w:tcPr>
            <w:tcW w:w="2080" w:type="dxa"/>
            <w:tcBorders>
              <w:top w:val="single" w:sz="4" w:space="0" w:color="auto"/>
              <w:left w:val="nil"/>
              <w:bottom w:val="single" w:sz="4" w:space="0" w:color="auto"/>
              <w:right w:val="single" w:sz="8"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5,1 %</w:t>
            </w:r>
          </w:p>
        </w:tc>
      </w:tr>
      <w:tr>
        <w:trPr>
          <w:trHeight w:val="315"/>
          <w:jc w:val="center"/>
        </w:trPr>
        <w:tc>
          <w:tcPr>
            <w:tcW w:w="2160" w:type="dxa"/>
            <w:tcBorders>
              <w:top w:val="single" w:sz="4" w:space="0" w:color="auto"/>
              <w:left w:val="single" w:sz="8" w:space="0" w:color="auto"/>
              <w:bottom w:val="single" w:sz="4" w:space="0" w:color="auto"/>
              <w:right w:val="single" w:sz="8"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FF0000"/>
              </w:rPr>
            </w:pPr>
            <w:r>
              <w:rPr>
                <w:rFonts w:ascii="Times New Roman" w:hAnsi="Times New Roman"/>
                <w:b/>
                <w:bCs/>
                <w:noProof/>
                <w:color w:val="FF0000"/>
              </w:rPr>
              <w:t xml:space="preserve">Ελβετία </w:t>
            </w:r>
          </w:p>
        </w:tc>
        <w:tc>
          <w:tcPr>
            <w:tcW w:w="1701" w:type="dxa"/>
            <w:tcBorders>
              <w:top w:val="single" w:sz="4" w:space="0" w:color="auto"/>
              <w:left w:val="single" w:sz="8" w:space="0" w:color="auto"/>
              <w:bottom w:val="single" w:sz="4" w:space="0" w:color="auto"/>
              <w:right w:val="single" w:sz="6"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3 935</w:t>
            </w:r>
          </w:p>
        </w:tc>
        <w:tc>
          <w:tcPr>
            <w:tcW w:w="1779" w:type="dxa"/>
            <w:tcBorders>
              <w:top w:val="single" w:sz="4" w:space="0" w:color="auto"/>
              <w:left w:val="single" w:sz="6"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530</w:t>
            </w:r>
          </w:p>
        </w:tc>
        <w:tc>
          <w:tcPr>
            <w:tcW w:w="2080" w:type="dxa"/>
            <w:tcBorders>
              <w:top w:val="single" w:sz="4"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13,5 %</w:t>
            </w:r>
          </w:p>
        </w:tc>
      </w:tr>
      <w:tr>
        <w:trPr>
          <w:trHeight w:val="315"/>
          <w:jc w:val="center"/>
        </w:trPr>
        <w:tc>
          <w:tcPr>
            <w:tcW w:w="2160" w:type="dxa"/>
            <w:tcBorders>
              <w:top w:val="single" w:sz="4" w:space="0" w:color="auto"/>
              <w:left w:val="single" w:sz="8" w:space="0" w:color="auto"/>
              <w:bottom w:val="single" w:sz="4" w:space="0" w:color="auto"/>
              <w:right w:val="single" w:sz="8"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 xml:space="preserve">Σύνολα </w:t>
            </w:r>
          </w:p>
        </w:tc>
        <w:tc>
          <w:tcPr>
            <w:tcW w:w="1701" w:type="dxa"/>
            <w:tcBorders>
              <w:top w:val="single" w:sz="4" w:space="0" w:color="auto"/>
              <w:left w:val="single" w:sz="8" w:space="0" w:color="auto"/>
              <w:bottom w:val="single" w:sz="4" w:space="0" w:color="auto"/>
              <w:right w:val="single" w:sz="6"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331 208</w:t>
            </w:r>
          </w:p>
        </w:tc>
        <w:tc>
          <w:tcPr>
            <w:tcW w:w="1779" w:type="dxa"/>
            <w:tcBorders>
              <w:top w:val="single" w:sz="4" w:space="0" w:color="auto"/>
              <w:left w:val="single" w:sz="6" w:space="0" w:color="auto"/>
              <w:bottom w:val="single" w:sz="4"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17 343</w:t>
            </w:r>
          </w:p>
        </w:tc>
        <w:tc>
          <w:tcPr>
            <w:tcW w:w="2080" w:type="dxa"/>
            <w:tcBorders>
              <w:top w:val="single" w:sz="4" w:space="0" w:color="auto"/>
              <w:left w:val="nil"/>
              <w:bottom w:val="single" w:sz="4" w:space="0" w:color="auto"/>
              <w:right w:val="single" w:sz="8"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5,2 %</w:t>
            </w:r>
          </w:p>
        </w:tc>
      </w:tr>
    </w:tbl>
    <w:p>
      <w:pPr>
        <w:spacing w:before="120" w:after="120" w:line="240" w:lineRule="auto"/>
        <w:jc w:val="both"/>
        <w:rPr>
          <w:rFonts w:ascii="Times New Roman" w:eastAsia="Times New Roman" w:hAnsi="Times New Roman"/>
          <w:b/>
          <w:noProof/>
          <w:sz w:val="24"/>
          <w:szCs w:val="24"/>
        </w:rPr>
      </w:pPr>
    </w:p>
    <w:p>
      <w:pPr>
        <w:pStyle w:val="Heading2"/>
        <w:rPr>
          <w:rFonts w:cs="Times New Roman"/>
          <w:noProof/>
        </w:rPr>
      </w:pPr>
      <w:bookmarkStart w:id="11" w:name="_Toc33783646"/>
      <w:r>
        <w:rPr>
          <w:rFonts w:cs="Times New Roman"/>
          <w:noProof/>
        </w:rPr>
        <w:t>5.5.</w:t>
      </w:r>
      <w:r>
        <w:rPr>
          <w:rFonts w:cs="Times New Roman"/>
          <w:noProof/>
        </w:rPr>
        <w:tab/>
        <w:t>Απαγόρευση κυκλοφορίας οχημάτων ανά κατηγορία οχημάτων και ανά κράτος μέλος ταξινόμησης</w:t>
      </w:r>
      <w:bookmarkEnd w:id="11"/>
      <w:r>
        <w:rPr>
          <w:rFonts w:cs="Times New Roman"/>
          <w:noProof/>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Στο παράρτημα 1 παρουσιάζεται επισκόπηση των ποσοστών απαγόρευσης κυκλοφορίας οχημάτων ανά κράτος μέλος ταξινόμησης. Το μέσο ποσοστό απαγόρευσης κυκλοφορίας σε όλα τα κράτη μέλη ήταν 7,9 %, με συχνότερη την απαγόρευση κυκλοφορίας του τύπου οχημάτων κατηγορίας N2 (οχήματα άνω των 3,5 τόνων), με ποσοστό απαγόρευσης κυκλοφορίας 11,4 %.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Το ποσοστό απαγόρευσης κυκλοφορίας οχημάτων στη μη προσδιοριζόμενη κατηγορία οχημάτων «Άλλη» ανήλθε στο 9,4 %. Ωστόσο, η κατηγορία αυτή περιλαμβάνει πιθανότατα πολλούς τύπους οχημάτων, δηλαδή γεωργικά οχήματα (κατηγορία T), ελαφρά ρυμουλκούμενα (κατηγορίες O1 και O2) και ελαφρά φορτηγά (κατηγορία N1), και ο έλεγχός τους βασίζεται σε εθνικά νομοθετικά μέτρα.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Ωστόσο, από τις 20 Μαΐου 2018 η οδηγία 2014/47/ΕΕ κατέστησε υποχρεωτικό τον έλεγχο των ελκυστήρων υψηλής ταχύτητας (με δυνατότητα μέγιστης ταχύτητας άνω των 40 km/h) όταν χρησιμοποιούνται κυρίως στο δημόσιο οδικό δίκτυο για εμπορικές μεταφορές.</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Από την ανάλυση των δεδομένων προκύπτει ότι η απαγόρευση κυκλοφορίας αφορούσε συχνότερα οχήματα από την Αυστρία και τη Μάλτα, με ποσοστά απαγόρευσης κυκλοφορίας 37,5 % και 31,9 % αντίστοιχα. Από την άλλη πλευρά, η μικρότερη συχνότητα καταγράφηκε στην απαγόρευση κυκλοφορίας οχημάτων ταξινομημένων στη Γερμανία και στο Λουξεμβούργο, με ποσοστά απαγόρευσης κυκλοφορίας 1,7 % και 2,6 % αντίστοιχα.</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Οι διαφορές ως προς τα εν λόγω ποσοστά απαγόρευσης κυκλοφορίας θα μπορούσαν να αιτιολογηθούν από την εφαρμογή διαφορετικών μεθόδων επιλογής και ελέγχου, καθώς και από τη διαφορετική κατηγοριοποίηση των ελαττωμάτων μεταξύ των κρατών μελών.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Η Γερμανία, το Ηνωμένο Βασίλειο, η Γαλλία και η Σουηδία πραγματοποίησαν ελέγχους στο έδαφός τους στο 94,1 %, 93,4 %, 93 % και 85,8 % αντίστοιχα του συνολικού αριθμού των οχημάτων με εγχώριο αριθμό κυκλοφορίας. Ποσοστό άνω του 50 % παρατηρήθηκε για την Αυστρία, τη Βουλγαρία, τη Φινλανδία, την Κροατία, την Ιρλανδία, τη Μάλτα, την Πολωνία, την Ισπανία και την Κύπρο. Όπως ήταν αναμενόμενο, το στοιχείο αυτό είναι ενδεικτικό του γεγονότος ότι στην πλειονότητα των περιπτώσεων τα οχήματα ελέγχονται σε εγχώρια δρομολόγια.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Διαπιστώνονται, ωστόσο, μερικές εξαιρέσεις. Για παράδειγμα, ο αριθμός των οχημάτων που έλεγξαν οι εθνικές αρχές στην Εσθονία, στην Ιταλία, στο Λουξεμβούργο, στην Πορτογαλία, στη Ρουμανία και στην Ελλάδα αντιστοιχεί σε λιγότερο από το 10 % του συνολικού αριθμού των ελεγχθέντων οχημάτων που ήταν ταξινομημένα στα αντίστοιχα κράτη μέλη.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Επιπλέον, στο παράρτημα 2 παρουσιάζονται τα λεπτομερή στοιχεία των απαγορεύσεων κυκλοφορίας ανά κατηγορία οχημάτων ανά κράτος μέλος ελέγχου. Τα υψηλότερα ποσοστά απαγορεύσεων κυκλοφορίας παρατηρήθηκαν στην Εσθονία (90,6 %), στην Αυστρία (63,3 %), στην Ιταλία (52,6 %) και στη Μάλτα (50,3 %), ενώ τα χαμηλότερα ποσοστά απαγορεύσεων κυκλοφορίας παρατηρήθηκαν στην Πορτογαλία (0,8 %), στη Βουλγαρία (1,1 %), στο Λουξεμβούργο (1,6 %) και στη Γερμανία (2,2 %). Το μέσο ποσοστό απαγορεύσεων κυκλοφορίας για όλα τα κράτη μέλη της ΕΕ ανέρχεται στο 7,6 %, ποσοστό που παραμένει σχεδόν αμετάβλητο σε σύγκριση με την περίοδο αναφοράς 2015-2016. Όπως ήταν αναμενόμενο, τα κράτη μέλη ελέγχου με τα υψηλότερα ποσοστά απαγορεύσεων κυκλοφορίας είναι επίσης τα κράτη μέλη με τα υψηλότερα ποσοστά απαγορεύσεων κυκλοφορίας και όσον αφορά τα οχήματα που είναι ταξινομημένα στο έδαφός τους (πίνακας 4). </w:t>
      </w:r>
    </w:p>
    <w:p>
      <w:pPr>
        <w:spacing w:before="120" w:after="120" w:line="240" w:lineRule="auto"/>
        <w:jc w:val="both"/>
        <w:rPr>
          <w:rFonts w:ascii="Times New Roman" w:hAnsi="Times New Roman" w:cs="Times New Roman"/>
          <w:noProof/>
          <w:sz w:val="24"/>
          <w:szCs w:val="24"/>
        </w:rPr>
      </w:pPr>
    </w:p>
    <w:p>
      <w:pPr>
        <w:pStyle w:val="Heading2"/>
        <w:rPr>
          <w:rFonts w:cs="Times New Roman"/>
          <w:noProof/>
        </w:rPr>
      </w:pPr>
      <w:bookmarkStart w:id="12" w:name="_Toc33783647"/>
      <w:r>
        <w:rPr>
          <w:rFonts w:cs="Times New Roman"/>
          <w:noProof/>
        </w:rPr>
        <w:t>5.6.</w:t>
      </w:r>
      <w:r>
        <w:rPr>
          <w:rFonts w:cs="Times New Roman"/>
          <w:noProof/>
        </w:rPr>
        <w:tab/>
        <w:t>Είδη ελαττωμάτων που αναφέρθηκαν από τα κράτη μέλη</w:t>
      </w:r>
      <w:bookmarkEnd w:id="12"/>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Στο παράρτημα 3 παρουσιάζονται τα ποσοστά ελαττωμάτων που διαπιστώθηκαν σε οχήματα όσον αφορά τα εννέα σημεία προς έλεγχο στο πλαίσιο των ελέγχων που πραγματοποίησαν τα κράτη μέλη κατά την περίοδο αναφοράς 2017-2018. </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Κατά τη διάρκεια της εν λόγω περιόδου αναφοράς, τα πλέον συχνά ελαττώματα που διαπιστώθηκαν κατά τους ελέγχους αφορούσαν την τεχνική κατάσταση:</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των διατάξεων φωτισμού και ηλεκτρικού συστήματος</w:t>
      </w:r>
      <w:r>
        <w:rPr>
          <w:rFonts w:ascii="Times New Roman" w:hAnsi="Times New Roman" w:cs="Times New Roman"/>
          <w:b/>
          <w:noProof/>
          <w:sz w:val="24"/>
          <w:szCs w:val="24"/>
        </w:rPr>
        <w:t xml:space="preserve"> </w:t>
      </w:r>
      <w:r>
        <w:rPr>
          <w:rFonts w:ascii="Times New Roman" w:hAnsi="Times New Roman" w:cs="Times New Roman"/>
          <w:noProof/>
          <w:sz w:val="24"/>
          <w:szCs w:val="24"/>
        </w:rPr>
        <w:t>(26,4 % του συνολικού αριθμού των ελαττωμάτων που καταγράφηκαν),</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των αξόνων, των τροχών, των ελαστικών-επισώτρων, της ανάρτησης</w:t>
      </w:r>
      <w:r>
        <w:rPr>
          <w:rFonts w:ascii="Times New Roman" w:hAnsi="Times New Roman" w:cs="Times New Roman"/>
          <w:b/>
          <w:noProof/>
          <w:sz w:val="24"/>
          <w:szCs w:val="24"/>
        </w:rPr>
        <w:t xml:space="preserve"> (</w:t>
      </w:r>
      <w:r>
        <w:rPr>
          <w:rFonts w:ascii="Times New Roman" w:hAnsi="Times New Roman" w:cs="Times New Roman"/>
          <w:noProof/>
          <w:sz w:val="24"/>
          <w:szCs w:val="24"/>
        </w:rPr>
        <w:t>16,5 % του συνολικού αριθμού των ελαττωμάτων που καταγράφηκαν),</w:t>
      </w:r>
      <w:r>
        <w:rPr>
          <w:rFonts w:ascii="Times New Roman" w:hAnsi="Times New Roman" w:cs="Times New Roman"/>
          <w:b/>
          <w:noProof/>
          <w:sz w:val="24"/>
          <w:szCs w:val="24"/>
        </w:rPr>
        <w:t xml:space="preserve"> </w:t>
      </w:r>
    </w:p>
    <w:p>
      <w:pPr>
        <w:spacing w:before="120" w:after="120" w:line="240" w:lineRule="auto"/>
        <w:ind w:left="720" w:hanging="720"/>
        <w:jc w:val="both"/>
        <w:rPr>
          <w:rFonts w:ascii="Times New Roman" w:eastAsia="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του συστήματος πέδησης (15,1 % του συνολικού αριθμού των ελαττωμάτων που καταγράφηκαν) και</w:t>
      </w:r>
    </w:p>
    <w:p>
      <w:pPr>
        <w:spacing w:before="120" w:after="120" w:line="240" w:lineRule="auto"/>
        <w:ind w:left="720" w:hanging="720"/>
        <w:jc w:val="both"/>
        <w:rPr>
          <w:rFonts w:ascii="Times New Roman" w:eastAsia="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του πλαισίου και των εξαρτημάτων πλαισίου (12,3 %).</w:t>
      </w:r>
    </w:p>
    <w:p>
      <w:pPr>
        <w:spacing w:before="120" w:after="120" w:line="240" w:lineRule="auto"/>
        <w:ind w:left="720" w:hanging="720"/>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Στα εννέα σημεία προς έλεγχο, τα κράτη μέλη ανέφεραν σημαντικές διαφορές ως προς τη συχνότητα διαπίστωσης ελαττωμάτων. Για παράδειγμα, στην Ισπανία τα ελαττώματα στο προς έλεγχο σημείο «λοιπός εξοπλισμός, συμπεριλαμβανομένων του ταχογράφου και της διάταξης περιορισμού της ταχύτητας» αντιστοιχούσαν στο 64,9 % του συνολικού αριθμού των ελαττωμάτων που αναφέρθηκαν κατά την περίοδο αναφοράς, ενώ στο Ηνωμένο Βασίλειο τα ελαττώματα στο ίδιο σημείο προς έλεγχο αντιστοιχούσαν μόλις στο 0,8 % του συνολικού αριθμού ελαττωμάτων που διαπιστώθηκαν. Επισημαίνεται και πάλι ότι ο πιθανότερος λόγος είναι οι διαφορετικές μέθοδοι ελέγχου που εφαρμόζουν τα κράτη μέλη, σε συνδυασμό ενδεχομένως με μια εθνική πολιτική για την απόδοση μεγαλύτερης έμφασης σε συγκεκριμένο σημείο προς έλεγχο κατά τη διάρκεια του ελέγχου. Ωστόσο, πρέπει να αναγνωριστεί το γεγονός ότι από τις 20 Μαΐου 2018 η οδηγία 2014/47/ΕΕ εξασφαλίζει υψηλότερο βαθμό εναρμόνισης όσον αφορά τις μεθόδους ελέγχου, την αξιολόγηση των ελαττωμάτων και τη χρήση εξοπλισμού ελέγχου.</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Από τη σύγκριση των στοιχείων με τα αντίστοιχα στοιχεία της προηγούμενης περιόδου προκύπτει ότι οι σημαντικότερες μειώσεις αφορούν το σημείο ελέγχου «άξονες, τροχοί, ελαστικά-επίσωτρα, ανάρτηση», από 21,8 % κατά την προηγούμενη περίοδο αναφοράς σε 16,5 % κατά την τρέχουσα περίοδο αναφοράς, καθώς και το σημείο ελέγχου «λοιπός εξοπλισμός, συμπεριλαμβανομένων του ταχογράφου και της διάταξης περιορισμού της ταχύτητας», με μείωση από 15,5 % κατά την προηγούμενη περίοδο αναφοράς σε 11,5 % κατά την τρέχουσα περίοδο αναφοράς. Ωστόσο, τα ελαττώματα που αφορούν το σημείο ελέγχου «διατάξεις φωτισμού και ηλεκτρικό σύστημα» εξακολουθούν να είναι τα συνηθέστερα, καταγράφοντας αύξηση στο 26,4 % (ποσοστό αυξημένο κατά 3,4 % από το 23 % που είχε σημειωθεί την προηγούμενη περίοδο αναφοράς). Όσον αφορά τα λοιπά σημεία προς έλεγχο, η έκταση των αλλαγών σε σύγκριση με την προηγούμενη περίοδο αναφοράς δεν είναι τόσο μεγάλη ώστε να συνιστά σοβαρό λόγο ανησυχίας ή να αποτελεί ένδειξη σημαντικών αλλαγών στην πολιτική που εφαρμόζουν τα κράτη μέλη.</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Σε τέσσερα από τα εννέα σημεία προς έλεγχο, και συγκεκριμένα στα σημεία «ταυτοποίηση», «ορατότητα», «διατάξεις φωτισμού και ηλεκτρικό σύστημα» και «λοιπός εξοπλισμός, συμπεριλαμβανομένων του ταχογράφου και της διάταξης περιορισμού της ταχύτητας», τα ποσοστά μειώνονται σε σύγκριση με την προηγούμενη περίοδο αναφοράς. Τα ποσοστά για το «σύστημα διεύθυνσης» παραμένουν αμετάβλητα, στο 2,3 %.  Μάλιστα, για τα σημεία προς έλεγχο που παρουσίασαν ελαφρά αύξηση σε σύγκριση με την προηγούμενη περίοδο αναφοράς, και συγκεκριμένα τα σημεία «σύστημα πέδησης», «διατάξεις φωτισμού και ηλεκτρικό σύστημα», «πλαίσιο και εξαρτήματα πλαισίου και «οχλήσεις συμπεριλαμβανομένων των εκπομπών και της διαρροής καυσίμου και/ή ελαίου», η αύξηση που καταγράφηκε ήταν σε όλες τις περιπτώσεις κάτω του 5 %.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Επίσης, το προς έλεγχο σημείο «διατάξεις φωτισμού και ηλεκτρικό σύστημα» αποτελεί το κυρίαρχο ελάττωμα, δεδομένου ότι παρουσιάζει το υψηλότερο ποσοστό σε δώδεκα κράτη μέλη, ενώ το ποσοστό των ελαττωμάτων στα προς έλεγχο σημεία «ταυτοποίηση», «σύστημα διεύθυνσης» και «οχλήσεις συμπεριλαμβανομένων των εκπομπών και της διαρροής καυσίμου και/ή ελαίου» τείνει να είναι μικρότερο του 10 % στην πλειονότητα των κρατών μελών, με εξαίρεση τη Γαλλία, όπου το ποσοστό της τελευταίας αυτής κατηγορίας αγγίζει το 25 %, στοιχείο που κατά πάσα πιθανότητα αποτελεί ένδειξη της υιοθέτησης αυστηρότερης προσέγγισης ως προς τις περιβαλλοντικές επιδόσεις των οχημάτων. Όσον αφορά τα ελαττώματα που σχετίζονται με «οχλήσεις συμπεριλαμβανομένων των εκπομπών και διαρροών», τα οποία, πέραν του κινδύνου που συνιστούν για την οδική ασφάλεια, μπορούν επίσης να έχουν επιπτώσεις στο περιβάλλον, έπειτα από μείωση κατά 0,8 % που είχε σημειωθεί κατά την προηγούμενη περίοδο (από 4,1 % σε 3,3 %), παρατηρήθηκε αύξηση κατά 3,0 %, ήτοι από 3,3 % σε 6,3 %.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Τέλος, όπως παρουσιάζεται στον πίνακα 2, είκοσι κράτη μέλη διενήργησαν ελέγχους σε οχήματα ταξινομημένα εκτός της ΕΕ. Ωστόσο, δεδομένου ότι ο συνολικός αριθμός των εν λόγω ελέγχων ισούται μόλις με το 8% περίπου του συνολικού αριθμού των ελέγχων που διενεργήθηκαν κατά τη διάρκεια της περιόδου αναφοράς, δεν είναι δυνατόν να συναχθούν αξιόπιστα συμπεράσματα ως προς την τεχνική τους κατάσταση.</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Παρά ταύτα, για λόγους πληρότητας, το παράρτημα 4 της παρούσας έκθεσης περιλαμβάνει περισσότερες λεπτομέρειες υπό την έννοια ότι παρέχει επισκόπηση του αριθμού των οχημάτων που ελέγχθηκαν από τα κράτη μέλη ανά χώρα ταξινόμησης, καθώς και του ποσοστού απαγορεύσεων κυκλοφορίας.</w:t>
      </w:r>
    </w:p>
    <w:p>
      <w:pPr>
        <w:pStyle w:val="Heading1"/>
        <w:rPr>
          <w:rFonts w:cs="Times New Roman"/>
          <w:noProof/>
        </w:rPr>
      </w:pPr>
      <w:bookmarkStart w:id="13" w:name="_Toc33783648"/>
      <w:r>
        <w:rPr>
          <w:rFonts w:cs="Times New Roman"/>
          <w:noProof/>
        </w:rPr>
        <w:t>6.</w:t>
      </w:r>
      <w:r>
        <w:rPr>
          <w:rFonts w:cs="Times New Roman"/>
          <w:noProof/>
        </w:rPr>
        <w:tab/>
        <w:t>ΕΙΔΗ ΚΥΡΩΣΕΩΝ</w:t>
      </w:r>
      <w:bookmarkEnd w:id="13"/>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Η οδηγία 2000/30/ΕΚ δεν προβλέπει σύστημα κυρώσεων για τις παραβάσεις που διαπιστώνονται. Αντιθέτως, οι κυρώσεις πρέπει να καθορίζονται από τα κράτη μέλη, χωρίς διακρίσεις λόγω της ιθαγένειας του οδηγού ή της χώρας στην οποία ταξινομήθηκε ή τέθηκε σε κυκλοφορία το όχημα.</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Όπως προαναφέρθηκε, εάν καταστεί προφανές ότι όχημα επαγγελματικής χρήσης ενέχει σοβαρό κίνδυνο για τους επιβαίνοντες ή άλλους χρήστες του οδικού δικτύου, η αρχή ή ο ελεγκτής που πραγματοποιεί τον έλεγχο μπορεί, σύμφωνα με την οδηγία 2000/30/ΕΚ, να απαγορεύσει τη χρήση του οχήματος μέχρι να επισκευαστούν τυχόν επικίνδυνα ελαττώματα που διαπιστώθηκαν.</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Επίσης, επικίνδυνα ελαττώματα που διαπιστώνονται σε όχημα επαγγελματικής χρήσης το οποίο ανήκει σε μη μόνιμο κάτοικο, και ιδίως τα ελαττώματα λόγω των οποίων απαγορεύτηκε η χρήση του οχήματος, πρέπει να κοινοποιούνται στις αρμόδιες αρχές του κράτους μέλους ταξινόμησής του.</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Οι αρμόδιες αρχές του κράτους μέλους που διαπιστώνουν το επικίνδυνο ελάττωμα μπορούν να ζητήσουν από τις αρμόδιες αρχές του κράτους μέλους ταξινόμησης του οχήματος να λάβουν κατάλληλα μέτρα, όπως να υποβάλουν το όχημα σε περαιτέρω τεχνικό έλεγχο. Ωστόσο, εναπόκειται στο κράτος μέλος ταξινόμησης να λάβει τυχόν μέτρα που κρίνονται σκόπιμα, αλλά στην περίπτωση αυτή δεν απαιτείται η υποβολή έκθεσης.</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Στην πράξη, ο οικονομικός αντίκτυπος για την επιχείρηση, ο οποίος συνδέεται με την επιβολή απαγόρευσης σε όχημα με επικίνδυνο ελάττωμα, δεν αφορά μόνο το πρόστιμο που ενδέχεται να επιβάλουν οι αρχές του κράτους μέλους που διενεργούν τον έλεγχο. Μπορεί να συνεπάγεται περαιτέρω κόστος, όπως το κόστος ρυμούλκησης του οχήματος στην εγκατάσταση ελέγχου για τη διενέργεια «διεξοδικότερου» ελέγχου, σε συνδυασμό με το κόστος του ίδιου του ελέγχου και το κόστος τυχόν επισκευών που απαιτούνται για την επιδιόρθωση των ελαττωμάτων. Επιπλέον, υπάρχει επίσης το έμμεσο κόστος για την επιχείρηση που συνδέεται με το ενδεχόμενο μη τήρησης του χρονοδιαγράμματος.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Τέλος, σύμφωνα με την οδηγία 2014/47/ΕΕ, από τις 20 Μαΐου 2019 οι πληροφορίες σχετικά με τον αριθμό και τη σοβαρότητα των ελαττωμάτων θα πρέπει να προστίθενται στο σύστημα διαβάθμισης της επικινδυνότητας που θεσπίστηκε βάσει της οδηγίας 2006/22/ΕΚ</w:t>
      </w:r>
      <w:r>
        <w:rPr>
          <w:rFonts w:ascii="Times New Roman" w:eastAsia="Times New Roman" w:hAnsi="Times New Roman" w:cs="Times New Roman"/>
          <w:noProof/>
          <w:sz w:val="24"/>
          <w:szCs w:val="24"/>
          <w:vertAlign w:val="superscript"/>
        </w:rPr>
        <w:footnoteReference w:id="8"/>
      </w:r>
      <w:r>
        <w:rPr>
          <w:rFonts w:ascii="Times New Roman" w:hAnsi="Times New Roman" w:cs="Times New Roman"/>
          <w:noProof/>
          <w:sz w:val="24"/>
          <w:szCs w:val="24"/>
        </w:rPr>
        <w:t>. Οχήματα επιχειρήσεων με προφίλ υψηλού κινδύνου μπορεί να επιλέγονται για τη διενέργεια οδικών ελέγχων με μεγαλύτερη συχνότητα.</w:t>
      </w:r>
    </w:p>
    <w:p>
      <w:pPr>
        <w:pStyle w:val="Heading1"/>
        <w:rPr>
          <w:rFonts w:cs="Times New Roman"/>
          <w:noProof/>
        </w:rPr>
      </w:pPr>
      <w:bookmarkStart w:id="14" w:name="_Toc33783649"/>
      <w:r>
        <w:rPr>
          <w:rFonts w:cs="Times New Roman"/>
          <w:noProof/>
        </w:rPr>
        <w:t>7.</w:t>
      </w:r>
      <w:r>
        <w:rPr>
          <w:rFonts w:cs="Times New Roman"/>
          <w:noProof/>
        </w:rPr>
        <w:tab/>
        <w:t>ΣΥΝΟΠΤΙΚΑ ΣΥΜΠΕΡΑΣΜΑΤΑ</w:t>
      </w:r>
      <w:bookmarkEnd w:id="14"/>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Όπως επισημαίνεται στο κεφάλαιο 3 της παρούσας έκθεσης, λόγω των διαφορών που διαπιστώθηκαν ως προς τη μέθοδο ελέγχου, τη συλλογή των δεδομένων και την υποβολή εκθέσεων, δεν θα πρέπει να συναχθούν γενικά συμπεράσματα βάσει της παρούσας έκθεσης και τα αποτελέσματα θα πρέπει να ληφθούν υπόψη με επιφύλαξη. Σε αυτή τη βάση, παρατίθενται στη συνέχεια οι κύριες διαπιστώσεις που προκύπτουν από τα δεδομένα που συλλέχθηκαν για την περίοδο αναφοράς 2017-2018.</w:t>
      </w:r>
    </w:p>
    <w:p>
      <w:pPr>
        <w:pStyle w:val="Heading2"/>
        <w:rPr>
          <w:rFonts w:cs="Times New Roman"/>
          <w:noProof/>
        </w:rPr>
      </w:pPr>
      <w:bookmarkStart w:id="15" w:name="_Toc33783650"/>
      <w:r>
        <w:rPr>
          <w:rFonts w:cs="Times New Roman"/>
          <w:noProof/>
        </w:rPr>
        <w:t>7.1        Έλεγχοι</w:t>
      </w:r>
      <w:bookmarkEnd w:id="15"/>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 xml:space="preserve">Σε σύγκριση με την περίοδο 2015-2016, κατά την περίοδο αναφοράς 2017-2018 ελέγχθηκαν </w:t>
      </w:r>
      <w:r>
        <w:rPr>
          <w:rFonts w:ascii="Times New Roman" w:hAnsi="Times New Roman"/>
          <w:b/>
          <w:bCs/>
          <w:sz w:val="24"/>
          <w:szCs w:val="24"/>
        </w:rPr>
        <w:t>1 048 863</w:t>
      </w:r>
      <w:r>
        <w:rPr>
          <w:rFonts w:ascii="Times New Roman" w:hAnsi="Times New Roman"/>
          <w:b/>
          <w:sz w:val="24"/>
          <w:szCs w:val="24"/>
        </w:rPr>
        <w:t> λιγότερα οχήματα</w:t>
      </w:r>
      <w:r>
        <w:rPr>
          <w:rFonts w:ascii="Times New Roman" w:hAnsi="Times New Roman"/>
          <w:sz w:val="24"/>
          <w:szCs w:val="24"/>
        </w:rPr>
        <w:t xml:space="preserve">, αριθμός που αντιστοιχεί σε </w:t>
      </w:r>
      <w:r>
        <w:rPr>
          <w:rFonts w:ascii="Times New Roman" w:hAnsi="Times New Roman"/>
          <w:b/>
          <w:sz w:val="24"/>
          <w:szCs w:val="24"/>
        </w:rPr>
        <w:t>μείωση της τάξης του 20,9 %</w:t>
      </w:r>
      <w:r>
        <w:rPr>
          <w:rFonts w:ascii="Times New Roman" w:hAnsi="Times New Roman"/>
          <w:sz w:val="24"/>
          <w:szCs w:val="24"/>
        </w:rPr>
        <w:t>. Σύμφωνα με τις διευκρινίσεις που παρείχαν τα κράτη μέλη, πρόκειται για το συνδυαστικό αποτέλεσμα των μειωμένων πόρων, της αναδιοργάνωσης, των αλλαγών της εθνικής νομοθεσίας και της εφαρμογής των κανόνων.</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 xml:space="preserve">Σε κάθε περίπτωση, δεκαέξι κράτη μέλη διενήργησαν λιγότερους ελέγχους, με ποσοστιαίες μειώσεις που κυμάνθηκαν από 1,2 % στην περίπτωση της Ιταλίας έως 93,3 % στην περίπτωση της Ελλάδας. Από την άλλη πλευρά, δώδεκα κράτη μέλη κατέγραψαν αύξηση του αριθμού των ελέγχων που πραγματοποιήθηκαν, με ποσοστιαίες αυξήσεις που κυμάνθηκαν από 1,8 % στην περίπτωση της Λετονίας έως 429,4 % στην περίπτωση του Λουξεμβούργου. </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Από τους ελέγχους που διενεργήθηκαν κατά τη διάρκεια της περιόδου αναφοράς, το 57,7 % αφορούσαν οχήματα ταξινομημένα στο κράτος μέλος διεξαγωγής του ελέγχου, το 34,1 % αφορούσαν οχήματα ταξινομημένα σε άλλο κράτος μέλος και το 8,2 % αφορούσαν οχήματα ταξινομημένα εκτός της ΕΕ.</w:t>
      </w:r>
    </w:p>
    <w:p>
      <w:pPr>
        <w:pStyle w:val="ListParagraph"/>
        <w:spacing w:before="120" w:after="120" w:line="240" w:lineRule="auto"/>
        <w:ind w:left="783"/>
        <w:jc w:val="both"/>
        <w:rPr>
          <w:rFonts w:ascii="Times New Roman" w:eastAsia="Times New Roman" w:hAnsi="Times New Roman"/>
          <w:sz w:val="24"/>
          <w:szCs w:val="24"/>
        </w:rPr>
      </w:pPr>
    </w:p>
    <w:p>
      <w:pPr>
        <w:pStyle w:val="ListParagraph"/>
        <w:ind w:left="783"/>
        <w:jc w:val="both"/>
        <w:rPr>
          <w:rFonts w:ascii="Times New Roman" w:eastAsia="Times New Roman" w:hAnsi="Times New Roman"/>
          <w:sz w:val="24"/>
          <w:szCs w:val="24"/>
        </w:rPr>
      </w:pPr>
      <w:r>
        <w:rPr>
          <w:rFonts w:ascii="Times New Roman" w:hAnsi="Times New Roman"/>
          <w:sz w:val="24"/>
          <w:szCs w:val="24"/>
        </w:rPr>
        <w:t>Το ποσοστό εγχώριων οχημάτων ως προς τον συνολικό αριθμό ελεγχθέντων οχημάτων ποικίλλει επίσης σημαντικά. Στην Αυστρία, στο Βέλγιο, στη Γαλλία, στο Λουξεμβούργο και οριακά στην Πολωνία, όπου το ποσοστό των ελέγχων για τα εγχώρια οχήματα είναι κατώτερο του 50 %, θα πρέπει να καταβληθούν προσπάθειες για να εξασφαλιστεί πιο ισορροπημένο ποσοστό ελέγχων, το οποίο να συνάδει περισσότερο με τα αντίστοιχα ποσοστά σε άλλα κράτη μέλη με σημαντική διαμετακομιστική κίνηση.</w:t>
      </w:r>
    </w:p>
    <w:p>
      <w:pPr>
        <w:pStyle w:val="ListParagraph"/>
        <w:spacing w:before="120" w:after="120" w:line="240" w:lineRule="auto"/>
        <w:ind w:left="783"/>
        <w:jc w:val="both"/>
        <w:rPr>
          <w:rFonts w:ascii="Times New Roman" w:eastAsia="Times New Roman" w:hAnsi="Times New Roman"/>
          <w:sz w:val="24"/>
          <w:szCs w:val="24"/>
        </w:rPr>
      </w:pPr>
    </w:p>
    <w:p>
      <w:pPr>
        <w:pStyle w:val="Heading2"/>
        <w:rPr>
          <w:rFonts w:cs="Times New Roman"/>
          <w:noProof/>
        </w:rPr>
      </w:pPr>
      <w:bookmarkStart w:id="16" w:name="_Toc33783651"/>
      <w:r>
        <w:rPr>
          <w:rFonts w:cs="Times New Roman"/>
          <w:noProof/>
        </w:rPr>
        <w:t>7.2        Απαγορεύσεις κυκλοφορίας</w:t>
      </w:r>
      <w:bookmarkEnd w:id="16"/>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Σε σύγκριση με την προηγούμενη περίοδο, απαγορεύτηκε η κυκλοφορία 99 617</w:t>
      </w:r>
      <w:r>
        <w:rPr>
          <w:rFonts w:ascii="Times New Roman" w:hAnsi="Times New Roman"/>
          <w:b/>
          <w:sz w:val="24"/>
          <w:szCs w:val="24"/>
        </w:rPr>
        <w:t> λιγότερων οχημάτων</w:t>
      </w:r>
      <w:r>
        <w:rPr>
          <w:rFonts w:ascii="Times New Roman" w:hAnsi="Times New Roman"/>
          <w:sz w:val="24"/>
          <w:szCs w:val="24"/>
        </w:rPr>
        <w:t xml:space="preserve">, αριθμός που αντιστοιχεί σε </w:t>
      </w:r>
      <w:r>
        <w:rPr>
          <w:rFonts w:ascii="Times New Roman" w:hAnsi="Times New Roman"/>
          <w:b/>
          <w:sz w:val="24"/>
          <w:szCs w:val="24"/>
        </w:rPr>
        <w:t>μείωση της τάξης του 24,7 %</w:t>
      </w:r>
      <w:r>
        <w:rPr>
          <w:rFonts w:ascii="Times New Roman" w:hAnsi="Times New Roman"/>
          <w:sz w:val="24"/>
          <w:szCs w:val="24"/>
        </w:rPr>
        <w:t xml:space="preserve">. </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Δεκατέσσερα κράτη μέλη κατέγραψαν αύξηση του αριθμού των απαγορεύσεων κυκλοφορίας που εκδόθηκαν, με ποσοστό αύξησης που κυμάνθηκε από 4,1 % στην περίπτωση της Αυστρίας έως 3 203 % στην περίπτωση της Φινλανδίας. Από την άλλη πλευρά, δεκατέσσερα κράτη μέλη κατέγραψαν μείωση του αριθμού των απαγορεύσεων κυκλοφορίας που εκδόθηκαν, με ποσοστό μείωσης που κυμάνθηκε από 1,7 % στην περίπτωση της Γερμανίας έως 99,0 % στην περίπτωση της Πορτογαλίας. Με εξαίρεση την Κύπρο, τη Γαλλία και τη Σλοβακία, ο αριθμός των απαγορεύσεων κυκλοφορίας εν γένει αυξήθηκε ή μειώθηκε παράλληλα με τον αριθμό των ελέγχων, στοιχείο που ενδεχομένως αποτελεί ένδειξη αλλαγής στην πολιτική που εφαρμόζεται στα εν λόγω κράτη μέλη.</w:t>
      </w:r>
    </w:p>
    <w:p>
      <w:pPr>
        <w:spacing w:before="120" w:after="120" w:line="240" w:lineRule="auto"/>
        <w:ind w:left="780"/>
        <w:jc w:val="both"/>
        <w:rPr>
          <w:rFonts w:ascii="Times New Roman" w:eastAsia="Times New Roman" w:hAnsi="Times New Roman" w:cs="Times New Roman"/>
          <w:noProof/>
          <w:color w:val="FF0000"/>
          <w:sz w:val="24"/>
          <w:szCs w:val="24"/>
          <w:highlight w:val="yellow"/>
        </w:rPr>
      </w:pPr>
      <w:r>
        <w:rPr>
          <w:rFonts w:ascii="Times New Roman" w:hAnsi="Times New Roman" w:cs="Times New Roman"/>
          <w:noProof/>
          <w:sz w:val="24"/>
          <w:szCs w:val="24"/>
        </w:rPr>
        <w:t xml:space="preserve">Όσον αφορά την προέλευση των οχημάτων στα οποία απαγορεύτηκε η κυκλοφορία, το συνολικό ποσοστό απαγορεύσεων κυκλοφορίας ανήλθε στο 8,1 % για εγχώρια οχήματα, στο 7,6 % για οχήματα της ΕΕ (εξαιρουμένων των εγχώριων οχημάτων) και στο 5,1 % για οχήματα ταξινομημένα εκτός της ΕΕ. Από τα στοιχεία αυτά προκύπτει ότι κατά γενικό κανόνα εφαρμόζονται πρότυπα για τα οχήματα της ΕΕ σε καθολικό επίπεδο, ανεξάρτητα από τη χώρα προέλευσης του οχήματος. Είναι πιθανό το χαμηλότερο ποσοστό απαγορεύσεων κυκλοφορίας οχημάτων τρίτων χωρών να οφείλεται στο γεγονός ότι οι επιχειρήσεις επιλέγουν να αποστέλλουν τα νεότερα και καλύτερα συντηρημένα οχήματά τους σε δρομολόγια που περιλαμβάνουν μετακινήσεις εντός της ΕΕ. Το χαμηλότερο ποσοστό απαγορεύσεων κυκλοφορίας υποδηλώνει ότι δεν είναι διαδεδομένη η χρήση πιο στοχευμένης προσέγγισης· ωστόσο, η κατάσταση αυτή αναμένεται να αλλάξει με την εφαρμογή της οδηγίας 2014/47/ΕΕ, βάσει της οποίας τα κράτη μέλη υποχρεούνται να προσαρμόσουν τα οικεία συστήματα ελέγχων.  </w:t>
      </w: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Τέλος, το μέσο ποσοστό απαγορεύσεων κυκλοφορίας για τα ταξινομημένα οχήματα στην ΕΕ σε όλα τα κράτη μέλη ανήλθε στο 7,9%. Τα οχήματα κατηγορίας N2 («Βαρέα φορτηγά οχήματα») ήταν ο τύπος οχημάτων με την υψηλότερη συχνότητα απαγορεύσεων κυκλοφορίας, ήτοι ποσοστό απαγόρευσης κυκλοφορίας 11,4 %. Η συχνότητα απαγόρευσης κυκλοφορίας οχημάτων ήταν μεγαλύτερη για τα ταξινομημένα οχήματα στη Σουηδία και τη Μάλτα, με ποσοστά απαγόρευσης κυκλοφορίας 37,5 % και 31,9 % αντίστοιχα. Από την άλλη πλευρά, η μικρότερη συχνότητα καταγράφηκε στην απαγόρευση κυκλοφορίας οχημάτων ταξινομημένων στη Γερμανία και στο Λουξεμβούργο, με ποσοστά απαγόρευσης κυκλοφορίας 1,7 % και 2,6 % αντίστοιχα. Δεδομένου ότι οι λόγοι στους οποίους οφείλονται οι διαφορές ως προς τα εν λόγω ποσοστά απαγορεύσεων κυκλοφορίας δεν είναι γνωστοί στην Επιτροπή, εικάζεται ευλόγως ότι πρέπει να απορρέουν από την εφαρμογή διαφορετικών μεθόδων ελέγχου και από τη διαφορετική κατηγοριοποίηση των ελαττωμάτων μεταξύ των κρατών μελών.</w:t>
      </w:r>
    </w:p>
    <w:p>
      <w:pPr>
        <w:pStyle w:val="ListParagraph"/>
        <w:spacing w:before="120" w:after="120" w:line="240" w:lineRule="auto"/>
        <w:ind w:left="783"/>
        <w:jc w:val="both"/>
        <w:rPr>
          <w:rFonts w:ascii="Times New Roman" w:eastAsia="Times New Roman" w:hAnsi="Times New Roman"/>
          <w:sz w:val="24"/>
          <w:szCs w:val="24"/>
        </w:rPr>
      </w:pPr>
    </w:p>
    <w:p>
      <w:pPr>
        <w:pStyle w:val="Heading2"/>
        <w:rPr>
          <w:rFonts w:cs="Times New Roman"/>
          <w:noProof/>
        </w:rPr>
      </w:pPr>
      <w:bookmarkStart w:id="17" w:name="_Toc33783652"/>
      <w:r>
        <w:rPr>
          <w:rFonts w:cs="Times New Roman"/>
          <w:noProof/>
        </w:rPr>
        <w:t>7.3        Ελαττώματα</w:t>
      </w:r>
      <w:bookmarkEnd w:id="17"/>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 xml:space="preserve">Τα δύο συχνότερα είδη ελαττωμάτων που διαπιστώθηκαν στο πλαίσιο των ελέγχων που διενεργήθηκαν κατά την περίοδο αναφοράς αφορούσαν τα προς έλεγχο σημεία «διατάξεις φωτισμού και ηλεκτρικό σύστημα» και «άξονες, τροχοί, ελαστικά-επίσωτρα, ανάρτηση». Τα ελαττώματα αυτά ανήλθαν σε ποσοστά 26,4 % και 16,5 % αντίστοιχα του συνολικού αριθμού των ελαττωμάτων που καταγράφηκαν. Τα ελαττώματα που αφορούσαν το προς έλεγχο σημείο «λοιπός εξοπλισμός, συμπεριλαμβανομένων του ταχογράφου και της διάταξης περιορισμού της ταχύτητας» αντιστοιχούσαν στο 11,5 % του συνολικού αριθμού των ελαττωμάτων που καταγράφηκαν σε όλα τα κράτη μέλη, ποσοστό μειωμένο σε σύγκριση με το 15,5 % που είχε καταγραφεί για την προηγούμενη περίοδο αναφοράς. Αξίζει να σημειωθεί ότι οι έλεγχοι που διενεργήθηκαν για το σημείο προς έλεγχο «οχλήσεις συμπεριλαμβανομένων των εκπομπών και της διαρροής καυσίμου και/ή ελαίου» σχεδόν διπλασιάστηκαν από 3,3 % κατά την περίοδο αναφοράς 2015-2016 σε 6,3 % κατά την τρέχουσα περίοδο αναφοράς, στοιχείο που αποτελεί θετική ένδειξη όσον αφορά τους περιβαλλοντικούς ελέγχους των οχημάτων. </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Ωστόσο, εξακολουθούν να υπάρχουν σημαντικές διαφορές μεταξύ των κρατών μελών ως προς τα ποσοστά απαγόρευσης κυκλοφορίας ανά σημείο προς έλεγχο. Για παράδειγμα, στην Ισπανία τα ελαττώματα στο προς έλεγχο σημείο «λοιπός εξοπλισμός, συμπεριλαμβανομένων του ταχογράφου και της διάταξης περιορισμού της ταχύτητας» αντιστοιχούσαν στο 64,9 % του συνολικού αριθμού ελαττωμάτων που καταγράφηκαν κατά την περίοδο αναφοράς, ενώ στο Ηνωμένο Βασίλειο τα ελαττώματα στο ίδιο σημείο προς έλεγχο αντιστοιχούσαν μόλις στο 0,8 % του συνολικού αριθμού ελαττωμάτων που διαπιστώθηκαν. Επισημαίνεται και πάλι ότι ο πιθανότερος λόγος είναι οι διαφορετικές μέθοδοι ελέγχου που εφαρμόζουν τα κράτη μέλη. Ωστόσο, αναμένεται ότι οι διαφορές αυτές θα αμβλυνθούν από τις 20 Μαΐου 2018, άπαξ και αρχίσει να παράγει αποτελέσματα η οδηγία 2014/47/ΕΕ, καθώς θα εξασφαλίσει υψηλότερο βαθμό εναρμόνισης όσον αφορά τις μεθόδους ελέγχου, την αξιολόγηση των ελαττωμάτων (αστοχιών) και τη χρήση εξοπλισμού ελέγχου.</w:t>
      </w:r>
    </w:p>
    <w:sectPr>
      <w:headerReference w:type="even" r:id="rId22"/>
      <w:headerReference w:type="default" r:id="rId23"/>
      <w:footerReference w:type="even" r:id="rId24"/>
      <w:footerReference w:type="default" r:id="rId25"/>
      <w:headerReference w:type="first" r:id="rId26"/>
      <w:footerReference w:type="first" r:id="rId27"/>
      <w:pgSz w:w="11907" w:h="16839"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64724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82788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Landscape"/>
      <w:rPr>
        <w:rFonts w:ascii="Arial" w:hAnsi="Arial" w:cs="Arial"/>
        <w:b/>
        <w:sz w:val="48"/>
        <w:lang w:val="es-E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6"/>
          <w:szCs w:val="16"/>
        </w:rPr>
      </w:pPr>
      <w:r>
        <w:rPr>
          <w:rStyle w:val="FootnoteReference"/>
          <w:sz w:val="16"/>
          <w:szCs w:val="16"/>
        </w:rPr>
        <w:footnoteRef/>
      </w:r>
      <w:r>
        <w:rPr>
          <w:sz w:val="16"/>
          <w:szCs w:val="16"/>
        </w:rPr>
        <w:tab/>
        <w:t>Κανονισμός (ΕΚ) αριθ. 1072/2009 του Ευρωπαϊκού Κοινοβουλίου και του Συμβουλίου, της 21ης Οκτωβρίου 2009, για τους κοινούς κανόνες πρόσβασης στην αγορά διεθνών οδικών εμπορευματικών μεταφορών (αναδιατύπωση) (ΕΕ L 300 της 14.11.2009, σ. 72).</w:t>
      </w:r>
    </w:p>
  </w:footnote>
  <w:footnote w:id="2">
    <w:p>
      <w:pPr>
        <w:pStyle w:val="FootnoteText"/>
        <w:rPr>
          <w:sz w:val="16"/>
          <w:szCs w:val="16"/>
        </w:rPr>
      </w:pPr>
      <w:r>
        <w:rPr>
          <w:rStyle w:val="FootnoteReference"/>
          <w:sz w:val="16"/>
          <w:szCs w:val="16"/>
        </w:rPr>
        <w:footnoteRef/>
      </w:r>
      <w:r>
        <w:rPr>
          <w:sz w:val="16"/>
          <w:szCs w:val="16"/>
        </w:rPr>
        <w:tab/>
      </w:r>
      <w:r>
        <w:rPr>
          <w:bCs/>
          <w:sz w:val="16"/>
          <w:szCs w:val="16"/>
        </w:rPr>
        <w:t>Οδηγία 2009/40/ΕΚ του Ευρωπαϊκού Κοινοβουλίου και του Συμβουλίου, της 6ης Μαΐου 2009, σχετικά με τον τεχνικό έλεγχο των μηχανοκίνητων οχημάτων και των ρυμουλκουμένων τους (αναδιατύπωση) (ΕΕ L 141 της 6.6.2009, σ. 12).</w:t>
      </w:r>
    </w:p>
  </w:footnote>
  <w:footnote w:id="3">
    <w:p>
      <w:pPr>
        <w:pStyle w:val="FootnoteText"/>
      </w:pPr>
      <w:r>
        <w:rPr>
          <w:rStyle w:val="FootnoteReference"/>
          <w:sz w:val="16"/>
          <w:szCs w:val="16"/>
        </w:rPr>
        <w:footnoteRef/>
      </w:r>
      <w:r>
        <w:rPr>
          <w:sz w:val="16"/>
          <w:szCs w:val="16"/>
        </w:rPr>
        <w:tab/>
      </w:r>
      <w:r>
        <w:rPr>
          <w:bCs/>
          <w:sz w:val="16"/>
          <w:szCs w:val="16"/>
        </w:rPr>
        <w:t>Οδηγία 2000/30/ΕΚ του Ευρωπαϊκού Κοινοβουλίου και του Συμβουλίου, της 6ης Ιουνίου 2000, σχετικά με τον οδικό τεχνικό έλεγχο των οχημάτων επαγγελματικής χρήσεως που κυκλοφορούν στην Κοινότητα (ΕΕ L 203 της 10.8.2000, σ. 1).</w:t>
      </w:r>
    </w:p>
  </w:footnote>
  <w:footnote w:id="4">
    <w:p>
      <w:pPr>
        <w:pStyle w:val="FootnoteText"/>
        <w:rPr>
          <w:sz w:val="16"/>
          <w:szCs w:val="16"/>
        </w:rPr>
      </w:pPr>
      <w:r>
        <w:rPr>
          <w:rStyle w:val="FootnoteReference"/>
          <w:sz w:val="16"/>
          <w:szCs w:val="16"/>
        </w:rPr>
        <w:footnoteRef/>
      </w:r>
      <w:r>
        <w:rPr>
          <w:sz w:val="16"/>
          <w:szCs w:val="16"/>
        </w:rPr>
        <w:t xml:space="preserve"> </w:t>
      </w:r>
      <w:r>
        <w:rPr>
          <w:sz w:val="16"/>
          <w:szCs w:val="16"/>
        </w:rPr>
        <w:tab/>
        <w:t>Οδηγία 2014/47/ΕΕ του Ευρωπαϊκού Κοινοβουλίου και του Συμβουλίου, της 3ης Απριλίου 2014, σχετικά με την τεχνική οδική επιθεώρηση της καλής τεχνικής κατάστασης των οχημάτων επαγγελματικής χρήσεως που κυκλοφορούν στην Ένωση (ΕΕ L 127 της 29.4.2014, σ. 134).</w:t>
      </w:r>
    </w:p>
  </w:footnote>
  <w:footnote w:id="5">
    <w:p>
      <w:pPr>
        <w:pStyle w:val="FootnoteText"/>
        <w:rPr>
          <w:sz w:val="16"/>
          <w:szCs w:val="16"/>
        </w:rPr>
      </w:pPr>
      <w:r>
        <w:rPr>
          <w:rStyle w:val="FootnoteReference"/>
          <w:sz w:val="16"/>
          <w:szCs w:val="16"/>
        </w:rPr>
        <w:footnoteRef/>
      </w:r>
      <w:r>
        <w:rPr>
          <w:sz w:val="16"/>
          <w:szCs w:val="16"/>
        </w:rPr>
        <w:t xml:space="preserve"> </w:t>
      </w:r>
      <w:r>
        <w:rPr>
          <w:sz w:val="16"/>
          <w:szCs w:val="16"/>
        </w:rPr>
        <w:tab/>
        <w:t xml:space="preserve">Οι αρχικοί έλεγχοι περιλαμβάνουν έλεγχο των εγγράφων και οπτική αξιολόγηση της τεχνικής κατάστασης του οχήματος, ενώ οι διεξοδικότεροι έλεγχοι (οι οποίοι πραγματοποιούνται σε συνέχεια του αρχικού ελέγχου, εάν κριθεί αναγκαίο) πρέπει να διενεργούνται από κινητή μονάδα ελέγχου, καθορισμένη οδική εγκατάσταση ελέγχου ή κέντρο τεχνικού ελέγχου. </w:t>
      </w:r>
    </w:p>
  </w:footnote>
  <w:footnote w:id="6">
    <w:p>
      <w:pPr>
        <w:pStyle w:val="FootnoteText"/>
      </w:pPr>
      <w:r>
        <w:rPr>
          <w:rStyle w:val="FootnoteReference"/>
          <w:sz w:val="16"/>
          <w:szCs w:val="16"/>
        </w:rPr>
        <w:footnoteRef/>
      </w:r>
      <w:r>
        <w:rPr>
          <w:sz w:val="16"/>
          <w:szCs w:val="16"/>
        </w:rPr>
        <w:t xml:space="preserve"> </w:t>
      </w:r>
      <w:r>
        <w:rPr>
          <w:sz w:val="16"/>
          <w:szCs w:val="16"/>
        </w:rPr>
        <w:tab/>
        <w:t>Το υποχρεωτικό σύστημα διαβάθμισης της επικινδυνότητας που θεσπίστηκε βάσει της οδηγίας 2014/47/ΕΕ θα εφαρμοστεί σε όλα τα κράτη μέλη από τις 20 Μαΐου 2019. Οι κακές επιδόσεις στο πλαίσιο των οδικών ελέγχων σε σχέση με τον αριθμό και τη σοβαρότητα των ελαττωμάτων που διαπιστώνονται τόσο κατά τους οδικούς τεχνικούς ελέγχους όσο και κατά τους ελέγχους ασφάλειας φορτίου συνεπάγονται την αξιολόγηση των επιχειρήσεων ως υψηλότερου κινδύνου στο πλαίσιο της διαβάθμισης επικινδυνότητας. Στην περίπτωση αυτή, οι αρμόδιες αρχές των κρατών μελών θα χρησιμοποιούν τις πληροφορίες αυτές για τη διεξαγωγή συχνότερων ελέγχων των επιχειρήσεων υψηλής επικινδυνότητας.</w:t>
      </w:r>
    </w:p>
  </w:footnote>
  <w:footnote w:id="7">
    <w:p>
      <w:pPr>
        <w:pStyle w:val="FootnoteText"/>
        <w:jc w:val="left"/>
        <w:rPr>
          <w:sz w:val="16"/>
          <w:szCs w:val="16"/>
        </w:rPr>
      </w:pPr>
      <w:r>
        <w:rPr>
          <w:rStyle w:val="FootnoteReference"/>
          <w:sz w:val="16"/>
          <w:szCs w:val="16"/>
        </w:rPr>
        <w:footnoteRef/>
      </w:r>
      <w:r>
        <w:rPr>
          <w:sz w:val="16"/>
          <w:szCs w:val="16"/>
        </w:rPr>
        <w:t xml:space="preserve"> </w:t>
      </w:r>
      <w:r>
        <w:rPr>
          <w:sz w:val="16"/>
          <w:szCs w:val="16"/>
        </w:rPr>
        <w:tab/>
        <w:t>Οδηγία 2010/47/ΕΕ της Επιτροπής, της 5ης Ιουλίου 2010, για την προσαρμογή στην τεχνική πρόοδο της οδηγίας 2000/30/ΕΚ (ΕΕ L 173 της 8.7.2010, σ. 33).</w:t>
      </w:r>
    </w:p>
  </w:footnote>
  <w:footnote w:id="8">
    <w:p>
      <w:pPr>
        <w:pStyle w:val="FootnoteText"/>
      </w:pPr>
      <w:r>
        <w:rPr>
          <w:rStyle w:val="FootnoteReference"/>
        </w:rPr>
        <w:footnoteRef/>
      </w:r>
      <w:r>
        <w:t xml:space="preserve"> </w:t>
      </w:r>
      <w:r>
        <w:rPr>
          <w:sz w:val="16"/>
          <w:szCs w:val="16"/>
        </w:rPr>
        <w:t xml:space="preserve">Οδηγία 2006/22/ΕΚ του Ευρωπαϊκού Κοινοβουλίου και του Συμβουλίου, της 15ης Μαρτίου 2006, για καθορισμό ελάχιστων προϋποθέσεων για την εφαρμογή των κανονισμών (ΕΟΚ) αριθ. 3820/85 και (ΕΟΚ) αριθ. 3821/85 του Συμβουλίου σχετικά με την κοινωνική νομοθεσία όσον αφορά δραστηριότητες οδικών μεταφορών και για την κατάργηση της οδηγίας 88/599/ΕΟΚ του Συμβουλίου (ΕΕ L 102 της 11.4.2006, σ. 35).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35D3976"/>
    <w:multiLevelType w:val="hybridMultilevel"/>
    <w:tmpl w:val="6ED8F4B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03AE497A"/>
    <w:multiLevelType w:val="singleLevel"/>
    <w:tmpl w:val="34180612"/>
    <w:name w:val="List Bullet 1"/>
    <w:lvl w:ilvl="0">
      <w:start w:val="1"/>
      <w:numFmt w:val="bullet"/>
      <w:lvlRestart w:val="0"/>
      <w:lvlText w:val=""/>
      <w:lvlJc w:val="left"/>
      <w:pPr>
        <w:tabs>
          <w:tab w:val="num" w:pos="1134"/>
        </w:tabs>
        <w:ind w:left="1134" w:hanging="283"/>
      </w:pPr>
      <w:rPr>
        <w:rFonts w:ascii="Symbol" w:hAnsi="Symbol"/>
      </w:rPr>
    </w:lvl>
  </w:abstractNum>
  <w:abstractNum w:abstractNumId="4">
    <w:nsid w:val="118841AB"/>
    <w:multiLevelType w:val="hybridMultilevel"/>
    <w:tmpl w:val="F2C0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2"/>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75631B"/>
    <w:multiLevelType w:val="singleLevel"/>
    <w:tmpl w:val="A4DC141A"/>
    <w:name w:val="0.1605952"/>
    <w:lvl w:ilvl="0">
      <w:start w:val="1"/>
      <w:numFmt w:val="bullet"/>
      <w:pStyle w:val="ListBullet1"/>
      <w:lvlText w:val=""/>
      <w:lvlJc w:val="left"/>
      <w:pPr>
        <w:tabs>
          <w:tab w:val="num" w:pos="765"/>
        </w:tabs>
        <w:ind w:left="765" w:hanging="283"/>
      </w:pPr>
      <w:rPr>
        <w:rFonts w:ascii="Symbol" w:hAnsi="Symbol"/>
      </w:r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2"/>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name w:val="0.5885388"/>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
      <w:lvlText w:val="–"/>
      <w:lvlJc w:val="left"/>
      <w:pPr>
        <w:tabs>
          <w:tab w:val="num" w:pos="2608"/>
        </w:tabs>
        <w:ind w:left="2608" w:hanging="709"/>
      </w:pPr>
      <w:rPr>
        <w:rFonts w:ascii="Times New Roman" w:hAnsi="Times New Roman"/>
      </w:rPr>
    </w:lvl>
    <w:lvl w:ilvl="3">
      <w:start w:val="1"/>
      <w:numFmt w:val="bullet"/>
      <w:pStyle w:val="ListNumber1Level2"/>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7F03D04"/>
    <w:multiLevelType w:val="hybridMultilevel"/>
    <w:tmpl w:val="5016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nsid w:val="3CBC2859"/>
    <w:multiLevelType w:val="multilevel"/>
    <w:tmpl w:val="A738782E"/>
    <w:name w:val="List Number 1"/>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467E1F76"/>
    <w:multiLevelType w:val="multilevel"/>
    <w:tmpl w:val="7B4A48A6"/>
    <w:lvl w:ilvl="0">
      <w:start w:val="1"/>
      <w:numFmt w:val="lowerLetter"/>
      <w:lvlText w:val="%1)"/>
      <w:lvlJc w:val="left"/>
      <w:pPr>
        <w:tabs>
          <w:tab w:val="num" w:pos="1560"/>
        </w:tabs>
        <w:ind w:left="1560" w:hanging="709"/>
      </w:p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E155465"/>
    <w:multiLevelType w:val="hybridMultilevel"/>
    <w:tmpl w:val="BE60F832"/>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8">
    <w:nsid w:val="561239CE"/>
    <w:multiLevelType w:val="hybridMultilevel"/>
    <w:tmpl w:val="2DDA5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08E7F4B"/>
    <w:multiLevelType w:val="hybridMultilevel"/>
    <w:tmpl w:val="5F22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6">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2"/>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5C26F71"/>
    <w:multiLevelType w:val="multilevel"/>
    <w:tmpl w:val="A460784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A5E48DA"/>
    <w:multiLevelType w:val="hybridMultilevel"/>
    <w:tmpl w:val="12C4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BB66E5"/>
    <w:multiLevelType w:val="hybridMultilevel"/>
    <w:tmpl w:val="3F74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0"/>
  </w:num>
  <w:num w:numId="2">
    <w:abstractNumId w:val="31"/>
  </w:num>
  <w:num w:numId="3">
    <w:abstractNumId w:val="20"/>
  </w:num>
  <w:num w:numId="4">
    <w:abstractNumId w:val="37"/>
  </w:num>
  <w:num w:numId="5">
    <w:abstractNumId w:val="13"/>
  </w:num>
  <w:num w:numId="6">
    <w:abstractNumId w:val="21"/>
  </w:num>
  <w:num w:numId="7">
    <w:abstractNumId w:val="9"/>
  </w:num>
  <w:num w:numId="8">
    <w:abstractNumId w:val="36"/>
  </w:num>
  <w:num w:numId="9">
    <w:abstractNumId w:val="6"/>
  </w:num>
  <w:num w:numId="10">
    <w:abstractNumId w:val="22"/>
  </w:num>
  <w:num w:numId="11">
    <w:abstractNumId w:val="29"/>
  </w:num>
  <w:num w:numId="12">
    <w:abstractNumId w:val="30"/>
  </w:num>
  <w:num w:numId="13">
    <w:abstractNumId w:val="12"/>
  </w:num>
  <w:num w:numId="14">
    <w:abstractNumId w:val="27"/>
  </w:num>
  <w:num w:numId="15">
    <w:abstractNumId w:val="43"/>
  </w:num>
  <w:num w:numId="16">
    <w:abstractNumId w:val="7"/>
  </w:num>
  <w:num w:numId="17">
    <w:abstractNumId w:val="10"/>
  </w:num>
  <w:num w:numId="18">
    <w:abstractNumId w:val="35"/>
  </w:num>
  <w:num w:numId="19">
    <w:abstractNumId w:val="14"/>
  </w:num>
  <w:num w:numId="20">
    <w:abstractNumId w:val="33"/>
  </w:num>
  <w:num w:numId="21">
    <w:abstractNumId w:val="23"/>
  </w:num>
  <w:num w:numId="22">
    <w:abstractNumId w:val="15"/>
  </w:num>
  <w:num w:numId="23">
    <w:abstractNumId w:val="3"/>
  </w:num>
  <w:num w:numId="24">
    <w:abstractNumId w:val="18"/>
  </w:num>
  <w:num w:numId="25">
    <w:abstractNumId w:val="1"/>
  </w:num>
  <w:num w:numId="26">
    <w:abstractNumId w:val="0"/>
  </w:num>
  <w:num w:numId="27">
    <w:abstractNumId w:val="19"/>
  </w:num>
  <w:num w:numId="28">
    <w:abstractNumId w:val="17"/>
  </w:num>
  <w:num w:numId="29">
    <w:abstractNumId w:val="38"/>
  </w:num>
  <w:num w:numId="30">
    <w:abstractNumId w:val="32"/>
  </w:num>
  <w:num w:numId="31">
    <w:abstractNumId w:val="26"/>
  </w:num>
  <w:num w:numId="32">
    <w:abstractNumId w:val="8"/>
  </w:num>
  <w:num w:numId="33">
    <w:abstractNumId w:val="5"/>
  </w:num>
  <w:num w:numId="34">
    <w:abstractNumId w:val="11"/>
  </w:num>
  <w:num w:numId="35">
    <w:abstractNumId w:val="39"/>
  </w:num>
  <w:num w:numId="36">
    <w:abstractNumId w:val="42"/>
  </w:num>
  <w:num w:numId="37">
    <w:abstractNumId w:val="16"/>
  </w:num>
  <w:num w:numId="38">
    <w:abstractNumId w:val="24"/>
  </w:num>
  <w:num w:numId="39">
    <w:abstractNumId w:val="4"/>
  </w:num>
  <w:num w:numId="40">
    <w:abstractNumId w:val="41"/>
  </w:num>
  <w:num w:numId="41">
    <w:abstractNumId w:val="25"/>
  </w:num>
  <w:num w:numId="42">
    <w:abstractNumId w:val="34"/>
  </w:num>
  <w:num w:numId="43">
    <w:abstractNumId w:val="28"/>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revisionView w:markup="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7F4609D-60E9-4A21-B76B-F80B25561C3C"/>
    <w:docVar w:name="LW_COVERPAGE_TYPE" w:val="1"/>
    <w:docVar w:name="LW_CROSSREFERENCE" w:val="&lt;UNUSED&gt;"/>
    <w:docVar w:name="LW_DocType" w:val="NORMAL"/>
    <w:docVar w:name="LW_EMISSION" w:val="23.3.2020"/>
    <w:docVar w:name="LW_EMISSION_ISODATE" w:val="2020-03-23"/>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0) 1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 Greek&gt;\u947?\u953?\u945? \u964?\u951?\u957? \u949?\u966?\u945?\u961?\u956?\u959?\u947?\u942? \u945?\u960?\u972? \u964?\u945? \u954?\u961?\u940?\u964?\u951? \u956?\u941?\u955?\u951? \u964?\u951?\u962?&lt;/FMT&gt;&lt;FMT:Font=Calibri&gt; &lt;/FMT&gt;&lt;FMT:Font=Calibri Greek&gt;\u959?\u948?\u951?\u947?\u943?\u945?\u962? 2000/30/\u917?\u922? \u964?\u959?\u965? \u917?\u965?\u961?\u969?\u960?\u945?\u970?\u954?\u959?\u973? \u922?\u959?\u953?\u957?\u959?\u946?\u959?\u965?\u955?\u943?\u959?\u965? \u954?\u945?\u953? \u964?\u959?\u965? \u931?\u965?\u956?\u946?\u959?\u965?\u955?\u943?\u959?\u965?, \u964?\u951?\u962?&lt;/FMT&gt;&lt;FMT:Font=Calibri&gt; 6&lt;/FMT&gt;&lt;FMT:Font=Calibri Greek&gt;\u951?\u962? \u921?\u959?\u965?\u957?\u943?\u959?\u965? 2000, \u963?\u967?\u949?\u964?\u953?\u954?\u940? \u956?\u949? \u964?\u959?\u957? \u959?\u948?\u953?\u954?\u972? \u964?\u949?\u967?\u957?\u953?\u954?\u972? \u941?\u955?\u949?\u947?\u967?\u959? \u964?\u969?\u957? \u959?\u967?\u951?\u956?\u940?\u964?\u969?\u957? \u949?\u960?\u945?\u947?\u947?\u949?\u955?\u956?\u945?\u964?\u953?\u954?\u942?\u962? \u967?\u961?\u942?\u963?\u949?\u969?\u962? \u960?\u959?\u965? \u954?\u965?\u954?\u955?\u959?\u966?\u959?\u961?\u959?\u973?\u957? \u963?\u964?\u951?\u957? \u922?\u959?\u953?\u957?\u972?\u964?\u951?\u964?\u945?&lt;/FMT&gt;_x000b__x000d__x000d__x000b_\u928?\u949?\u961?\u943?\u959?\u948?\u959?\u962? \u945?\u957?\u945?\u966?\u959?\u961?\u940?\u962? 2017-2018  "/>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9" w:uiPriority="39"/>
    <w:lsdException w:name="header" w:uiPriority="99"/>
    <w:lsdException w:name="footer" w:uiPriority="99"/>
    <w:lsdException w:name="caption" w:qFormat="1"/>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styleId="Heading2">
    <w:name w:val="heading 2"/>
    <w:basedOn w:val="Normal"/>
    <w:next w:val="Text1"/>
    <w:link w:val="Heading2Char"/>
    <w:qFormat/>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styleId="Heading3">
    <w:name w:val="heading 3"/>
    <w:basedOn w:val="Normal"/>
    <w:next w:val="Text1"/>
    <w:link w:val="Heading3Char"/>
    <w:qFormat/>
    <w:pPr>
      <w:keepNext/>
      <w:numPr>
        <w:ilvl w:val="2"/>
        <w:numId w:val="16"/>
      </w:numPr>
      <w:tabs>
        <w:tab w:val="clear" w:pos="1920"/>
        <w:tab w:val="num" w:pos="850"/>
      </w:tabs>
      <w:spacing w:before="120" w:after="120" w:line="240" w:lineRule="auto"/>
      <w:ind w:left="850" w:hanging="850"/>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6"/>
      </w:numPr>
      <w:tabs>
        <w:tab w:val="clear" w:pos="1920"/>
        <w:tab w:val="num" w:pos="850"/>
      </w:tabs>
      <w:spacing w:before="120" w:after="120" w:line="240" w:lineRule="auto"/>
      <w:ind w:left="850" w:hanging="850"/>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qFormat/>
    <w:pPr>
      <w:tabs>
        <w:tab w:val="num" w:pos="0"/>
      </w:tabs>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qFormat/>
    <w:pPr>
      <w:tabs>
        <w:tab w:val="num" w:pos="0"/>
      </w:tabs>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pPr>
      <w:tabs>
        <w:tab w:val="num" w:pos="0"/>
      </w:tabs>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pPr>
      <w:tabs>
        <w:tab w:val="num" w:pos="0"/>
      </w:tabs>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pPr>
      <w:tabs>
        <w:tab w:val="num" w:pos="0"/>
      </w:tabs>
      <w:spacing w:before="240" w:after="60" w:line="240" w:lineRule="auto"/>
      <w:jc w:val="both"/>
      <w:outlineLvl w:val="8"/>
    </w:pPr>
    <w:rPr>
      <w:rFonts w:ascii="Arial" w:eastAsia="Times New Roman" w:hAnsi="Arial" w:cs="Times New Roman"/>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b/>
      <w:smallCaps/>
      <w:sz w:val="24"/>
      <w:szCs w:val="24"/>
    </w:rPr>
  </w:style>
  <w:style w:type="character" w:customStyle="1" w:styleId="Heading2Char">
    <w:name w:val="Heading 2 Char"/>
    <w:basedOn w:val="DefaultParagraphFont"/>
    <w:link w:val="Heading2"/>
    <w:rPr>
      <w:rFonts w:ascii="Times New Roman" w:eastAsia="Times New Roman" w:hAnsi="Times New Roman"/>
      <w:b/>
      <w:sz w:val="24"/>
      <w:szCs w:val="24"/>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numbering" w:customStyle="1" w:styleId="NoList1">
    <w:name w:val="No List1"/>
    <w:next w:val="NoList"/>
    <w:uiPriority w:val="99"/>
    <w:semiHidden/>
    <w:unhideWhenUsed/>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uiPriority w:val="39"/>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2"/>
      </w:numPr>
    </w:pPr>
  </w:style>
  <w:style w:type="paragraph" w:customStyle="1" w:styleId="Tiret1">
    <w:name w:val="Tiret 1"/>
    <w:basedOn w:val="Point1"/>
    <w:pPr>
      <w:numPr>
        <w:numId w:val="3"/>
      </w:numPr>
    </w:pPr>
  </w:style>
  <w:style w:type="paragraph" w:customStyle="1" w:styleId="Tiret2">
    <w:name w:val="Tiret 2"/>
    <w:basedOn w:val="Point2"/>
    <w:pPr>
      <w:numPr>
        <w:numId w:val="4"/>
      </w:numPr>
    </w:pPr>
  </w:style>
  <w:style w:type="paragraph" w:customStyle="1" w:styleId="Tiret3">
    <w:name w:val="Tiret 3"/>
    <w:basedOn w:val="Point3"/>
    <w:pPr>
      <w:numPr>
        <w:numId w:val="5"/>
      </w:numPr>
    </w:pPr>
  </w:style>
  <w:style w:type="paragraph" w:customStyle="1" w:styleId="Tiret4">
    <w:name w:val="Tiret 4"/>
    <w:basedOn w:val="Point4"/>
    <w:pPr>
      <w:numPr>
        <w:numId w:val="6"/>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7"/>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7"/>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7"/>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7"/>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9"/>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9"/>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9"/>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9"/>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9"/>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9"/>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Considrant">
    <w:name w:val="Considérant"/>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3">
    <w:name w:val="List Bullet 3"/>
    <w:basedOn w:val="Text3"/>
    <w:pPr>
      <w:numPr>
        <w:numId w:val="18"/>
      </w:numPr>
      <w:spacing w:before="0" w:after="240"/>
    </w:pPr>
    <w:rPr>
      <w:szCs w:val="20"/>
    </w:rPr>
  </w:style>
  <w:style w:type="paragraph" w:customStyle="1" w:styleId="ListBullet1">
    <w:name w:val="List Bullet 1"/>
    <w:basedOn w:val="Text1"/>
    <w:pPr>
      <w:numPr>
        <w:numId w:val="17"/>
      </w:numPr>
      <w:spacing w:before="0" w:after="240"/>
    </w:pPr>
    <w:rPr>
      <w:szCs w:val="20"/>
    </w:rPr>
  </w:style>
  <w:style w:type="paragraph" w:customStyle="1" w:styleId="ListDash">
    <w:name w:val="List Dash"/>
    <w:basedOn w:val="Normal"/>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pPr>
      <w:numPr>
        <w:numId w:val="20"/>
      </w:numPr>
      <w:spacing w:before="0" w:after="240"/>
    </w:pPr>
    <w:rPr>
      <w:szCs w:val="20"/>
    </w:rPr>
  </w:style>
  <w:style w:type="paragraph" w:customStyle="1" w:styleId="ListDash3">
    <w:name w:val="List Dash 3"/>
    <w:basedOn w:val="Text3"/>
    <w:pPr>
      <w:numPr>
        <w:numId w:val="21"/>
      </w:numPr>
      <w:spacing w:before="0" w:after="240"/>
    </w:pPr>
    <w:rPr>
      <w:szCs w:val="20"/>
    </w:rPr>
  </w:style>
  <w:style w:type="paragraph" w:customStyle="1" w:styleId="ListNumber1">
    <w:name w:val="List Number 1"/>
    <w:basedOn w:val="Text1"/>
    <w:pPr>
      <w:numPr>
        <w:ilvl w:val="2"/>
        <w:numId w:val="22"/>
      </w:numPr>
      <w:tabs>
        <w:tab w:val="clear" w:pos="2608"/>
        <w:tab w:val="num" w:pos="1191"/>
      </w:tabs>
      <w:spacing w:before="0" w:after="240"/>
      <w:ind w:left="1191"/>
    </w:pPr>
    <w:rPr>
      <w:szCs w:val="20"/>
    </w:rPr>
  </w:style>
  <w:style w:type="paragraph" w:customStyle="1" w:styleId="ListNumber1Level2">
    <w:name w:val="List Number 1 (Level 2)"/>
    <w:basedOn w:val="Text1"/>
    <w:pPr>
      <w:numPr>
        <w:ilvl w:val="3"/>
        <w:numId w:val="22"/>
      </w:numPr>
      <w:tabs>
        <w:tab w:val="clear" w:pos="3317"/>
        <w:tab w:val="num" w:pos="1899"/>
      </w:tabs>
      <w:spacing w:before="0" w:after="240"/>
      <w:ind w:left="1899" w:hanging="708"/>
    </w:pPr>
    <w:rPr>
      <w:szCs w:val="20"/>
    </w:rPr>
  </w:style>
  <w:style w:type="character" w:styleId="Hyperlink">
    <w:name w:val="Hyperlink"/>
    <w:uiPriority w:val="99"/>
    <w:unhideWhenUsed/>
    <w:rPr>
      <w:color w:val="0000FF"/>
      <w:u w:val="single"/>
    </w:rPr>
  </w:style>
  <w:style w:type="numbering" w:customStyle="1" w:styleId="NoList11">
    <w:name w:val="No List11"/>
    <w:next w:val="NoList"/>
    <w:uiPriority w:val="99"/>
    <w:semiHidden/>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pPr>
      <w:spacing w:after="720" w:line="240" w:lineRule="auto"/>
      <w:ind w:left="5103"/>
    </w:pPr>
    <w:rPr>
      <w:rFonts w:ascii="Times New Roman" w:eastAsia="Times New Roman" w:hAnsi="Times New Roman" w:cs="Times New Roman"/>
      <w:sz w:val="24"/>
      <w:szCs w:val="20"/>
    </w:rPr>
  </w:style>
  <w:style w:type="paragraph" w:styleId="BlockText">
    <w:name w:val="Block Text"/>
    <w:basedOn w:val="Normal"/>
    <w:pPr>
      <w:spacing w:after="120" w:line="240" w:lineRule="auto"/>
      <w:ind w:left="1440" w:right="1440"/>
      <w:jc w:val="both"/>
    </w:pPr>
    <w:rPr>
      <w:rFonts w:ascii="Times New Roman" w:eastAsia="Times New Roman" w:hAnsi="Times New Roman" w:cs="Times New Roman"/>
      <w:sz w:val="24"/>
      <w:szCs w:val="20"/>
    </w:rPr>
  </w:style>
  <w:style w:type="paragraph" w:styleId="BodyText">
    <w:name w:val="Body Text"/>
    <w:basedOn w:val="Normal"/>
    <w:link w:val="BodyTextChar"/>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line="240" w:lineRule="auto"/>
      <w:jc w:val="both"/>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line="240" w:lineRule="auto"/>
      <w:ind w:left="283"/>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line="240" w:lineRule="auto"/>
      <w:ind w:left="283"/>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sz w:val="24"/>
      <w:szCs w:val="20"/>
    </w:rPr>
  </w:style>
  <w:style w:type="paragraph" w:styleId="Closing">
    <w:name w:val="Closing"/>
    <w:basedOn w:val="Normal"/>
    <w:link w:val="ClosingChar"/>
    <w:pPr>
      <w:spacing w:after="240" w:line="240" w:lineRule="auto"/>
      <w:ind w:left="4252"/>
      <w:jc w:val="both"/>
    </w:pPr>
    <w:rPr>
      <w:rFonts w:ascii="Times New Roman" w:eastAsia="Times New Roman" w:hAnsi="Times New Roman" w:cs="Times New Roman"/>
      <w:sz w:val="24"/>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CommentText">
    <w:name w:val="annotation text"/>
    <w:basedOn w:val="Normal"/>
    <w:link w:val="CommentTextChar"/>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rPr>
  </w:style>
  <w:style w:type="paragraph" w:customStyle="1" w:styleId="References">
    <w:name w:val="References"/>
    <w:basedOn w:val="Normal"/>
    <w:next w:val="AddressTR"/>
    <w:pPr>
      <w:spacing w:after="240" w:line="240" w:lineRule="auto"/>
      <w:ind w:left="5103"/>
    </w:pPr>
    <w:rPr>
      <w:rFonts w:ascii="Times New Roman" w:eastAsia="Times New Roman" w:hAnsi="Times New Roman" w:cs="Times New Roman"/>
      <w:sz w:val="20"/>
      <w:szCs w:val="20"/>
    </w:rPr>
  </w:style>
  <w:style w:type="paragraph" w:styleId="DocumentMap">
    <w:name w:val="Document Map"/>
    <w:basedOn w:val="Normal"/>
    <w:link w:val="DocumentMapChar"/>
    <w:pPr>
      <w:shd w:val="clear" w:color="auto" w:fill="000080"/>
      <w:spacing w:after="240" w:line="240" w:lineRule="auto"/>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rPr>
      <w:rFonts w:ascii="Tahoma" w:eastAsia="Times New Roman" w:hAnsi="Tahoma" w:cs="Times New Roman"/>
      <w:sz w:val="24"/>
      <w:szCs w:val="20"/>
      <w:shd w:val="clear" w:color="auto" w:fill="000080"/>
    </w:rPr>
  </w:style>
  <w:style w:type="paragraph" w:customStyle="1" w:styleId="DoubSign">
    <w:name w:val="DoubSign"/>
    <w:basedOn w:val="Normal"/>
    <w:next w:val="Enclosures"/>
    <w:pPr>
      <w:tabs>
        <w:tab w:val="left" w:pos="5103"/>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pPr>
      <w:keepNext/>
      <w:keepLines/>
      <w:tabs>
        <w:tab w:val="left" w:pos="5642"/>
      </w:tabs>
      <w:spacing w:before="480" w:after="0" w:line="240" w:lineRule="auto"/>
      <w:ind w:left="1191" w:hanging="1191"/>
    </w:pPr>
    <w:rPr>
      <w:rFonts w:ascii="Times New Roman" w:eastAsia="Times New Roman" w:hAnsi="Times New Roman" w:cs="Times New Roman"/>
      <w:sz w:val="24"/>
      <w:szCs w:val="20"/>
    </w:rPr>
  </w:style>
  <w:style w:type="paragraph" w:styleId="EndnoteText">
    <w:name w:val="endnote text"/>
    <w:basedOn w:val="Normal"/>
    <w:link w:val="EndnoteTextChar"/>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pPr>
      <w:spacing w:after="0" w:line="240" w:lineRule="auto"/>
      <w:jc w:val="both"/>
    </w:pPr>
    <w:rPr>
      <w:rFonts w:ascii="Times New Roman" w:eastAsia="Times New Roman" w:hAnsi="Times New Roman" w:cs="Times New Roman"/>
      <w:sz w:val="20"/>
      <w:szCs w:val="20"/>
    </w:rPr>
  </w:style>
  <w:style w:type="paragraph" w:styleId="Index1">
    <w:name w:val="index 1"/>
    <w:basedOn w:val="Normal"/>
    <w:next w:val="Normal"/>
    <w:autoRedefine/>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pPr>
      <w:spacing w:after="24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pPr>
      <w:spacing w:after="240" w:line="240" w:lineRule="auto"/>
      <w:jc w:val="both"/>
    </w:pPr>
    <w:rPr>
      <w:rFonts w:ascii="Arial" w:eastAsia="Times New Roman" w:hAnsi="Arial" w:cs="Times New Roman"/>
      <w:b/>
      <w:sz w:val="24"/>
      <w:szCs w:val="20"/>
    </w:rPr>
  </w:style>
  <w:style w:type="paragraph" w:styleId="List">
    <w:name w:val="List"/>
    <w:basedOn w:val="Normal"/>
    <w:pPr>
      <w:spacing w:after="240" w:line="240" w:lineRule="auto"/>
      <w:ind w:left="283" w:hanging="283"/>
      <w:jc w:val="both"/>
    </w:pPr>
    <w:rPr>
      <w:rFonts w:ascii="Times New Roman" w:eastAsia="Times New Roman" w:hAnsi="Times New Roman" w:cs="Times New Roman"/>
      <w:sz w:val="24"/>
      <w:szCs w:val="20"/>
    </w:rPr>
  </w:style>
  <w:style w:type="paragraph" w:styleId="List2">
    <w:name w:val="List 2"/>
    <w:basedOn w:val="Normal"/>
    <w:pPr>
      <w:spacing w:after="240" w:line="240" w:lineRule="auto"/>
      <w:ind w:left="566" w:hanging="283"/>
      <w:jc w:val="both"/>
    </w:pPr>
    <w:rPr>
      <w:rFonts w:ascii="Times New Roman" w:eastAsia="Times New Roman" w:hAnsi="Times New Roman" w:cs="Times New Roman"/>
      <w:sz w:val="24"/>
      <w:szCs w:val="20"/>
    </w:rPr>
  </w:style>
  <w:style w:type="paragraph" w:styleId="List3">
    <w:name w:val="List 3"/>
    <w:basedOn w:val="Normal"/>
    <w:pPr>
      <w:spacing w:after="240" w:line="240" w:lineRule="auto"/>
      <w:ind w:left="849" w:hanging="283"/>
      <w:jc w:val="both"/>
    </w:pPr>
    <w:rPr>
      <w:rFonts w:ascii="Times New Roman" w:eastAsia="Times New Roman" w:hAnsi="Times New Roman" w:cs="Times New Roman"/>
      <w:sz w:val="24"/>
      <w:szCs w:val="20"/>
    </w:rPr>
  </w:style>
  <w:style w:type="paragraph" w:styleId="List4">
    <w:name w:val="List 4"/>
    <w:basedOn w:val="Normal"/>
    <w:pPr>
      <w:spacing w:after="240" w:line="240" w:lineRule="auto"/>
      <w:ind w:left="1132" w:hanging="283"/>
      <w:jc w:val="both"/>
    </w:pPr>
    <w:rPr>
      <w:rFonts w:ascii="Times New Roman" w:eastAsia="Times New Roman" w:hAnsi="Times New Roman" w:cs="Times New Roman"/>
      <w:sz w:val="24"/>
      <w:szCs w:val="20"/>
    </w:rPr>
  </w:style>
  <w:style w:type="paragraph" w:styleId="List5">
    <w:name w:val="List 5"/>
    <w:basedOn w:val="Normal"/>
    <w:pPr>
      <w:spacing w:after="240" w:line="240" w:lineRule="auto"/>
      <w:ind w:left="1415" w:hanging="283"/>
      <w:jc w:val="both"/>
    </w:pPr>
    <w:rPr>
      <w:rFonts w:ascii="Times New Roman" w:eastAsia="Times New Roman" w:hAnsi="Times New Roman" w:cs="Times New Roman"/>
      <w:sz w:val="24"/>
      <w:szCs w:val="20"/>
    </w:rPr>
  </w:style>
  <w:style w:type="paragraph" w:styleId="ListBullet">
    <w:name w:val="List Bullet"/>
    <w:basedOn w:val="Normal"/>
    <w:pPr>
      <w:numPr>
        <w:numId w:val="27"/>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Text2"/>
    <w:pPr>
      <w:numPr>
        <w:numId w:val="28"/>
      </w:numPr>
      <w:spacing w:before="0" w:after="240"/>
    </w:pPr>
    <w:rPr>
      <w:szCs w:val="20"/>
    </w:rPr>
  </w:style>
  <w:style w:type="paragraph" w:styleId="ListBullet4">
    <w:name w:val="List Bullet 4"/>
    <w:basedOn w:val="Text4"/>
    <w:pPr>
      <w:numPr>
        <w:numId w:val="29"/>
      </w:numPr>
      <w:spacing w:before="0" w:after="240"/>
    </w:pPr>
    <w:rPr>
      <w:szCs w:val="20"/>
    </w:rPr>
  </w:style>
  <w:style w:type="paragraph" w:styleId="ListBullet5">
    <w:name w:val="List Bullet 5"/>
    <w:basedOn w:val="Normal"/>
    <w:autoRedefine/>
    <w:pPr>
      <w:numPr>
        <w:numId w:val="25"/>
      </w:numPr>
      <w:spacing w:after="240" w:line="240" w:lineRule="auto"/>
      <w:jc w:val="both"/>
    </w:pPr>
    <w:rPr>
      <w:rFonts w:ascii="Times New Roman" w:eastAsia="Times New Roman" w:hAnsi="Times New Roman" w:cs="Times New Roman"/>
      <w:sz w:val="24"/>
      <w:szCs w:val="20"/>
    </w:rPr>
  </w:style>
  <w:style w:type="paragraph" w:styleId="ListContinue">
    <w:name w:val="List Continue"/>
    <w:basedOn w:val="Normal"/>
    <w:pPr>
      <w:spacing w:after="120" w:line="240" w:lineRule="auto"/>
      <w:ind w:left="283"/>
      <w:jc w:val="both"/>
    </w:pPr>
    <w:rPr>
      <w:rFonts w:ascii="Times New Roman" w:eastAsia="Times New Roman" w:hAnsi="Times New Roman" w:cs="Times New Roman"/>
      <w:sz w:val="24"/>
      <w:szCs w:val="20"/>
    </w:rPr>
  </w:style>
  <w:style w:type="paragraph" w:styleId="ListContinue2">
    <w:name w:val="List Continue 2"/>
    <w:basedOn w:val="Normal"/>
    <w:pPr>
      <w:spacing w:after="120" w:line="240" w:lineRule="auto"/>
      <w:ind w:left="566"/>
      <w:jc w:val="both"/>
    </w:pPr>
    <w:rPr>
      <w:rFonts w:ascii="Times New Roman" w:eastAsia="Times New Roman" w:hAnsi="Times New Roman" w:cs="Times New Roman"/>
      <w:sz w:val="24"/>
      <w:szCs w:val="20"/>
    </w:rPr>
  </w:style>
  <w:style w:type="paragraph" w:styleId="ListContinue3">
    <w:name w:val="List Continue 3"/>
    <w:basedOn w:val="Normal"/>
    <w:pPr>
      <w:spacing w:after="120" w:line="240" w:lineRule="auto"/>
      <w:ind w:left="849"/>
      <w:jc w:val="both"/>
    </w:pPr>
    <w:rPr>
      <w:rFonts w:ascii="Times New Roman" w:eastAsia="Times New Roman" w:hAnsi="Times New Roman" w:cs="Times New Roman"/>
      <w:sz w:val="24"/>
      <w:szCs w:val="20"/>
    </w:rPr>
  </w:style>
  <w:style w:type="paragraph" w:styleId="ListContinue4">
    <w:name w:val="List Continue 4"/>
    <w:basedOn w:val="Normal"/>
    <w:pPr>
      <w:spacing w:after="120" w:line="240" w:lineRule="auto"/>
      <w:ind w:left="1132"/>
      <w:jc w:val="both"/>
    </w:pPr>
    <w:rPr>
      <w:rFonts w:ascii="Times New Roman" w:eastAsia="Times New Roman" w:hAnsi="Times New Roman" w:cs="Times New Roman"/>
      <w:sz w:val="24"/>
      <w:szCs w:val="20"/>
    </w:rPr>
  </w:style>
  <w:style w:type="paragraph" w:styleId="ListContinue5">
    <w:name w:val="List Continue 5"/>
    <w:basedOn w:val="Normal"/>
    <w:pPr>
      <w:spacing w:after="120" w:line="240" w:lineRule="auto"/>
      <w:ind w:left="1415"/>
      <w:jc w:val="both"/>
    </w:pPr>
    <w:rPr>
      <w:rFonts w:ascii="Times New Roman" w:eastAsia="Times New Roman" w:hAnsi="Times New Roman" w:cs="Times New Roman"/>
      <w:sz w:val="24"/>
      <w:szCs w:val="20"/>
    </w:rPr>
  </w:style>
  <w:style w:type="paragraph" w:styleId="ListNumber">
    <w:name w:val="List Number"/>
    <w:basedOn w:val="Normal"/>
    <w:pPr>
      <w:numPr>
        <w:numId w:val="3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Text2"/>
    <w:pPr>
      <w:numPr>
        <w:numId w:val="33"/>
      </w:numPr>
      <w:spacing w:before="0" w:after="240"/>
    </w:pPr>
    <w:rPr>
      <w:szCs w:val="20"/>
    </w:rPr>
  </w:style>
  <w:style w:type="paragraph" w:styleId="ListNumber3">
    <w:name w:val="List Number 3"/>
    <w:basedOn w:val="Text3"/>
    <w:pPr>
      <w:numPr>
        <w:numId w:val="34"/>
      </w:numPr>
      <w:spacing w:before="0" w:after="240"/>
    </w:pPr>
    <w:rPr>
      <w:szCs w:val="20"/>
    </w:rPr>
  </w:style>
  <w:style w:type="paragraph" w:styleId="ListNumber4">
    <w:name w:val="List Number 4"/>
    <w:basedOn w:val="Text4"/>
    <w:pPr>
      <w:numPr>
        <w:numId w:val="35"/>
      </w:numPr>
      <w:spacing w:before="0" w:after="240"/>
    </w:pPr>
    <w:rPr>
      <w:szCs w:val="20"/>
    </w:rPr>
  </w:style>
  <w:style w:type="paragraph" w:styleId="ListNumber5">
    <w:name w:val="List Number 5"/>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spacing w:after="240" w:line="240" w:lineRule="auto"/>
      <w:ind w:left="720"/>
      <w:jc w:val="both"/>
    </w:pPr>
    <w:rPr>
      <w:rFonts w:ascii="Times New Roman" w:eastAsia="Times New Roman" w:hAnsi="Times New Roman" w:cs="Times New Roman"/>
      <w:sz w:val="24"/>
      <w:szCs w:val="20"/>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styleId="PlainText">
    <w:name w:val="Plain Text"/>
    <w:basedOn w:val="Normal"/>
    <w:link w:val="PlainTextChar"/>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Salutation">
    <w:name w:val="Salutation"/>
    <w:basedOn w:val="Normal"/>
    <w:next w:val="Normal"/>
    <w:link w:val="SalutationChar"/>
    <w:pPr>
      <w:spacing w:after="240" w:line="240" w:lineRule="auto"/>
      <w:jc w:val="both"/>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ignature">
    <w:name w:val="Signature"/>
    <w:basedOn w:val="Normal"/>
    <w:next w:val="Enclosures"/>
    <w:link w:val="SignatureChar"/>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rPr>
  </w:style>
  <w:style w:type="paragraph" w:styleId="Subtitle">
    <w:name w:val="Subtitle"/>
    <w:basedOn w:val="Normal"/>
    <w:link w:val="SubtitleChar"/>
    <w:qFormat/>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rPr>
  </w:style>
  <w:style w:type="paragraph" w:styleId="TableofAuthorities">
    <w:name w:val="table of authorities"/>
    <w:basedOn w:val="Normal"/>
    <w:next w:val="Normal"/>
    <w:pPr>
      <w:spacing w:after="24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pPr>
      <w:spacing w:after="240" w:line="240" w:lineRule="auto"/>
      <w:ind w:left="480" w:hanging="480"/>
      <w:jc w:val="both"/>
    </w:pPr>
    <w:rPr>
      <w:rFonts w:ascii="Times New Roman" w:eastAsia="Times New Roman" w:hAnsi="Times New Roman" w:cs="Times New Roman"/>
      <w:sz w:val="24"/>
      <w:szCs w:val="20"/>
    </w:rPr>
  </w:style>
  <w:style w:type="paragraph" w:styleId="Title">
    <w:name w:val="Title"/>
    <w:basedOn w:val="Normal"/>
    <w:next w:val="SubTitle1"/>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rPr>
  </w:style>
  <w:style w:type="paragraph" w:styleId="TOAHeading">
    <w:name w:val="toa heading"/>
    <w:basedOn w:val="Normal"/>
    <w:next w:val="Normal"/>
    <w:pPr>
      <w:spacing w:before="120" w:after="240" w:line="240" w:lineRule="auto"/>
      <w:jc w:val="both"/>
    </w:pPr>
    <w:rPr>
      <w:rFonts w:ascii="Arial" w:eastAsia="Times New Roman" w:hAnsi="Arial" w:cs="Times New Roman"/>
      <w:b/>
      <w:sz w:val="24"/>
      <w:szCs w:val="20"/>
    </w:rPr>
  </w:style>
  <w:style w:type="paragraph" w:customStyle="1" w:styleId="YReferences">
    <w:name w:val="YReferences"/>
    <w:basedOn w:val="Normal"/>
    <w:next w:val="Normal"/>
    <w:pPr>
      <w:spacing w:after="480" w:line="240" w:lineRule="auto"/>
      <w:ind w:left="1531" w:hanging="1531"/>
      <w:jc w:val="both"/>
    </w:pPr>
    <w:rPr>
      <w:rFonts w:ascii="Times New Roman" w:eastAsia="Times New Roman" w:hAnsi="Times New Roman" w:cs="Times New Roman"/>
      <w:sz w:val="24"/>
      <w:szCs w:val="20"/>
    </w:rPr>
  </w:style>
  <w:style w:type="paragraph" w:customStyle="1" w:styleId="ListDash2">
    <w:name w:val="List Dash 2"/>
    <w:basedOn w:val="Text2"/>
    <w:pPr>
      <w:numPr>
        <w:numId w:val="30"/>
      </w:numPr>
      <w:spacing w:before="0" w:after="240"/>
    </w:pPr>
    <w:rPr>
      <w:szCs w:val="20"/>
    </w:rPr>
  </w:style>
  <w:style w:type="paragraph" w:customStyle="1" w:styleId="ListDash4">
    <w:name w:val="List Dash 4"/>
    <w:basedOn w:val="Text4"/>
    <w:pPr>
      <w:numPr>
        <w:numId w:val="31"/>
      </w:numPr>
      <w:spacing w:before="0" w:after="240"/>
    </w:pPr>
    <w:rPr>
      <w:szCs w:val="20"/>
    </w:rPr>
  </w:style>
  <w:style w:type="paragraph" w:customStyle="1" w:styleId="ListNumberLevel2">
    <w:name w:val="List Number (Level 2)"/>
    <w:basedOn w:val="Normal"/>
    <w:pPr>
      <w:numPr>
        <w:ilvl w:val="3"/>
        <w:numId w:val="32"/>
      </w:numPr>
      <w:tabs>
        <w:tab w:val="clear" w:pos="2835"/>
        <w:tab w:val="num" w:pos="1417"/>
      </w:tabs>
      <w:spacing w:after="240" w:line="240" w:lineRule="auto"/>
      <w:ind w:left="1417" w:hanging="708"/>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32"/>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tabs>
        <w:tab w:val="num" w:pos="2835"/>
      </w:tabs>
      <w:spacing w:after="240" w:line="240" w:lineRule="auto"/>
      <w:ind w:left="2835" w:hanging="709"/>
      <w:jc w:val="both"/>
    </w:pPr>
    <w:rPr>
      <w:rFonts w:ascii="Times New Roman" w:eastAsia="Times New Roman" w:hAnsi="Times New Roman" w:cs="Times New Roman"/>
      <w:sz w:val="24"/>
      <w:szCs w:val="20"/>
    </w:rPr>
  </w:style>
  <w:style w:type="paragraph" w:customStyle="1" w:styleId="ListNumber1Level3">
    <w:name w:val="List Number 1 (Level 3)"/>
    <w:basedOn w:val="Text1"/>
    <w:pPr>
      <w:tabs>
        <w:tab w:val="num" w:pos="2608"/>
      </w:tabs>
      <w:spacing w:before="0" w:after="240"/>
      <w:ind w:left="2608" w:hanging="709"/>
    </w:pPr>
    <w:rPr>
      <w:szCs w:val="20"/>
    </w:rPr>
  </w:style>
  <w:style w:type="paragraph" w:customStyle="1" w:styleId="ListNumber1Level4">
    <w:name w:val="List Number 1 (Level 4)"/>
    <w:basedOn w:val="Text1"/>
    <w:pPr>
      <w:tabs>
        <w:tab w:val="num" w:pos="3317"/>
      </w:tabs>
      <w:spacing w:before="0" w:after="240"/>
      <w:ind w:left="3317" w:hanging="709"/>
    </w:pPr>
    <w:rPr>
      <w:szCs w:val="20"/>
    </w:rPr>
  </w:style>
  <w:style w:type="paragraph" w:customStyle="1" w:styleId="ListNumber2Level2">
    <w:name w:val="List Number 2 (Level 2)"/>
    <w:basedOn w:val="Text2"/>
    <w:pPr>
      <w:numPr>
        <w:ilvl w:val="3"/>
        <w:numId w:val="33"/>
      </w:numPr>
      <w:tabs>
        <w:tab w:val="clear" w:pos="4037"/>
        <w:tab w:val="num" w:pos="2619"/>
      </w:tabs>
      <w:spacing w:before="0" w:after="240"/>
      <w:ind w:left="2619" w:hanging="708"/>
    </w:pPr>
    <w:rPr>
      <w:szCs w:val="20"/>
    </w:rPr>
  </w:style>
  <w:style w:type="paragraph" w:customStyle="1" w:styleId="ListNumber2Level3">
    <w:name w:val="List Number 2 (Level 3)"/>
    <w:basedOn w:val="Text2"/>
    <w:pPr>
      <w:numPr>
        <w:ilvl w:val="2"/>
        <w:numId w:val="33"/>
      </w:numPr>
      <w:spacing w:before="0" w:after="240"/>
    </w:pPr>
    <w:rPr>
      <w:szCs w:val="20"/>
    </w:rPr>
  </w:style>
  <w:style w:type="paragraph" w:customStyle="1" w:styleId="ListNumber2Level4">
    <w:name w:val="List Number 2 (Level 4)"/>
    <w:basedOn w:val="Text2"/>
    <w:pPr>
      <w:tabs>
        <w:tab w:val="num" w:pos="4037"/>
      </w:tabs>
      <w:spacing w:before="0" w:after="240"/>
      <w:ind w:left="4037" w:hanging="709"/>
    </w:pPr>
    <w:rPr>
      <w:szCs w:val="20"/>
    </w:rPr>
  </w:style>
  <w:style w:type="paragraph" w:customStyle="1" w:styleId="ListNumber3Level2">
    <w:name w:val="List Number 3 (Level 2)"/>
    <w:basedOn w:val="Text3"/>
    <w:pPr>
      <w:numPr>
        <w:ilvl w:val="3"/>
        <w:numId w:val="34"/>
      </w:numPr>
      <w:tabs>
        <w:tab w:val="clear" w:pos="4037"/>
        <w:tab w:val="num" w:pos="2619"/>
      </w:tabs>
      <w:spacing w:before="0" w:after="240"/>
      <w:ind w:left="2619" w:hanging="708"/>
    </w:pPr>
    <w:rPr>
      <w:szCs w:val="20"/>
    </w:rPr>
  </w:style>
  <w:style w:type="paragraph" w:customStyle="1" w:styleId="ListNumber3Level3">
    <w:name w:val="List Number 3 (Level 3)"/>
    <w:basedOn w:val="Text3"/>
    <w:pPr>
      <w:numPr>
        <w:ilvl w:val="2"/>
        <w:numId w:val="34"/>
      </w:numPr>
      <w:spacing w:before="0" w:after="240"/>
    </w:pPr>
    <w:rPr>
      <w:szCs w:val="20"/>
    </w:rPr>
  </w:style>
  <w:style w:type="paragraph" w:customStyle="1" w:styleId="ListNumber3Level4">
    <w:name w:val="List Number 3 (Level 4)"/>
    <w:basedOn w:val="Text3"/>
    <w:pPr>
      <w:tabs>
        <w:tab w:val="num" w:pos="4037"/>
      </w:tabs>
      <w:spacing w:before="0" w:after="240"/>
      <w:ind w:left="4037" w:hanging="709"/>
    </w:pPr>
    <w:rPr>
      <w:szCs w:val="20"/>
    </w:rPr>
  </w:style>
  <w:style w:type="paragraph" w:customStyle="1" w:styleId="ListNumber4Level2">
    <w:name w:val="List Number 4 (Level 2)"/>
    <w:basedOn w:val="Text4"/>
    <w:pPr>
      <w:numPr>
        <w:ilvl w:val="3"/>
        <w:numId w:val="35"/>
      </w:numPr>
      <w:tabs>
        <w:tab w:val="clear" w:pos="4037"/>
        <w:tab w:val="num" w:pos="2619"/>
      </w:tabs>
      <w:spacing w:before="0" w:after="240"/>
      <w:ind w:left="2619" w:hanging="708"/>
    </w:pPr>
    <w:rPr>
      <w:szCs w:val="20"/>
    </w:rPr>
  </w:style>
  <w:style w:type="paragraph" w:customStyle="1" w:styleId="ListNumber4Level3">
    <w:name w:val="List Number 4 (Level 3)"/>
    <w:basedOn w:val="Text4"/>
    <w:pPr>
      <w:numPr>
        <w:ilvl w:val="2"/>
        <w:numId w:val="35"/>
      </w:numPr>
      <w:spacing w:before="0" w:after="240"/>
    </w:pPr>
    <w:rPr>
      <w:szCs w:val="20"/>
    </w:rPr>
  </w:style>
  <w:style w:type="paragraph" w:customStyle="1" w:styleId="ListNumber4Level4">
    <w:name w:val="List Number 4 (Level 4)"/>
    <w:basedOn w:val="Text4"/>
    <w:pPr>
      <w:tabs>
        <w:tab w:val="num" w:pos="4037"/>
      </w:tabs>
      <w:spacing w:before="0" w:after="240"/>
      <w:ind w:left="4037" w:hanging="709"/>
    </w:pPr>
    <w:rPr>
      <w:szCs w:val="2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rPr>
  </w:style>
  <w:style w:type="paragraph" w:customStyle="1" w:styleId="Releasable">
    <w:name w:val="Releasable"/>
    <w:basedOn w:val="Normal"/>
    <w:qFormat/>
    <w:pPr>
      <w:spacing w:after="0" w:line="240" w:lineRule="auto"/>
      <w:jc w:val="center"/>
    </w:pPr>
    <w:rPr>
      <w:rFonts w:ascii="Times New Roman" w:eastAsia="Times New Roman" w:hAnsi="Times New Roman" w:cs="Times New Roman"/>
      <w:b/>
      <w:caps/>
      <w:sz w:val="32"/>
      <w:szCs w:val="20"/>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ZCom">
    <w:name w:val="Z_Com"/>
    <w:basedOn w:val="Normal"/>
    <w:next w:val="ZDGName"/>
    <w:uiPriority w:val="99"/>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uiPriority w:val="99"/>
    <w:pPr>
      <w:widowControl w:val="0"/>
      <w:autoSpaceDE w:val="0"/>
      <w:autoSpaceDN w:val="0"/>
      <w:spacing w:after="0" w:line="240" w:lineRule="auto"/>
      <w:ind w:right="85"/>
    </w:pPr>
    <w:rPr>
      <w:rFonts w:ascii="Arial" w:eastAsia="Times New Roman" w:hAnsi="Arial" w:cs="Arial"/>
      <w:sz w:val="16"/>
      <w:szCs w:val="16"/>
      <w:lang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unhideWhenUsed/>
    <w:rPr>
      <w:vertAlign w:val="superscript"/>
    </w:rPr>
  </w:style>
  <w:style w:type="paragraph" w:styleId="BalloonText">
    <w:name w:val="Balloon Text"/>
    <w:basedOn w:val="Normal"/>
    <w:link w:val="BalloonTextChar"/>
    <w:uiPriority w:val="99"/>
    <w:unhideWhenUsed/>
    <w:pPr>
      <w:spacing w:after="0" w:line="240" w:lineRule="auto"/>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16"/>
      <w:lang w:val="el-GR"/>
    </w:rPr>
  </w:style>
  <w:style w:type="character" w:styleId="FollowedHyperlink">
    <w:name w:val="FollowedHyperlink"/>
    <w:uiPriority w:val="99"/>
    <w:unhideWhenUsed/>
    <w:rPr>
      <w:color w:val="800080"/>
      <w:u w:val="single"/>
    </w:rPr>
  </w:style>
  <w:style w:type="numbering" w:customStyle="1" w:styleId="NoList2">
    <w:name w:val="No List2"/>
    <w:next w:val="NoList"/>
    <w:uiPriority w:val="99"/>
    <w:semiHidden/>
  </w:style>
  <w:style w:type="character" w:styleId="CommentReference">
    <w:name w:val="annotation reference"/>
    <w:rPr>
      <w:sz w:val="16"/>
      <w:szCs w:val="16"/>
    </w:rPr>
  </w:style>
  <w:style w:type="paragraph" w:styleId="CommentSubject">
    <w:name w:val="annotation subject"/>
    <w:basedOn w:val="CommentText"/>
    <w:next w:val="CommentText"/>
    <w:link w:val="CommentSubjectChar"/>
    <w:pPr>
      <w:spacing w:before="120" w:after="120"/>
    </w:pP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customStyle="1" w:styleId="xl67">
    <w:name w:val="xl67"/>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4"/>
      <w:szCs w:val="14"/>
      <w:lang w:eastAsia="en-GB"/>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n-GB"/>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6">
    <w:name w:val="xl76"/>
    <w:basedOn w:val="Normal"/>
    <w:pPr>
      <w:pBdr>
        <w:top w:val="single" w:sz="4" w:space="0" w:color="auto"/>
        <w:left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7">
    <w:name w:val="xl77"/>
    <w:basedOn w:val="Normal"/>
    <w:pPr>
      <w:pBdr>
        <w:top w:val="single" w:sz="4" w:space="0" w:color="auto"/>
        <w:left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8">
    <w:name w:val="xl78"/>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9">
    <w:name w:val="xl79"/>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0">
    <w:name w:val="xl80"/>
    <w:basedOn w:val="Normal"/>
    <w:pPr>
      <w:pBdr>
        <w:top w:val="single" w:sz="8" w:space="0" w:color="auto"/>
        <w:left w:val="single" w:sz="8" w:space="0" w:color="auto"/>
        <w:bottom w:val="single" w:sz="8" w:space="0" w:color="auto"/>
      </w:pBdr>
      <w:shd w:val="clear" w:color="000000" w:fill="BFBFBF"/>
      <w:spacing w:before="100" w:beforeAutospacing="1" w:after="100" w:afterAutospacing="1" w:line="240" w:lineRule="auto"/>
    </w:pPr>
    <w:rPr>
      <w:rFonts w:ascii="Arial" w:eastAsia="Times New Roman" w:hAnsi="Arial" w:cs="Arial"/>
      <w:b/>
      <w:bCs/>
      <w:sz w:val="14"/>
      <w:szCs w:val="14"/>
      <w:lang w:eastAsia="en-GB"/>
    </w:rPr>
  </w:style>
  <w:style w:type="paragraph" w:customStyle="1" w:styleId="xl81">
    <w:name w:val="xl81"/>
    <w:basedOn w:val="Normal"/>
    <w:pPr>
      <w:pBdr>
        <w:top w:val="single" w:sz="8" w:space="0" w:color="auto"/>
        <w:bottom w:val="single" w:sz="8" w:space="0" w:color="auto"/>
      </w:pBdr>
      <w:shd w:val="clear" w:color="000000" w:fill="BFBFBF"/>
      <w:spacing w:before="100" w:beforeAutospacing="1" w:after="100" w:afterAutospacing="1" w:line="240" w:lineRule="auto"/>
    </w:pPr>
    <w:rPr>
      <w:rFonts w:ascii="Arial" w:eastAsia="Times New Roman" w:hAnsi="Arial" w:cs="Arial"/>
      <w:b/>
      <w:bCs/>
      <w:sz w:val="14"/>
      <w:szCs w:val="14"/>
      <w:lang w:eastAsia="en-GB"/>
    </w:rPr>
  </w:style>
  <w:style w:type="paragraph" w:customStyle="1" w:styleId="xl82">
    <w:name w:val="xl82"/>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3">
    <w:name w:val="xl83"/>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4">
    <w:name w:val="xl84"/>
    <w:basedOn w:val="Normal"/>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styleId="Revision">
    <w:name w:val="Revision"/>
    <w:hidden/>
    <w:uiPriority w:val="99"/>
    <w:semiHidden/>
    <w:pPr>
      <w:spacing w:after="0" w:line="240" w:lineRule="auto"/>
    </w:pPr>
    <w:rPr>
      <w:rFonts w:ascii="Calibri" w:eastAsia="Calibri" w:hAnsi="Calibri" w:cs="Times New Roman"/>
      <w:noProof/>
    </w:rPr>
  </w:style>
  <w:style w:type="paragraph" w:styleId="ListParagraph">
    <w:name w:val="List Paragraph"/>
    <w:basedOn w:val="Normal"/>
    <w:uiPriority w:val="34"/>
    <w:qFormat/>
    <w:pPr>
      <w:ind w:left="720"/>
      <w:contextualSpacing/>
    </w:pPr>
    <w:rPr>
      <w:rFonts w:ascii="Calibri" w:eastAsia="Calibri" w:hAnsi="Calibri" w:cs="Times New Roman"/>
      <w:noProof/>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hd w:val="clear" w:color="C0C0C0" w:fill="4F81BD"/>
      <w:spacing w:before="100" w:beforeAutospacing="1" w:after="100" w:afterAutospacing="1" w:line="240" w:lineRule="auto"/>
      <w:textAlignment w:val="center"/>
    </w:pPr>
    <w:rPr>
      <w:rFonts w:ascii="Times New Roman" w:eastAsia="Times New Roman" w:hAnsi="Times New Roman" w:cs="Times New Roman"/>
      <w:b/>
      <w:bCs/>
      <w:color w:val="FFFFFF"/>
      <w:sz w:val="16"/>
      <w:szCs w:val="16"/>
      <w:lang w:eastAsia="en-GB"/>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hd w:val="clear" w:color="C0C0C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9" w:uiPriority="39"/>
    <w:lsdException w:name="header" w:uiPriority="99"/>
    <w:lsdException w:name="footer" w:uiPriority="99"/>
    <w:lsdException w:name="caption" w:qFormat="1"/>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styleId="Heading2">
    <w:name w:val="heading 2"/>
    <w:basedOn w:val="Normal"/>
    <w:next w:val="Text1"/>
    <w:link w:val="Heading2Char"/>
    <w:qFormat/>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styleId="Heading3">
    <w:name w:val="heading 3"/>
    <w:basedOn w:val="Normal"/>
    <w:next w:val="Text1"/>
    <w:link w:val="Heading3Char"/>
    <w:qFormat/>
    <w:pPr>
      <w:keepNext/>
      <w:numPr>
        <w:ilvl w:val="2"/>
        <w:numId w:val="16"/>
      </w:numPr>
      <w:tabs>
        <w:tab w:val="clear" w:pos="1920"/>
        <w:tab w:val="num" w:pos="850"/>
      </w:tabs>
      <w:spacing w:before="120" w:after="120" w:line="240" w:lineRule="auto"/>
      <w:ind w:left="850" w:hanging="850"/>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6"/>
      </w:numPr>
      <w:tabs>
        <w:tab w:val="clear" w:pos="1920"/>
        <w:tab w:val="num" w:pos="850"/>
      </w:tabs>
      <w:spacing w:before="120" w:after="120" w:line="240" w:lineRule="auto"/>
      <w:ind w:left="850" w:hanging="850"/>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qFormat/>
    <w:pPr>
      <w:tabs>
        <w:tab w:val="num" w:pos="0"/>
      </w:tabs>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qFormat/>
    <w:pPr>
      <w:tabs>
        <w:tab w:val="num" w:pos="0"/>
      </w:tabs>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pPr>
      <w:tabs>
        <w:tab w:val="num" w:pos="0"/>
      </w:tabs>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pPr>
      <w:tabs>
        <w:tab w:val="num" w:pos="0"/>
      </w:tabs>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pPr>
      <w:tabs>
        <w:tab w:val="num" w:pos="0"/>
      </w:tabs>
      <w:spacing w:before="240" w:after="60" w:line="240" w:lineRule="auto"/>
      <w:jc w:val="both"/>
      <w:outlineLvl w:val="8"/>
    </w:pPr>
    <w:rPr>
      <w:rFonts w:ascii="Arial" w:eastAsia="Times New Roman" w:hAnsi="Arial" w:cs="Times New Roman"/>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b/>
      <w:smallCaps/>
      <w:sz w:val="24"/>
      <w:szCs w:val="24"/>
    </w:rPr>
  </w:style>
  <w:style w:type="character" w:customStyle="1" w:styleId="Heading2Char">
    <w:name w:val="Heading 2 Char"/>
    <w:basedOn w:val="DefaultParagraphFont"/>
    <w:link w:val="Heading2"/>
    <w:rPr>
      <w:rFonts w:ascii="Times New Roman" w:eastAsia="Times New Roman" w:hAnsi="Times New Roman"/>
      <w:b/>
      <w:sz w:val="24"/>
      <w:szCs w:val="24"/>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numbering" w:customStyle="1" w:styleId="NoList1">
    <w:name w:val="No List1"/>
    <w:next w:val="NoList"/>
    <w:uiPriority w:val="99"/>
    <w:semiHidden/>
    <w:unhideWhenUsed/>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uiPriority w:val="39"/>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2"/>
      </w:numPr>
    </w:pPr>
  </w:style>
  <w:style w:type="paragraph" w:customStyle="1" w:styleId="Tiret1">
    <w:name w:val="Tiret 1"/>
    <w:basedOn w:val="Point1"/>
    <w:pPr>
      <w:numPr>
        <w:numId w:val="3"/>
      </w:numPr>
    </w:pPr>
  </w:style>
  <w:style w:type="paragraph" w:customStyle="1" w:styleId="Tiret2">
    <w:name w:val="Tiret 2"/>
    <w:basedOn w:val="Point2"/>
    <w:pPr>
      <w:numPr>
        <w:numId w:val="4"/>
      </w:numPr>
    </w:pPr>
  </w:style>
  <w:style w:type="paragraph" w:customStyle="1" w:styleId="Tiret3">
    <w:name w:val="Tiret 3"/>
    <w:basedOn w:val="Point3"/>
    <w:pPr>
      <w:numPr>
        <w:numId w:val="5"/>
      </w:numPr>
    </w:pPr>
  </w:style>
  <w:style w:type="paragraph" w:customStyle="1" w:styleId="Tiret4">
    <w:name w:val="Tiret 4"/>
    <w:basedOn w:val="Point4"/>
    <w:pPr>
      <w:numPr>
        <w:numId w:val="6"/>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7"/>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7"/>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7"/>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7"/>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9"/>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9"/>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9"/>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9"/>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9"/>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9"/>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Considrant">
    <w:name w:val="Considérant"/>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3">
    <w:name w:val="List Bullet 3"/>
    <w:basedOn w:val="Text3"/>
    <w:pPr>
      <w:numPr>
        <w:numId w:val="18"/>
      </w:numPr>
      <w:spacing w:before="0" w:after="240"/>
    </w:pPr>
    <w:rPr>
      <w:szCs w:val="20"/>
    </w:rPr>
  </w:style>
  <w:style w:type="paragraph" w:customStyle="1" w:styleId="ListBullet1">
    <w:name w:val="List Bullet 1"/>
    <w:basedOn w:val="Text1"/>
    <w:pPr>
      <w:numPr>
        <w:numId w:val="17"/>
      </w:numPr>
      <w:spacing w:before="0" w:after="240"/>
    </w:pPr>
    <w:rPr>
      <w:szCs w:val="20"/>
    </w:rPr>
  </w:style>
  <w:style w:type="paragraph" w:customStyle="1" w:styleId="ListDash">
    <w:name w:val="List Dash"/>
    <w:basedOn w:val="Normal"/>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pPr>
      <w:numPr>
        <w:numId w:val="20"/>
      </w:numPr>
      <w:spacing w:before="0" w:after="240"/>
    </w:pPr>
    <w:rPr>
      <w:szCs w:val="20"/>
    </w:rPr>
  </w:style>
  <w:style w:type="paragraph" w:customStyle="1" w:styleId="ListDash3">
    <w:name w:val="List Dash 3"/>
    <w:basedOn w:val="Text3"/>
    <w:pPr>
      <w:numPr>
        <w:numId w:val="21"/>
      </w:numPr>
      <w:spacing w:before="0" w:after="240"/>
    </w:pPr>
    <w:rPr>
      <w:szCs w:val="20"/>
    </w:rPr>
  </w:style>
  <w:style w:type="paragraph" w:customStyle="1" w:styleId="ListNumber1">
    <w:name w:val="List Number 1"/>
    <w:basedOn w:val="Text1"/>
    <w:pPr>
      <w:numPr>
        <w:ilvl w:val="2"/>
        <w:numId w:val="22"/>
      </w:numPr>
      <w:tabs>
        <w:tab w:val="clear" w:pos="2608"/>
        <w:tab w:val="num" w:pos="1191"/>
      </w:tabs>
      <w:spacing w:before="0" w:after="240"/>
      <w:ind w:left="1191"/>
    </w:pPr>
    <w:rPr>
      <w:szCs w:val="20"/>
    </w:rPr>
  </w:style>
  <w:style w:type="paragraph" w:customStyle="1" w:styleId="ListNumber1Level2">
    <w:name w:val="List Number 1 (Level 2)"/>
    <w:basedOn w:val="Text1"/>
    <w:pPr>
      <w:numPr>
        <w:ilvl w:val="3"/>
        <w:numId w:val="22"/>
      </w:numPr>
      <w:tabs>
        <w:tab w:val="clear" w:pos="3317"/>
        <w:tab w:val="num" w:pos="1899"/>
      </w:tabs>
      <w:spacing w:before="0" w:after="240"/>
      <w:ind w:left="1899" w:hanging="708"/>
    </w:pPr>
    <w:rPr>
      <w:szCs w:val="20"/>
    </w:rPr>
  </w:style>
  <w:style w:type="character" w:styleId="Hyperlink">
    <w:name w:val="Hyperlink"/>
    <w:uiPriority w:val="99"/>
    <w:unhideWhenUsed/>
    <w:rPr>
      <w:color w:val="0000FF"/>
      <w:u w:val="single"/>
    </w:rPr>
  </w:style>
  <w:style w:type="numbering" w:customStyle="1" w:styleId="NoList11">
    <w:name w:val="No List11"/>
    <w:next w:val="NoList"/>
    <w:uiPriority w:val="99"/>
    <w:semiHidden/>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pPr>
      <w:spacing w:after="720" w:line="240" w:lineRule="auto"/>
      <w:ind w:left="5103"/>
    </w:pPr>
    <w:rPr>
      <w:rFonts w:ascii="Times New Roman" w:eastAsia="Times New Roman" w:hAnsi="Times New Roman" w:cs="Times New Roman"/>
      <w:sz w:val="24"/>
      <w:szCs w:val="20"/>
    </w:rPr>
  </w:style>
  <w:style w:type="paragraph" w:styleId="BlockText">
    <w:name w:val="Block Text"/>
    <w:basedOn w:val="Normal"/>
    <w:pPr>
      <w:spacing w:after="120" w:line="240" w:lineRule="auto"/>
      <w:ind w:left="1440" w:right="1440"/>
      <w:jc w:val="both"/>
    </w:pPr>
    <w:rPr>
      <w:rFonts w:ascii="Times New Roman" w:eastAsia="Times New Roman" w:hAnsi="Times New Roman" w:cs="Times New Roman"/>
      <w:sz w:val="24"/>
      <w:szCs w:val="20"/>
    </w:rPr>
  </w:style>
  <w:style w:type="paragraph" w:styleId="BodyText">
    <w:name w:val="Body Text"/>
    <w:basedOn w:val="Normal"/>
    <w:link w:val="BodyTextChar"/>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line="240" w:lineRule="auto"/>
      <w:jc w:val="both"/>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line="240" w:lineRule="auto"/>
      <w:ind w:left="283"/>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line="240" w:lineRule="auto"/>
      <w:ind w:left="283"/>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sz w:val="24"/>
      <w:szCs w:val="20"/>
    </w:rPr>
  </w:style>
  <w:style w:type="paragraph" w:styleId="Closing">
    <w:name w:val="Closing"/>
    <w:basedOn w:val="Normal"/>
    <w:link w:val="ClosingChar"/>
    <w:pPr>
      <w:spacing w:after="240" w:line="240" w:lineRule="auto"/>
      <w:ind w:left="4252"/>
      <w:jc w:val="both"/>
    </w:pPr>
    <w:rPr>
      <w:rFonts w:ascii="Times New Roman" w:eastAsia="Times New Roman" w:hAnsi="Times New Roman" w:cs="Times New Roman"/>
      <w:sz w:val="24"/>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CommentText">
    <w:name w:val="annotation text"/>
    <w:basedOn w:val="Normal"/>
    <w:link w:val="CommentTextChar"/>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rPr>
  </w:style>
  <w:style w:type="paragraph" w:customStyle="1" w:styleId="References">
    <w:name w:val="References"/>
    <w:basedOn w:val="Normal"/>
    <w:next w:val="AddressTR"/>
    <w:pPr>
      <w:spacing w:after="240" w:line="240" w:lineRule="auto"/>
      <w:ind w:left="5103"/>
    </w:pPr>
    <w:rPr>
      <w:rFonts w:ascii="Times New Roman" w:eastAsia="Times New Roman" w:hAnsi="Times New Roman" w:cs="Times New Roman"/>
      <w:sz w:val="20"/>
      <w:szCs w:val="20"/>
    </w:rPr>
  </w:style>
  <w:style w:type="paragraph" w:styleId="DocumentMap">
    <w:name w:val="Document Map"/>
    <w:basedOn w:val="Normal"/>
    <w:link w:val="DocumentMapChar"/>
    <w:pPr>
      <w:shd w:val="clear" w:color="auto" w:fill="000080"/>
      <w:spacing w:after="240" w:line="240" w:lineRule="auto"/>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rPr>
      <w:rFonts w:ascii="Tahoma" w:eastAsia="Times New Roman" w:hAnsi="Tahoma" w:cs="Times New Roman"/>
      <w:sz w:val="24"/>
      <w:szCs w:val="20"/>
      <w:shd w:val="clear" w:color="auto" w:fill="000080"/>
    </w:rPr>
  </w:style>
  <w:style w:type="paragraph" w:customStyle="1" w:styleId="DoubSign">
    <w:name w:val="DoubSign"/>
    <w:basedOn w:val="Normal"/>
    <w:next w:val="Enclosures"/>
    <w:pPr>
      <w:tabs>
        <w:tab w:val="left" w:pos="5103"/>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pPr>
      <w:keepNext/>
      <w:keepLines/>
      <w:tabs>
        <w:tab w:val="left" w:pos="5642"/>
      </w:tabs>
      <w:spacing w:before="480" w:after="0" w:line="240" w:lineRule="auto"/>
      <w:ind w:left="1191" w:hanging="1191"/>
    </w:pPr>
    <w:rPr>
      <w:rFonts w:ascii="Times New Roman" w:eastAsia="Times New Roman" w:hAnsi="Times New Roman" w:cs="Times New Roman"/>
      <w:sz w:val="24"/>
      <w:szCs w:val="20"/>
    </w:rPr>
  </w:style>
  <w:style w:type="paragraph" w:styleId="EndnoteText">
    <w:name w:val="endnote text"/>
    <w:basedOn w:val="Normal"/>
    <w:link w:val="EndnoteTextChar"/>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pPr>
      <w:spacing w:after="0" w:line="240" w:lineRule="auto"/>
      <w:jc w:val="both"/>
    </w:pPr>
    <w:rPr>
      <w:rFonts w:ascii="Times New Roman" w:eastAsia="Times New Roman" w:hAnsi="Times New Roman" w:cs="Times New Roman"/>
      <w:sz w:val="20"/>
      <w:szCs w:val="20"/>
    </w:rPr>
  </w:style>
  <w:style w:type="paragraph" w:styleId="Index1">
    <w:name w:val="index 1"/>
    <w:basedOn w:val="Normal"/>
    <w:next w:val="Normal"/>
    <w:autoRedefine/>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pPr>
      <w:spacing w:after="24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pPr>
      <w:spacing w:after="240" w:line="240" w:lineRule="auto"/>
      <w:jc w:val="both"/>
    </w:pPr>
    <w:rPr>
      <w:rFonts w:ascii="Arial" w:eastAsia="Times New Roman" w:hAnsi="Arial" w:cs="Times New Roman"/>
      <w:b/>
      <w:sz w:val="24"/>
      <w:szCs w:val="20"/>
    </w:rPr>
  </w:style>
  <w:style w:type="paragraph" w:styleId="List">
    <w:name w:val="List"/>
    <w:basedOn w:val="Normal"/>
    <w:pPr>
      <w:spacing w:after="240" w:line="240" w:lineRule="auto"/>
      <w:ind w:left="283" w:hanging="283"/>
      <w:jc w:val="both"/>
    </w:pPr>
    <w:rPr>
      <w:rFonts w:ascii="Times New Roman" w:eastAsia="Times New Roman" w:hAnsi="Times New Roman" w:cs="Times New Roman"/>
      <w:sz w:val="24"/>
      <w:szCs w:val="20"/>
    </w:rPr>
  </w:style>
  <w:style w:type="paragraph" w:styleId="List2">
    <w:name w:val="List 2"/>
    <w:basedOn w:val="Normal"/>
    <w:pPr>
      <w:spacing w:after="240" w:line="240" w:lineRule="auto"/>
      <w:ind w:left="566" w:hanging="283"/>
      <w:jc w:val="both"/>
    </w:pPr>
    <w:rPr>
      <w:rFonts w:ascii="Times New Roman" w:eastAsia="Times New Roman" w:hAnsi="Times New Roman" w:cs="Times New Roman"/>
      <w:sz w:val="24"/>
      <w:szCs w:val="20"/>
    </w:rPr>
  </w:style>
  <w:style w:type="paragraph" w:styleId="List3">
    <w:name w:val="List 3"/>
    <w:basedOn w:val="Normal"/>
    <w:pPr>
      <w:spacing w:after="240" w:line="240" w:lineRule="auto"/>
      <w:ind w:left="849" w:hanging="283"/>
      <w:jc w:val="both"/>
    </w:pPr>
    <w:rPr>
      <w:rFonts w:ascii="Times New Roman" w:eastAsia="Times New Roman" w:hAnsi="Times New Roman" w:cs="Times New Roman"/>
      <w:sz w:val="24"/>
      <w:szCs w:val="20"/>
    </w:rPr>
  </w:style>
  <w:style w:type="paragraph" w:styleId="List4">
    <w:name w:val="List 4"/>
    <w:basedOn w:val="Normal"/>
    <w:pPr>
      <w:spacing w:after="240" w:line="240" w:lineRule="auto"/>
      <w:ind w:left="1132" w:hanging="283"/>
      <w:jc w:val="both"/>
    </w:pPr>
    <w:rPr>
      <w:rFonts w:ascii="Times New Roman" w:eastAsia="Times New Roman" w:hAnsi="Times New Roman" w:cs="Times New Roman"/>
      <w:sz w:val="24"/>
      <w:szCs w:val="20"/>
    </w:rPr>
  </w:style>
  <w:style w:type="paragraph" w:styleId="List5">
    <w:name w:val="List 5"/>
    <w:basedOn w:val="Normal"/>
    <w:pPr>
      <w:spacing w:after="240" w:line="240" w:lineRule="auto"/>
      <w:ind w:left="1415" w:hanging="283"/>
      <w:jc w:val="both"/>
    </w:pPr>
    <w:rPr>
      <w:rFonts w:ascii="Times New Roman" w:eastAsia="Times New Roman" w:hAnsi="Times New Roman" w:cs="Times New Roman"/>
      <w:sz w:val="24"/>
      <w:szCs w:val="20"/>
    </w:rPr>
  </w:style>
  <w:style w:type="paragraph" w:styleId="ListBullet">
    <w:name w:val="List Bullet"/>
    <w:basedOn w:val="Normal"/>
    <w:pPr>
      <w:numPr>
        <w:numId w:val="27"/>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Text2"/>
    <w:pPr>
      <w:numPr>
        <w:numId w:val="28"/>
      </w:numPr>
      <w:spacing w:before="0" w:after="240"/>
    </w:pPr>
    <w:rPr>
      <w:szCs w:val="20"/>
    </w:rPr>
  </w:style>
  <w:style w:type="paragraph" w:styleId="ListBullet4">
    <w:name w:val="List Bullet 4"/>
    <w:basedOn w:val="Text4"/>
    <w:pPr>
      <w:numPr>
        <w:numId w:val="29"/>
      </w:numPr>
      <w:spacing w:before="0" w:after="240"/>
    </w:pPr>
    <w:rPr>
      <w:szCs w:val="20"/>
    </w:rPr>
  </w:style>
  <w:style w:type="paragraph" w:styleId="ListBullet5">
    <w:name w:val="List Bullet 5"/>
    <w:basedOn w:val="Normal"/>
    <w:autoRedefine/>
    <w:pPr>
      <w:numPr>
        <w:numId w:val="25"/>
      </w:numPr>
      <w:spacing w:after="240" w:line="240" w:lineRule="auto"/>
      <w:jc w:val="both"/>
    </w:pPr>
    <w:rPr>
      <w:rFonts w:ascii="Times New Roman" w:eastAsia="Times New Roman" w:hAnsi="Times New Roman" w:cs="Times New Roman"/>
      <w:sz w:val="24"/>
      <w:szCs w:val="20"/>
    </w:rPr>
  </w:style>
  <w:style w:type="paragraph" w:styleId="ListContinue">
    <w:name w:val="List Continue"/>
    <w:basedOn w:val="Normal"/>
    <w:pPr>
      <w:spacing w:after="120" w:line="240" w:lineRule="auto"/>
      <w:ind w:left="283"/>
      <w:jc w:val="both"/>
    </w:pPr>
    <w:rPr>
      <w:rFonts w:ascii="Times New Roman" w:eastAsia="Times New Roman" w:hAnsi="Times New Roman" w:cs="Times New Roman"/>
      <w:sz w:val="24"/>
      <w:szCs w:val="20"/>
    </w:rPr>
  </w:style>
  <w:style w:type="paragraph" w:styleId="ListContinue2">
    <w:name w:val="List Continue 2"/>
    <w:basedOn w:val="Normal"/>
    <w:pPr>
      <w:spacing w:after="120" w:line="240" w:lineRule="auto"/>
      <w:ind w:left="566"/>
      <w:jc w:val="both"/>
    </w:pPr>
    <w:rPr>
      <w:rFonts w:ascii="Times New Roman" w:eastAsia="Times New Roman" w:hAnsi="Times New Roman" w:cs="Times New Roman"/>
      <w:sz w:val="24"/>
      <w:szCs w:val="20"/>
    </w:rPr>
  </w:style>
  <w:style w:type="paragraph" w:styleId="ListContinue3">
    <w:name w:val="List Continue 3"/>
    <w:basedOn w:val="Normal"/>
    <w:pPr>
      <w:spacing w:after="120" w:line="240" w:lineRule="auto"/>
      <w:ind w:left="849"/>
      <w:jc w:val="both"/>
    </w:pPr>
    <w:rPr>
      <w:rFonts w:ascii="Times New Roman" w:eastAsia="Times New Roman" w:hAnsi="Times New Roman" w:cs="Times New Roman"/>
      <w:sz w:val="24"/>
      <w:szCs w:val="20"/>
    </w:rPr>
  </w:style>
  <w:style w:type="paragraph" w:styleId="ListContinue4">
    <w:name w:val="List Continue 4"/>
    <w:basedOn w:val="Normal"/>
    <w:pPr>
      <w:spacing w:after="120" w:line="240" w:lineRule="auto"/>
      <w:ind w:left="1132"/>
      <w:jc w:val="both"/>
    </w:pPr>
    <w:rPr>
      <w:rFonts w:ascii="Times New Roman" w:eastAsia="Times New Roman" w:hAnsi="Times New Roman" w:cs="Times New Roman"/>
      <w:sz w:val="24"/>
      <w:szCs w:val="20"/>
    </w:rPr>
  </w:style>
  <w:style w:type="paragraph" w:styleId="ListContinue5">
    <w:name w:val="List Continue 5"/>
    <w:basedOn w:val="Normal"/>
    <w:pPr>
      <w:spacing w:after="120" w:line="240" w:lineRule="auto"/>
      <w:ind w:left="1415"/>
      <w:jc w:val="both"/>
    </w:pPr>
    <w:rPr>
      <w:rFonts w:ascii="Times New Roman" w:eastAsia="Times New Roman" w:hAnsi="Times New Roman" w:cs="Times New Roman"/>
      <w:sz w:val="24"/>
      <w:szCs w:val="20"/>
    </w:rPr>
  </w:style>
  <w:style w:type="paragraph" w:styleId="ListNumber">
    <w:name w:val="List Number"/>
    <w:basedOn w:val="Normal"/>
    <w:pPr>
      <w:numPr>
        <w:numId w:val="3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Text2"/>
    <w:pPr>
      <w:numPr>
        <w:numId w:val="33"/>
      </w:numPr>
      <w:spacing w:before="0" w:after="240"/>
    </w:pPr>
    <w:rPr>
      <w:szCs w:val="20"/>
    </w:rPr>
  </w:style>
  <w:style w:type="paragraph" w:styleId="ListNumber3">
    <w:name w:val="List Number 3"/>
    <w:basedOn w:val="Text3"/>
    <w:pPr>
      <w:numPr>
        <w:numId w:val="34"/>
      </w:numPr>
      <w:spacing w:before="0" w:after="240"/>
    </w:pPr>
    <w:rPr>
      <w:szCs w:val="20"/>
    </w:rPr>
  </w:style>
  <w:style w:type="paragraph" w:styleId="ListNumber4">
    <w:name w:val="List Number 4"/>
    <w:basedOn w:val="Text4"/>
    <w:pPr>
      <w:numPr>
        <w:numId w:val="35"/>
      </w:numPr>
      <w:spacing w:before="0" w:after="240"/>
    </w:pPr>
    <w:rPr>
      <w:szCs w:val="20"/>
    </w:rPr>
  </w:style>
  <w:style w:type="paragraph" w:styleId="ListNumber5">
    <w:name w:val="List Number 5"/>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spacing w:after="240" w:line="240" w:lineRule="auto"/>
      <w:ind w:left="720"/>
      <w:jc w:val="both"/>
    </w:pPr>
    <w:rPr>
      <w:rFonts w:ascii="Times New Roman" w:eastAsia="Times New Roman" w:hAnsi="Times New Roman" w:cs="Times New Roman"/>
      <w:sz w:val="24"/>
      <w:szCs w:val="20"/>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styleId="PlainText">
    <w:name w:val="Plain Text"/>
    <w:basedOn w:val="Normal"/>
    <w:link w:val="PlainTextChar"/>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Salutation">
    <w:name w:val="Salutation"/>
    <w:basedOn w:val="Normal"/>
    <w:next w:val="Normal"/>
    <w:link w:val="SalutationChar"/>
    <w:pPr>
      <w:spacing w:after="240" w:line="240" w:lineRule="auto"/>
      <w:jc w:val="both"/>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ignature">
    <w:name w:val="Signature"/>
    <w:basedOn w:val="Normal"/>
    <w:next w:val="Enclosures"/>
    <w:link w:val="SignatureChar"/>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rPr>
  </w:style>
  <w:style w:type="paragraph" w:styleId="Subtitle">
    <w:name w:val="Subtitle"/>
    <w:basedOn w:val="Normal"/>
    <w:link w:val="SubtitleChar"/>
    <w:qFormat/>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rPr>
  </w:style>
  <w:style w:type="paragraph" w:styleId="TableofAuthorities">
    <w:name w:val="table of authorities"/>
    <w:basedOn w:val="Normal"/>
    <w:next w:val="Normal"/>
    <w:pPr>
      <w:spacing w:after="24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pPr>
      <w:spacing w:after="240" w:line="240" w:lineRule="auto"/>
      <w:ind w:left="480" w:hanging="480"/>
      <w:jc w:val="both"/>
    </w:pPr>
    <w:rPr>
      <w:rFonts w:ascii="Times New Roman" w:eastAsia="Times New Roman" w:hAnsi="Times New Roman" w:cs="Times New Roman"/>
      <w:sz w:val="24"/>
      <w:szCs w:val="20"/>
    </w:rPr>
  </w:style>
  <w:style w:type="paragraph" w:styleId="Title">
    <w:name w:val="Title"/>
    <w:basedOn w:val="Normal"/>
    <w:next w:val="SubTitle1"/>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rPr>
  </w:style>
  <w:style w:type="paragraph" w:styleId="TOAHeading">
    <w:name w:val="toa heading"/>
    <w:basedOn w:val="Normal"/>
    <w:next w:val="Normal"/>
    <w:pPr>
      <w:spacing w:before="120" w:after="240" w:line="240" w:lineRule="auto"/>
      <w:jc w:val="both"/>
    </w:pPr>
    <w:rPr>
      <w:rFonts w:ascii="Arial" w:eastAsia="Times New Roman" w:hAnsi="Arial" w:cs="Times New Roman"/>
      <w:b/>
      <w:sz w:val="24"/>
      <w:szCs w:val="20"/>
    </w:rPr>
  </w:style>
  <w:style w:type="paragraph" w:customStyle="1" w:styleId="YReferences">
    <w:name w:val="YReferences"/>
    <w:basedOn w:val="Normal"/>
    <w:next w:val="Normal"/>
    <w:pPr>
      <w:spacing w:after="480" w:line="240" w:lineRule="auto"/>
      <w:ind w:left="1531" w:hanging="1531"/>
      <w:jc w:val="both"/>
    </w:pPr>
    <w:rPr>
      <w:rFonts w:ascii="Times New Roman" w:eastAsia="Times New Roman" w:hAnsi="Times New Roman" w:cs="Times New Roman"/>
      <w:sz w:val="24"/>
      <w:szCs w:val="20"/>
    </w:rPr>
  </w:style>
  <w:style w:type="paragraph" w:customStyle="1" w:styleId="ListDash2">
    <w:name w:val="List Dash 2"/>
    <w:basedOn w:val="Text2"/>
    <w:pPr>
      <w:numPr>
        <w:numId w:val="30"/>
      </w:numPr>
      <w:spacing w:before="0" w:after="240"/>
    </w:pPr>
    <w:rPr>
      <w:szCs w:val="20"/>
    </w:rPr>
  </w:style>
  <w:style w:type="paragraph" w:customStyle="1" w:styleId="ListDash4">
    <w:name w:val="List Dash 4"/>
    <w:basedOn w:val="Text4"/>
    <w:pPr>
      <w:numPr>
        <w:numId w:val="31"/>
      </w:numPr>
      <w:spacing w:before="0" w:after="240"/>
    </w:pPr>
    <w:rPr>
      <w:szCs w:val="20"/>
    </w:rPr>
  </w:style>
  <w:style w:type="paragraph" w:customStyle="1" w:styleId="ListNumberLevel2">
    <w:name w:val="List Number (Level 2)"/>
    <w:basedOn w:val="Normal"/>
    <w:pPr>
      <w:numPr>
        <w:ilvl w:val="3"/>
        <w:numId w:val="32"/>
      </w:numPr>
      <w:tabs>
        <w:tab w:val="clear" w:pos="2835"/>
        <w:tab w:val="num" w:pos="1417"/>
      </w:tabs>
      <w:spacing w:after="240" w:line="240" w:lineRule="auto"/>
      <w:ind w:left="1417" w:hanging="708"/>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32"/>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tabs>
        <w:tab w:val="num" w:pos="2835"/>
      </w:tabs>
      <w:spacing w:after="240" w:line="240" w:lineRule="auto"/>
      <w:ind w:left="2835" w:hanging="709"/>
      <w:jc w:val="both"/>
    </w:pPr>
    <w:rPr>
      <w:rFonts w:ascii="Times New Roman" w:eastAsia="Times New Roman" w:hAnsi="Times New Roman" w:cs="Times New Roman"/>
      <w:sz w:val="24"/>
      <w:szCs w:val="20"/>
    </w:rPr>
  </w:style>
  <w:style w:type="paragraph" w:customStyle="1" w:styleId="ListNumber1Level3">
    <w:name w:val="List Number 1 (Level 3)"/>
    <w:basedOn w:val="Text1"/>
    <w:pPr>
      <w:tabs>
        <w:tab w:val="num" w:pos="2608"/>
      </w:tabs>
      <w:spacing w:before="0" w:after="240"/>
      <w:ind w:left="2608" w:hanging="709"/>
    </w:pPr>
    <w:rPr>
      <w:szCs w:val="20"/>
    </w:rPr>
  </w:style>
  <w:style w:type="paragraph" w:customStyle="1" w:styleId="ListNumber1Level4">
    <w:name w:val="List Number 1 (Level 4)"/>
    <w:basedOn w:val="Text1"/>
    <w:pPr>
      <w:tabs>
        <w:tab w:val="num" w:pos="3317"/>
      </w:tabs>
      <w:spacing w:before="0" w:after="240"/>
      <w:ind w:left="3317" w:hanging="709"/>
    </w:pPr>
    <w:rPr>
      <w:szCs w:val="20"/>
    </w:rPr>
  </w:style>
  <w:style w:type="paragraph" w:customStyle="1" w:styleId="ListNumber2Level2">
    <w:name w:val="List Number 2 (Level 2)"/>
    <w:basedOn w:val="Text2"/>
    <w:pPr>
      <w:numPr>
        <w:ilvl w:val="3"/>
        <w:numId w:val="33"/>
      </w:numPr>
      <w:tabs>
        <w:tab w:val="clear" w:pos="4037"/>
        <w:tab w:val="num" w:pos="2619"/>
      </w:tabs>
      <w:spacing w:before="0" w:after="240"/>
      <w:ind w:left="2619" w:hanging="708"/>
    </w:pPr>
    <w:rPr>
      <w:szCs w:val="20"/>
    </w:rPr>
  </w:style>
  <w:style w:type="paragraph" w:customStyle="1" w:styleId="ListNumber2Level3">
    <w:name w:val="List Number 2 (Level 3)"/>
    <w:basedOn w:val="Text2"/>
    <w:pPr>
      <w:numPr>
        <w:ilvl w:val="2"/>
        <w:numId w:val="33"/>
      </w:numPr>
      <w:spacing w:before="0" w:after="240"/>
    </w:pPr>
    <w:rPr>
      <w:szCs w:val="20"/>
    </w:rPr>
  </w:style>
  <w:style w:type="paragraph" w:customStyle="1" w:styleId="ListNumber2Level4">
    <w:name w:val="List Number 2 (Level 4)"/>
    <w:basedOn w:val="Text2"/>
    <w:pPr>
      <w:tabs>
        <w:tab w:val="num" w:pos="4037"/>
      </w:tabs>
      <w:spacing w:before="0" w:after="240"/>
      <w:ind w:left="4037" w:hanging="709"/>
    </w:pPr>
    <w:rPr>
      <w:szCs w:val="20"/>
    </w:rPr>
  </w:style>
  <w:style w:type="paragraph" w:customStyle="1" w:styleId="ListNumber3Level2">
    <w:name w:val="List Number 3 (Level 2)"/>
    <w:basedOn w:val="Text3"/>
    <w:pPr>
      <w:numPr>
        <w:ilvl w:val="3"/>
        <w:numId w:val="34"/>
      </w:numPr>
      <w:tabs>
        <w:tab w:val="clear" w:pos="4037"/>
        <w:tab w:val="num" w:pos="2619"/>
      </w:tabs>
      <w:spacing w:before="0" w:after="240"/>
      <w:ind w:left="2619" w:hanging="708"/>
    </w:pPr>
    <w:rPr>
      <w:szCs w:val="20"/>
    </w:rPr>
  </w:style>
  <w:style w:type="paragraph" w:customStyle="1" w:styleId="ListNumber3Level3">
    <w:name w:val="List Number 3 (Level 3)"/>
    <w:basedOn w:val="Text3"/>
    <w:pPr>
      <w:numPr>
        <w:ilvl w:val="2"/>
        <w:numId w:val="34"/>
      </w:numPr>
      <w:spacing w:before="0" w:after="240"/>
    </w:pPr>
    <w:rPr>
      <w:szCs w:val="20"/>
    </w:rPr>
  </w:style>
  <w:style w:type="paragraph" w:customStyle="1" w:styleId="ListNumber3Level4">
    <w:name w:val="List Number 3 (Level 4)"/>
    <w:basedOn w:val="Text3"/>
    <w:pPr>
      <w:tabs>
        <w:tab w:val="num" w:pos="4037"/>
      </w:tabs>
      <w:spacing w:before="0" w:after="240"/>
      <w:ind w:left="4037" w:hanging="709"/>
    </w:pPr>
    <w:rPr>
      <w:szCs w:val="20"/>
    </w:rPr>
  </w:style>
  <w:style w:type="paragraph" w:customStyle="1" w:styleId="ListNumber4Level2">
    <w:name w:val="List Number 4 (Level 2)"/>
    <w:basedOn w:val="Text4"/>
    <w:pPr>
      <w:numPr>
        <w:ilvl w:val="3"/>
        <w:numId w:val="35"/>
      </w:numPr>
      <w:tabs>
        <w:tab w:val="clear" w:pos="4037"/>
        <w:tab w:val="num" w:pos="2619"/>
      </w:tabs>
      <w:spacing w:before="0" w:after="240"/>
      <w:ind w:left="2619" w:hanging="708"/>
    </w:pPr>
    <w:rPr>
      <w:szCs w:val="20"/>
    </w:rPr>
  </w:style>
  <w:style w:type="paragraph" w:customStyle="1" w:styleId="ListNumber4Level3">
    <w:name w:val="List Number 4 (Level 3)"/>
    <w:basedOn w:val="Text4"/>
    <w:pPr>
      <w:numPr>
        <w:ilvl w:val="2"/>
        <w:numId w:val="35"/>
      </w:numPr>
      <w:spacing w:before="0" w:after="240"/>
    </w:pPr>
    <w:rPr>
      <w:szCs w:val="20"/>
    </w:rPr>
  </w:style>
  <w:style w:type="paragraph" w:customStyle="1" w:styleId="ListNumber4Level4">
    <w:name w:val="List Number 4 (Level 4)"/>
    <w:basedOn w:val="Text4"/>
    <w:pPr>
      <w:tabs>
        <w:tab w:val="num" w:pos="4037"/>
      </w:tabs>
      <w:spacing w:before="0" w:after="240"/>
      <w:ind w:left="4037" w:hanging="709"/>
    </w:pPr>
    <w:rPr>
      <w:szCs w:val="2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rPr>
  </w:style>
  <w:style w:type="paragraph" w:customStyle="1" w:styleId="Releasable">
    <w:name w:val="Releasable"/>
    <w:basedOn w:val="Normal"/>
    <w:qFormat/>
    <w:pPr>
      <w:spacing w:after="0" w:line="240" w:lineRule="auto"/>
      <w:jc w:val="center"/>
    </w:pPr>
    <w:rPr>
      <w:rFonts w:ascii="Times New Roman" w:eastAsia="Times New Roman" w:hAnsi="Times New Roman" w:cs="Times New Roman"/>
      <w:b/>
      <w:caps/>
      <w:sz w:val="32"/>
      <w:szCs w:val="20"/>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ZCom">
    <w:name w:val="Z_Com"/>
    <w:basedOn w:val="Normal"/>
    <w:next w:val="ZDGName"/>
    <w:uiPriority w:val="99"/>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uiPriority w:val="99"/>
    <w:pPr>
      <w:widowControl w:val="0"/>
      <w:autoSpaceDE w:val="0"/>
      <w:autoSpaceDN w:val="0"/>
      <w:spacing w:after="0" w:line="240" w:lineRule="auto"/>
      <w:ind w:right="85"/>
    </w:pPr>
    <w:rPr>
      <w:rFonts w:ascii="Arial" w:eastAsia="Times New Roman" w:hAnsi="Arial" w:cs="Arial"/>
      <w:sz w:val="16"/>
      <w:szCs w:val="16"/>
      <w:lang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unhideWhenUsed/>
    <w:rPr>
      <w:vertAlign w:val="superscript"/>
    </w:rPr>
  </w:style>
  <w:style w:type="paragraph" w:styleId="BalloonText">
    <w:name w:val="Balloon Text"/>
    <w:basedOn w:val="Normal"/>
    <w:link w:val="BalloonTextChar"/>
    <w:uiPriority w:val="99"/>
    <w:unhideWhenUsed/>
    <w:pPr>
      <w:spacing w:after="0" w:line="240" w:lineRule="auto"/>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16"/>
      <w:lang w:val="el-GR"/>
    </w:rPr>
  </w:style>
  <w:style w:type="character" w:styleId="FollowedHyperlink">
    <w:name w:val="FollowedHyperlink"/>
    <w:uiPriority w:val="99"/>
    <w:unhideWhenUsed/>
    <w:rPr>
      <w:color w:val="800080"/>
      <w:u w:val="single"/>
    </w:rPr>
  </w:style>
  <w:style w:type="numbering" w:customStyle="1" w:styleId="NoList2">
    <w:name w:val="No List2"/>
    <w:next w:val="NoList"/>
    <w:uiPriority w:val="99"/>
    <w:semiHidden/>
  </w:style>
  <w:style w:type="character" w:styleId="CommentReference">
    <w:name w:val="annotation reference"/>
    <w:rPr>
      <w:sz w:val="16"/>
      <w:szCs w:val="16"/>
    </w:rPr>
  </w:style>
  <w:style w:type="paragraph" w:styleId="CommentSubject">
    <w:name w:val="annotation subject"/>
    <w:basedOn w:val="CommentText"/>
    <w:next w:val="CommentText"/>
    <w:link w:val="CommentSubjectChar"/>
    <w:pPr>
      <w:spacing w:before="120" w:after="120"/>
    </w:pP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customStyle="1" w:styleId="xl67">
    <w:name w:val="xl67"/>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4"/>
      <w:szCs w:val="14"/>
      <w:lang w:eastAsia="en-GB"/>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n-GB"/>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6">
    <w:name w:val="xl76"/>
    <w:basedOn w:val="Normal"/>
    <w:pPr>
      <w:pBdr>
        <w:top w:val="single" w:sz="4" w:space="0" w:color="auto"/>
        <w:left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7">
    <w:name w:val="xl77"/>
    <w:basedOn w:val="Normal"/>
    <w:pPr>
      <w:pBdr>
        <w:top w:val="single" w:sz="4" w:space="0" w:color="auto"/>
        <w:left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8">
    <w:name w:val="xl78"/>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9">
    <w:name w:val="xl79"/>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0">
    <w:name w:val="xl80"/>
    <w:basedOn w:val="Normal"/>
    <w:pPr>
      <w:pBdr>
        <w:top w:val="single" w:sz="8" w:space="0" w:color="auto"/>
        <w:left w:val="single" w:sz="8" w:space="0" w:color="auto"/>
        <w:bottom w:val="single" w:sz="8" w:space="0" w:color="auto"/>
      </w:pBdr>
      <w:shd w:val="clear" w:color="000000" w:fill="BFBFBF"/>
      <w:spacing w:before="100" w:beforeAutospacing="1" w:after="100" w:afterAutospacing="1" w:line="240" w:lineRule="auto"/>
    </w:pPr>
    <w:rPr>
      <w:rFonts w:ascii="Arial" w:eastAsia="Times New Roman" w:hAnsi="Arial" w:cs="Arial"/>
      <w:b/>
      <w:bCs/>
      <w:sz w:val="14"/>
      <w:szCs w:val="14"/>
      <w:lang w:eastAsia="en-GB"/>
    </w:rPr>
  </w:style>
  <w:style w:type="paragraph" w:customStyle="1" w:styleId="xl81">
    <w:name w:val="xl81"/>
    <w:basedOn w:val="Normal"/>
    <w:pPr>
      <w:pBdr>
        <w:top w:val="single" w:sz="8" w:space="0" w:color="auto"/>
        <w:bottom w:val="single" w:sz="8" w:space="0" w:color="auto"/>
      </w:pBdr>
      <w:shd w:val="clear" w:color="000000" w:fill="BFBFBF"/>
      <w:spacing w:before="100" w:beforeAutospacing="1" w:after="100" w:afterAutospacing="1" w:line="240" w:lineRule="auto"/>
    </w:pPr>
    <w:rPr>
      <w:rFonts w:ascii="Arial" w:eastAsia="Times New Roman" w:hAnsi="Arial" w:cs="Arial"/>
      <w:b/>
      <w:bCs/>
      <w:sz w:val="14"/>
      <w:szCs w:val="14"/>
      <w:lang w:eastAsia="en-GB"/>
    </w:rPr>
  </w:style>
  <w:style w:type="paragraph" w:customStyle="1" w:styleId="xl82">
    <w:name w:val="xl82"/>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3">
    <w:name w:val="xl83"/>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4">
    <w:name w:val="xl84"/>
    <w:basedOn w:val="Normal"/>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styleId="Revision">
    <w:name w:val="Revision"/>
    <w:hidden/>
    <w:uiPriority w:val="99"/>
    <w:semiHidden/>
    <w:pPr>
      <w:spacing w:after="0" w:line="240" w:lineRule="auto"/>
    </w:pPr>
    <w:rPr>
      <w:rFonts w:ascii="Calibri" w:eastAsia="Calibri" w:hAnsi="Calibri" w:cs="Times New Roman"/>
      <w:noProof/>
    </w:rPr>
  </w:style>
  <w:style w:type="paragraph" w:styleId="ListParagraph">
    <w:name w:val="List Paragraph"/>
    <w:basedOn w:val="Normal"/>
    <w:uiPriority w:val="34"/>
    <w:qFormat/>
    <w:pPr>
      <w:ind w:left="720"/>
      <w:contextualSpacing/>
    </w:pPr>
    <w:rPr>
      <w:rFonts w:ascii="Calibri" w:eastAsia="Calibri" w:hAnsi="Calibri" w:cs="Times New Roman"/>
      <w:noProof/>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hd w:val="clear" w:color="C0C0C0" w:fill="4F81BD"/>
      <w:spacing w:before="100" w:beforeAutospacing="1" w:after="100" w:afterAutospacing="1" w:line="240" w:lineRule="auto"/>
      <w:textAlignment w:val="center"/>
    </w:pPr>
    <w:rPr>
      <w:rFonts w:ascii="Times New Roman" w:eastAsia="Times New Roman" w:hAnsi="Times New Roman" w:cs="Times New Roman"/>
      <w:b/>
      <w:bCs/>
      <w:color w:val="FFFFFF"/>
      <w:sz w:val="16"/>
      <w:szCs w:val="16"/>
      <w:lang w:eastAsia="en-GB"/>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hd w:val="clear" w:color="C0C0C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4095">
      <w:bodyDiv w:val="1"/>
      <w:marLeft w:val="0"/>
      <w:marRight w:val="0"/>
      <w:marTop w:val="0"/>
      <w:marBottom w:val="0"/>
      <w:divBdr>
        <w:top w:val="none" w:sz="0" w:space="0" w:color="auto"/>
        <w:left w:val="none" w:sz="0" w:space="0" w:color="auto"/>
        <w:bottom w:val="none" w:sz="0" w:space="0" w:color="auto"/>
        <w:right w:val="none" w:sz="0" w:space="0" w:color="auto"/>
      </w:divBdr>
    </w:div>
    <w:div w:id="307053832">
      <w:bodyDiv w:val="1"/>
      <w:marLeft w:val="0"/>
      <w:marRight w:val="0"/>
      <w:marTop w:val="0"/>
      <w:marBottom w:val="0"/>
      <w:divBdr>
        <w:top w:val="none" w:sz="0" w:space="0" w:color="auto"/>
        <w:left w:val="none" w:sz="0" w:space="0" w:color="auto"/>
        <w:bottom w:val="none" w:sz="0" w:space="0" w:color="auto"/>
        <w:right w:val="none" w:sz="0" w:space="0" w:color="auto"/>
      </w:divBdr>
    </w:div>
    <w:div w:id="362174247">
      <w:bodyDiv w:val="1"/>
      <w:marLeft w:val="0"/>
      <w:marRight w:val="0"/>
      <w:marTop w:val="0"/>
      <w:marBottom w:val="0"/>
      <w:divBdr>
        <w:top w:val="none" w:sz="0" w:space="0" w:color="auto"/>
        <w:left w:val="none" w:sz="0" w:space="0" w:color="auto"/>
        <w:bottom w:val="none" w:sz="0" w:space="0" w:color="auto"/>
        <w:right w:val="none" w:sz="0" w:space="0" w:color="auto"/>
      </w:divBdr>
    </w:div>
    <w:div w:id="378865838">
      <w:bodyDiv w:val="1"/>
      <w:marLeft w:val="0"/>
      <w:marRight w:val="0"/>
      <w:marTop w:val="0"/>
      <w:marBottom w:val="0"/>
      <w:divBdr>
        <w:top w:val="none" w:sz="0" w:space="0" w:color="auto"/>
        <w:left w:val="none" w:sz="0" w:space="0" w:color="auto"/>
        <w:bottom w:val="none" w:sz="0" w:space="0" w:color="auto"/>
        <w:right w:val="none" w:sz="0" w:space="0" w:color="auto"/>
      </w:divBdr>
    </w:div>
    <w:div w:id="395592468">
      <w:bodyDiv w:val="1"/>
      <w:marLeft w:val="0"/>
      <w:marRight w:val="0"/>
      <w:marTop w:val="0"/>
      <w:marBottom w:val="0"/>
      <w:divBdr>
        <w:top w:val="none" w:sz="0" w:space="0" w:color="auto"/>
        <w:left w:val="none" w:sz="0" w:space="0" w:color="auto"/>
        <w:bottom w:val="none" w:sz="0" w:space="0" w:color="auto"/>
        <w:right w:val="none" w:sz="0" w:space="0" w:color="auto"/>
      </w:divBdr>
    </w:div>
    <w:div w:id="499855355">
      <w:bodyDiv w:val="1"/>
      <w:marLeft w:val="0"/>
      <w:marRight w:val="0"/>
      <w:marTop w:val="0"/>
      <w:marBottom w:val="0"/>
      <w:divBdr>
        <w:top w:val="none" w:sz="0" w:space="0" w:color="auto"/>
        <w:left w:val="none" w:sz="0" w:space="0" w:color="auto"/>
        <w:bottom w:val="none" w:sz="0" w:space="0" w:color="auto"/>
        <w:right w:val="none" w:sz="0" w:space="0" w:color="auto"/>
      </w:divBdr>
    </w:div>
    <w:div w:id="752699412">
      <w:bodyDiv w:val="1"/>
      <w:marLeft w:val="0"/>
      <w:marRight w:val="0"/>
      <w:marTop w:val="0"/>
      <w:marBottom w:val="0"/>
      <w:divBdr>
        <w:top w:val="none" w:sz="0" w:space="0" w:color="auto"/>
        <w:left w:val="none" w:sz="0" w:space="0" w:color="auto"/>
        <w:bottom w:val="none" w:sz="0" w:space="0" w:color="auto"/>
        <w:right w:val="none" w:sz="0" w:space="0" w:color="auto"/>
      </w:divBdr>
    </w:div>
    <w:div w:id="812865311">
      <w:bodyDiv w:val="1"/>
      <w:marLeft w:val="0"/>
      <w:marRight w:val="0"/>
      <w:marTop w:val="0"/>
      <w:marBottom w:val="0"/>
      <w:divBdr>
        <w:top w:val="none" w:sz="0" w:space="0" w:color="auto"/>
        <w:left w:val="none" w:sz="0" w:space="0" w:color="auto"/>
        <w:bottom w:val="none" w:sz="0" w:space="0" w:color="auto"/>
        <w:right w:val="none" w:sz="0" w:space="0" w:color="auto"/>
      </w:divBdr>
    </w:div>
    <w:div w:id="813252188">
      <w:bodyDiv w:val="1"/>
      <w:marLeft w:val="0"/>
      <w:marRight w:val="0"/>
      <w:marTop w:val="0"/>
      <w:marBottom w:val="0"/>
      <w:divBdr>
        <w:top w:val="none" w:sz="0" w:space="0" w:color="auto"/>
        <w:left w:val="none" w:sz="0" w:space="0" w:color="auto"/>
        <w:bottom w:val="none" w:sz="0" w:space="0" w:color="auto"/>
        <w:right w:val="none" w:sz="0" w:space="0" w:color="auto"/>
      </w:divBdr>
    </w:div>
    <w:div w:id="943416120">
      <w:bodyDiv w:val="1"/>
      <w:marLeft w:val="0"/>
      <w:marRight w:val="0"/>
      <w:marTop w:val="0"/>
      <w:marBottom w:val="0"/>
      <w:divBdr>
        <w:top w:val="none" w:sz="0" w:space="0" w:color="auto"/>
        <w:left w:val="none" w:sz="0" w:space="0" w:color="auto"/>
        <w:bottom w:val="none" w:sz="0" w:space="0" w:color="auto"/>
        <w:right w:val="none" w:sz="0" w:space="0" w:color="auto"/>
      </w:divBdr>
    </w:div>
    <w:div w:id="1181548624">
      <w:bodyDiv w:val="1"/>
      <w:marLeft w:val="0"/>
      <w:marRight w:val="0"/>
      <w:marTop w:val="0"/>
      <w:marBottom w:val="0"/>
      <w:divBdr>
        <w:top w:val="none" w:sz="0" w:space="0" w:color="auto"/>
        <w:left w:val="none" w:sz="0" w:space="0" w:color="auto"/>
        <w:bottom w:val="none" w:sz="0" w:space="0" w:color="auto"/>
        <w:right w:val="none" w:sz="0" w:space="0" w:color="auto"/>
      </w:divBdr>
    </w:div>
    <w:div w:id="1341002302">
      <w:bodyDiv w:val="1"/>
      <w:marLeft w:val="0"/>
      <w:marRight w:val="0"/>
      <w:marTop w:val="0"/>
      <w:marBottom w:val="0"/>
      <w:divBdr>
        <w:top w:val="none" w:sz="0" w:space="0" w:color="auto"/>
        <w:left w:val="none" w:sz="0" w:space="0" w:color="auto"/>
        <w:bottom w:val="none" w:sz="0" w:space="0" w:color="auto"/>
        <w:right w:val="none" w:sz="0" w:space="0" w:color="auto"/>
      </w:divBdr>
    </w:div>
    <w:div w:id="1385759365">
      <w:bodyDiv w:val="1"/>
      <w:marLeft w:val="0"/>
      <w:marRight w:val="0"/>
      <w:marTop w:val="0"/>
      <w:marBottom w:val="0"/>
      <w:divBdr>
        <w:top w:val="none" w:sz="0" w:space="0" w:color="auto"/>
        <w:left w:val="none" w:sz="0" w:space="0" w:color="auto"/>
        <w:bottom w:val="none" w:sz="0" w:space="0" w:color="auto"/>
        <w:right w:val="none" w:sz="0" w:space="0" w:color="auto"/>
      </w:divBdr>
    </w:div>
    <w:div w:id="1397819633">
      <w:bodyDiv w:val="1"/>
      <w:marLeft w:val="0"/>
      <w:marRight w:val="0"/>
      <w:marTop w:val="0"/>
      <w:marBottom w:val="0"/>
      <w:divBdr>
        <w:top w:val="none" w:sz="0" w:space="0" w:color="auto"/>
        <w:left w:val="none" w:sz="0" w:space="0" w:color="auto"/>
        <w:bottom w:val="none" w:sz="0" w:space="0" w:color="auto"/>
        <w:right w:val="none" w:sz="0" w:space="0" w:color="auto"/>
      </w:divBdr>
    </w:div>
    <w:div w:id="1421220442">
      <w:bodyDiv w:val="1"/>
      <w:marLeft w:val="0"/>
      <w:marRight w:val="0"/>
      <w:marTop w:val="0"/>
      <w:marBottom w:val="0"/>
      <w:divBdr>
        <w:top w:val="none" w:sz="0" w:space="0" w:color="auto"/>
        <w:left w:val="none" w:sz="0" w:space="0" w:color="auto"/>
        <w:bottom w:val="none" w:sz="0" w:space="0" w:color="auto"/>
        <w:right w:val="none" w:sz="0" w:space="0" w:color="auto"/>
      </w:divBdr>
    </w:div>
    <w:div w:id="1465655688">
      <w:bodyDiv w:val="1"/>
      <w:marLeft w:val="0"/>
      <w:marRight w:val="0"/>
      <w:marTop w:val="0"/>
      <w:marBottom w:val="0"/>
      <w:divBdr>
        <w:top w:val="none" w:sz="0" w:space="0" w:color="auto"/>
        <w:left w:val="none" w:sz="0" w:space="0" w:color="auto"/>
        <w:bottom w:val="none" w:sz="0" w:space="0" w:color="auto"/>
        <w:right w:val="none" w:sz="0" w:space="0" w:color="auto"/>
      </w:divBdr>
    </w:div>
    <w:div w:id="1516529632">
      <w:bodyDiv w:val="1"/>
      <w:marLeft w:val="0"/>
      <w:marRight w:val="0"/>
      <w:marTop w:val="0"/>
      <w:marBottom w:val="0"/>
      <w:divBdr>
        <w:top w:val="none" w:sz="0" w:space="0" w:color="auto"/>
        <w:left w:val="none" w:sz="0" w:space="0" w:color="auto"/>
        <w:bottom w:val="none" w:sz="0" w:space="0" w:color="auto"/>
        <w:right w:val="none" w:sz="0" w:space="0" w:color="auto"/>
      </w:divBdr>
    </w:div>
    <w:div w:id="1522157871">
      <w:bodyDiv w:val="1"/>
      <w:marLeft w:val="0"/>
      <w:marRight w:val="0"/>
      <w:marTop w:val="0"/>
      <w:marBottom w:val="0"/>
      <w:divBdr>
        <w:top w:val="none" w:sz="0" w:space="0" w:color="auto"/>
        <w:left w:val="none" w:sz="0" w:space="0" w:color="auto"/>
        <w:bottom w:val="none" w:sz="0" w:space="0" w:color="auto"/>
        <w:right w:val="none" w:sz="0" w:space="0" w:color="auto"/>
      </w:divBdr>
    </w:div>
    <w:div w:id="1574319904">
      <w:bodyDiv w:val="1"/>
      <w:marLeft w:val="0"/>
      <w:marRight w:val="0"/>
      <w:marTop w:val="0"/>
      <w:marBottom w:val="0"/>
      <w:divBdr>
        <w:top w:val="none" w:sz="0" w:space="0" w:color="auto"/>
        <w:left w:val="none" w:sz="0" w:space="0" w:color="auto"/>
        <w:bottom w:val="none" w:sz="0" w:space="0" w:color="auto"/>
        <w:right w:val="none" w:sz="0" w:space="0" w:color="auto"/>
      </w:divBdr>
    </w:div>
    <w:div w:id="1646812256">
      <w:bodyDiv w:val="1"/>
      <w:marLeft w:val="0"/>
      <w:marRight w:val="0"/>
      <w:marTop w:val="0"/>
      <w:marBottom w:val="0"/>
      <w:divBdr>
        <w:top w:val="none" w:sz="0" w:space="0" w:color="auto"/>
        <w:left w:val="none" w:sz="0" w:space="0" w:color="auto"/>
        <w:bottom w:val="none" w:sz="0" w:space="0" w:color="auto"/>
        <w:right w:val="none" w:sz="0" w:space="0" w:color="auto"/>
      </w:divBdr>
    </w:div>
    <w:div w:id="1648709357">
      <w:bodyDiv w:val="1"/>
      <w:marLeft w:val="0"/>
      <w:marRight w:val="0"/>
      <w:marTop w:val="0"/>
      <w:marBottom w:val="0"/>
      <w:divBdr>
        <w:top w:val="none" w:sz="0" w:space="0" w:color="auto"/>
        <w:left w:val="none" w:sz="0" w:space="0" w:color="auto"/>
        <w:bottom w:val="none" w:sz="0" w:space="0" w:color="auto"/>
        <w:right w:val="none" w:sz="0" w:space="0" w:color="auto"/>
      </w:divBdr>
    </w:div>
    <w:div w:id="1685135859">
      <w:bodyDiv w:val="1"/>
      <w:marLeft w:val="0"/>
      <w:marRight w:val="0"/>
      <w:marTop w:val="0"/>
      <w:marBottom w:val="0"/>
      <w:divBdr>
        <w:top w:val="none" w:sz="0" w:space="0" w:color="auto"/>
        <w:left w:val="none" w:sz="0" w:space="0" w:color="auto"/>
        <w:bottom w:val="none" w:sz="0" w:space="0" w:color="auto"/>
        <w:right w:val="none" w:sz="0" w:space="0" w:color="auto"/>
      </w:divBdr>
    </w:div>
    <w:div w:id="1785684514">
      <w:bodyDiv w:val="1"/>
      <w:marLeft w:val="0"/>
      <w:marRight w:val="0"/>
      <w:marTop w:val="0"/>
      <w:marBottom w:val="0"/>
      <w:divBdr>
        <w:top w:val="none" w:sz="0" w:space="0" w:color="auto"/>
        <w:left w:val="none" w:sz="0" w:space="0" w:color="auto"/>
        <w:bottom w:val="none" w:sz="0" w:space="0" w:color="auto"/>
        <w:right w:val="none" w:sz="0" w:space="0" w:color="auto"/>
      </w:divBdr>
    </w:div>
    <w:div w:id="1894268941">
      <w:bodyDiv w:val="1"/>
      <w:marLeft w:val="0"/>
      <w:marRight w:val="0"/>
      <w:marTop w:val="0"/>
      <w:marBottom w:val="0"/>
      <w:divBdr>
        <w:top w:val="none" w:sz="0" w:space="0" w:color="auto"/>
        <w:left w:val="none" w:sz="0" w:space="0" w:color="auto"/>
        <w:bottom w:val="none" w:sz="0" w:space="0" w:color="auto"/>
        <w:right w:val="none" w:sz="0" w:space="0" w:color="auto"/>
      </w:divBdr>
    </w:div>
    <w:div w:id="19552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C0EB-7219-41E5-AC79-39954837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8344</Words>
  <Characters>44644</Characters>
  <Application>Microsoft Office Word</Application>
  <DocSecurity>0</DocSecurity>
  <Lines>1653</Lines>
  <Paragraphs>1177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2019-11-19T08:46:00Z</dcterms:created>
  <dcterms:modified xsi:type="dcterms:W3CDTF">2020-03-23T08:02:00Z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