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alt="E5D6DEC5-D733-4D03-9796-C66F168F4D79" style="width:450.8pt;height:361.9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1"/>
          <w:cols w:space="720"/>
          <w:docGrid w:linePitch="360"/>
        </w:sectPr>
      </w:pPr>
    </w:p>
    <w:p>
      <w:pPr>
        <w:spacing w:before="120" w:after="240" w:line="240" w:lineRule="auto"/>
        <w:jc w:val="center"/>
        <w:rPr>
          <w:rFonts w:ascii="Times New Roman" w:eastAsia="Times New Roman" w:hAnsi="Times New Roman"/>
          <w:b/>
          <w:noProof/>
          <w:sz w:val="28"/>
          <w:szCs w:val="24"/>
        </w:rPr>
      </w:pPr>
      <w:bookmarkStart w:id="1" w:name="_GoBack"/>
      <w:bookmarkEnd w:id="1"/>
    </w:p>
    <w:p>
      <w:pPr>
        <w:pStyle w:val="TOCHeading"/>
        <w:jc w:val="left"/>
        <w:rPr>
          <w:b w:val="0"/>
          <w:noProof/>
        </w:rPr>
      </w:pPr>
    </w:p>
    <w:sdt>
      <w:sdtPr>
        <w:rPr>
          <w:rFonts w:asciiTheme="minorHAnsi" w:eastAsiaTheme="minorHAnsi" w:hAnsiTheme="minorHAnsi" w:cstheme="minorBidi"/>
          <w:b w:val="0"/>
          <w:noProof/>
          <w:sz w:val="22"/>
          <w:szCs w:val="22"/>
        </w:rPr>
        <w:id w:val="-365300493"/>
        <w:docPartObj>
          <w:docPartGallery w:val="Table of Contents"/>
          <w:docPartUnique/>
        </w:docPartObj>
      </w:sdtPr>
      <w:sdtEndPr>
        <w:rPr>
          <w:bCs/>
        </w:rPr>
      </w:sdtEndPr>
      <w:sdtContent>
        <w:p>
          <w:pPr>
            <w:pStyle w:val="TOCHeading"/>
            <w:rPr>
              <w:noProof/>
            </w:rPr>
          </w:pPr>
          <w:r>
            <w:rPr>
              <w:noProof/>
            </w:rPr>
            <w:t>Table des matières</w:t>
          </w:r>
        </w:p>
        <w:p>
          <w:pPr>
            <w:pStyle w:val="TOC1"/>
            <w:rPr>
              <w:rFonts w:asciiTheme="minorHAnsi" w:eastAsiaTheme="minorEastAsia" w:hAnsiTheme="minorHAnsi" w:cstheme="minorBidi"/>
              <w:noProof/>
              <w:sz w:val="22"/>
              <w:szCs w:val="22"/>
              <w:lang w:val="en-US"/>
            </w:rPr>
          </w:pPr>
          <w:r>
            <w:rPr>
              <w:noProof/>
            </w:rPr>
            <w:fldChar w:fldCharType="begin"/>
          </w:r>
          <w:r>
            <w:rPr>
              <w:noProof/>
            </w:rPr>
            <w:instrText xml:space="preserve"> TOC \o "1-3" \h \z \u </w:instrText>
          </w:r>
          <w:r>
            <w:rPr>
              <w:noProof/>
            </w:rPr>
            <w:fldChar w:fldCharType="separate"/>
          </w:r>
          <w:hyperlink w:anchor="_Toc33174480" w:history="1">
            <w:r>
              <w:rPr>
                <w:rStyle w:val="Hyperlink"/>
                <w:noProof/>
              </w:rPr>
              <w:t>1.</w:t>
            </w:r>
            <w:r>
              <w:rPr>
                <w:rFonts w:asciiTheme="minorHAnsi" w:eastAsiaTheme="minorEastAsia" w:hAnsiTheme="minorHAnsi" w:cstheme="minorBidi"/>
                <w:noProof/>
                <w:sz w:val="22"/>
                <w:szCs w:val="22"/>
                <w:lang w:val="en-US"/>
              </w:rPr>
              <w:tab/>
            </w:r>
            <w:r>
              <w:rPr>
                <w:rStyle w:val="Hyperlink"/>
                <w:noProof/>
              </w:rPr>
              <w:t>INTRODUCTION</w:t>
            </w:r>
            <w:r>
              <w:rPr>
                <w:noProof/>
                <w:webHidden/>
              </w:rPr>
              <w:tab/>
            </w:r>
            <w:r>
              <w:rPr>
                <w:noProof/>
                <w:webHidden/>
              </w:rPr>
              <w:fldChar w:fldCharType="begin"/>
            </w:r>
            <w:r>
              <w:rPr>
                <w:noProof/>
                <w:webHidden/>
              </w:rPr>
              <w:instrText xml:space="preserve"> PAGEREF _Toc33174480 \h </w:instrText>
            </w:r>
            <w:r>
              <w:rPr>
                <w:noProof/>
                <w:webHidden/>
              </w:rPr>
            </w:r>
            <w:r>
              <w:rPr>
                <w:noProof/>
                <w:webHidden/>
              </w:rPr>
              <w:fldChar w:fldCharType="separate"/>
            </w:r>
            <w:r>
              <w:rPr>
                <w:noProof/>
                <w:webHidden/>
              </w:rPr>
              <w:t>3</w:t>
            </w:r>
            <w:r>
              <w:rPr>
                <w:noProof/>
                <w:webHidden/>
              </w:rPr>
              <w:fldChar w:fldCharType="end"/>
            </w:r>
          </w:hyperlink>
        </w:p>
        <w:p>
          <w:pPr>
            <w:pStyle w:val="TOC1"/>
            <w:rPr>
              <w:rFonts w:asciiTheme="minorHAnsi" w:eastAsiaTheme="minorEastAsia" w:hAnsiTheme="minorHAnsi" w:cstheme="minorBidi"/>
              <w:noProof/>
              <w:sz w:val="22"/>
              <w:szCs w:val="22"/>
              <w:lang w:val="en-US"/>
            </w:rPr>
          </w:pPr>
          <w:hyperlink w:anchor="_Toc33174481" w:history="1">
            <w:r>
              <w:rPr>
                <w:rStyle w:val="Hyperlink"/>
                <w:noProof/>
              </w:rPr>
              <w:t>2.</w:t>
            </w:r>
            <w:r>
              <w:rPr>
                <w:rFonts w:asciiTheme="minorHAnsi" w:eastAsiaTheme="minorEastAsia" w:hAnsiTheme="minorHAnsi" w:cstheme="minorBidi"/>
                <w:noProof/>
                <w:sz w:val="22"/>
                <w:szCs w:val="22"/>
                <w:lang w:val="en-US"/>
              </w:rPr>
              <w:tab/>
            </w:r>
            <w:r>
              <w:rPr>
                <w:rStyle w:val="Hyperlink"/>
                <w:noProof/>
              </w:rPr>
              <w:t>DIRECTIVE 2000/30/CE</w:t>
            </w:r>
            <w:r>
              <w:rPr>
                <w:noProof/>
                <w:webHidden/>
              </w:rPr>
              <w:tab/>
            </w:r>
            <w:r>
              <w:rPr>
                <w:noProof/>
                <w:webHidden/>
              </w:rPr>
              <w:fldChar w:fldCharType="begin"/>
            </w:r>
            <w:r>
              <w:rPr>
                <w:noProof/>
                <w:webHidden/>
              </w:rPr>
              <w:instrText xml:space="preserve"> PAGEREF _Toc33174481 \h </w:instrText>
            </w:r>
            <w:r>
              <w:rPr>
                <w:noProof/>
                <w:webHidden/>
              </w:rPr>
            </w:r>
            <w:r>
              <w:rPr>
                <w:noProof/>
                <w:webHidden/>
              </w:rPr>
              <w:fldChar w:fldCharType="separate"/>
            </w:r>
            <w:r>
              <w:rPr>
                <w:noProof/>
                <w:webHidden/>
              </w:rPr>
              <w:t>4</w:t>
            </w:r>
            <w:r>
              <w:rPr>
                <w:noProof/>
                <w:webHidden/>
              </w:rPr>
              <w:fldChar w:fldCharType="end"/>
            </w:r>
          </w:hyperlink>
        </w:p>
        <w:p>
          <w:pPr>
            <w:pStyle w:val="TOC1"/>
            <w:rPr>
              <w:rFonts w:asciiTheme="minorHAnsi" w:eastAsiaTheme="minorEastAsia" w:hAnsiTheme="minorHAnsi" w:cstheme="minorBidi"/>
              <w:noProof/>
              <w:sz w:val="22"/>
              <w:szCs w:val="22"/>
              <w:lang w:val="en-US"/>
            </w:rPr>
          </w:pPr>
          <w:hyperlink w:anchor="_Toc33174482" w:history="1">
            <w:r>
              <w:rPr>
                <w:rStyle w:val="Hyperlink"/>
                <w:noProof/>
              </w:rPr>
              <w:t>3.</w:t>
            </w:r>
            <w:r>
              <w:rPr>
                <w:rFonts w:asciiTheme="minorHAnsi" w:eastAsiaTheme="minorEastAsia" w:hAnsiTheme="minorHAnsi" w:cstheme="minorBidi"/>
                <w:noProof/>
                <w:sz w:val="22"/>
                <w:szCs w:val="22"/>
                <w:lang w:val="en-US"/>
              </w:rPr>
              <w:tab/>
            </w:r>
            <w:r>
              <w:rPr>
                <w:rStyle w:val="Hyperlink"/>
                <w:noProof/>
              </w:rPr>
              <w:t>DONNÉES COMMUNIQUÉES PAR LES ÉTATS MEMBRES</w:t>
            </w:r>
            <w:r>
              <w:rPr>
                <w:noProof/>
                <w:webHidden/>
              </w:rPr>
              <w:tab/>
            </w:r>
            <w:r>
              <w:rPr>
                <w:noProof/>
                <w:webHidden/>
              </w:rPr>
              <w:fldChar w:fldCharType="begin"/>
            </w:r>
            <w:r>
              <w:rPr>
                <w:noProof/>
                <w:webHidden/>
              </w:rPr>
              <w:instrText xml:space="preserve"> PAGEREF _Toc33174482 \h </w:instrText>
            </w:r>
            <w:r>
              <w:rPr>
                <w:noProof/>
                <w:webHidden/>
              </w:rPr>
            </w:r>
            <w:r>
              <w:rPr>
                <w:noProof/>
                <w:webHidden/>
              </w:rPr>
              <w:fldChar w:fldCharType="separate"/>
            </w:r>
            <w:r>
              <w:rPr>
                <w:noProof/>
                <w:webHidden/>
              </w:rPr>
              <w:t>5</w:t>
            </w:r>
            <w:r>
              <w:rPr>
                <w:noProof/>
                <w:webHidden/>
              </w:rPr>
              <w:fldChar w:fldCharType="end"/>
            </w:r>
          </w:hyperlink>
        </w:p>
        <w:p>
          <w:pPr>
            <w:pStyle w:val="TOC1"/>
            <w:rPr>
              <w:rFonts w:asciiTheme="minorHAnsi" w:eastAsiaTheme="minorEastAsia" w:hAnsiTheme="minorHAnsi" w:cstheme="minorBidi"/>
              <w:noProof/>
              <w:sz w:val="22"/>
              <w:szCs w:val="22"/>
              <w:lang w:val="en-US"/>
            </w:rPr>
          </w:pPr>
          <w:hyperlink w:anchor="_Toc33174483" w:history="1">
            <w:r>
              <w:rPr>
                <w:rStyle w:val="Hyperlink"/>
                <w:noProof/>
              </w:rPr>
              <w:t>4.</w:t>
            </w:r>
            <w:r>
              <w:rPr>
                <w:rFonts w:asciiTheme="minorHAnsi" w:eastAsiaTheme="minorEastAsia" w:hAnsiTheme="minorHAnsi" w:cstheme="minorBidi"/>
                <w:noProof/>
                <w:sz w:val="22"/>
                <w:szCs w:val="22"/>
                <w:lang w:val="en-US"/>
              </w:rPr>
              <w:tab/>
            </w:r>
            <w:r>
              <w:rPr>
                <w:rStyle w:val="Hyperlink"/>
                <w:noProof/>
              </w:rPr>
              <w:t>CONTENU DU CONTRÔLE</w:t>
            </w:r>
            <w:r>
              <w:rPr>
                <w:noProof/>
                <w:webHidden/>
              </w:rPr>
              <w:tab/>
            </w:r>
            <w:r>
              <w:rPr>
                <w:noProof/>
                <w:webHidden/>
              </w:rPr>
              <w:fldChar w:fldCharType="begin"/>
            </w:r>
            <w:r>
              <w:rPr>
                <w:noProof/>
                <w:webHidden/>
              </w:rPr>
              <w:instrText xml:space="preserve"> PAGEREF _Toc33174483 \h </w:instrText>
            </w:r>
            <w:r>
              <w:rPr>
                <w:noProof/>
                <w:webHidden/>
              </w:rPr>
            </w:r>
            <w:r>
              <w:rPr>
                <w:noProof/>
                <w:webHidden/>
              </w:rPr>
              <w:fldChar w:fldCharType="separate"/>
            </w:r>
            <w:r>
              <w:rPr>
                <w:noProof/>
                <w:webHidden/>
              </w:rPr>
              <w:t>6</w:t>
            </w:r>
            <w:r>
              <w:rPr>
                <w:noProof/>
                <w:webHidden/>
              </w:rPr>
              <w:fldChar w:fldCharType="end"/>
            </w:r>
          </w:hyperlink>
        </w:p>
        <w:p>
          <w:pPr>
            <w:pStyle w:val="TOC1"/>
            <w:rPr>
              <w:rFonts w:asciiTheme="minorHAnsi" w:eastAsiaTheme="minorEastAsia" w:hAnsiTheme="minorHAnsi" w:cstheme="minorBidi"/>
              <w:noProof/>
              <w:sz w:val="22"/>
              <w:szCs w:val="22"/>
              <w:lang w:val="en-US"/>
            </w:rPr>
          </w:pPr>
          <w:hyperlink w:anchor="_Toc33174484" w:history="1">
            <w:r>
              <w:rPr>
                <w:rStyle w:val="Hyperlink"/>
                <w:noProof/>
              </w:rPr>
              <w:t>5.</w:t>
            </w:r>
            <w:r>
              <w:rPr>
                <w:rFonts w:asciiTheme="minorHAnsi" w:eastAsiaTheme="minorEastAsia" w:hAnsiTheme="minorHAnsi" w:cstheme="minorBidi"/>
                <w:noProof/>
                <w:sz w:val="22"/>
                <w:szCs w:val="22"/>
                <w:lang w:val="en-US"/>
              </w:rPr>
              <w:tab/>
            </w:r>
            <w:r>
              <w:rPr>
                <w:rStyle w:val="Hyperlink"/>
                <w:noProof/>
              </w:rPr>
              <w:t>DONNÉES STATISTIQUES</w:t>
            </w:r>
            <w:r>
              <w:rPr>
                <w:noProof/>
                <w:webHidden/>
              </w:rPr>
              <w:tab/>
            </w:r>
            <w:r>
              <w:rPr>
                <w:noProof/>
                <w:webHidden/>
              </w:rPr>
              <w:fldChar w:fldCharType="begin"/>
            </w:r>
            <w:r>
              <w:rPr>
                <w:noProof/>
                <w:webHidden/>
              </w:rPr>
              <w:instrText xml:space="preserve"> PAGEREF _Toc33174484 \h </w:instrText>
            </w:r>
            <w:r>
              <w:rPr>
                <w:noProof/>
                <w:webHidden/>
              </w:rPr>
            </w:r>
            <w:r>
              <w:rPr>
                <w:noProof/>
                <w:webHidden/>
              </w:rPr>
              <w:fldChar w:fldCharType="separate"/>
            </w:r>
            <w:r>
              <w:rPr>
                <w:noProof/>
                <w:webHidden/>
              </w:rPr>
              <w:t>7</w:t>
            </w:r>
            <w:r>
              <w:rPr>
                <w:noProof/>
                <w:webHidden/>
              </w:rPr>
              <w:fldChar w:fldCharType="end"/>
            </w:r>
          </w:hyperlink>
        </w:p>
        <w:p>
          <w:pPr>
            <w:pStyle w:val="TOC2"/>
            <w:rPr>
              <w:rFonts w:asciiTheme="minorHAnsi" w:eastAsiaTheme="minorEastAsia" w:hAnsiTheme="minorHAnsi" w:cstheme="minorBidi"/>
              <w:noProof/>
              <w:sz w:val="22"/>
              <w:szCs w:val="22"/>
              <w:lang w:val="en-US"/>
            </w:rPr>
          </w:pPr>
          <w:hyperlink w:anchor="_Toc33174485" w:history="1">
            <w:r>
              <w:rPr>
                <w:rStyle w:val="Hyperlink"/>
                <w:noProof/>
              </w:rPr>
              <w:t xml:space="preserve">5.1. </w:t>
            </w:r>
            <w:r>
              <w:rPr>
                <w:rFonts w:asciiTheme="minorHAnsi" w:eastAsiaTheme="minorEastAsia" w:hAnsiTheme="minorHAnsi" w:cstheme="minorBidi"/>
                <w:noProof/>
                <w:sz w:val="22"/>
                <w:szCs w:val="22"/>
                <w:lang w:val="en-US"/>
              </w:rPr>
              <w:tab/>
            </w:r>
            <w:r>
              <w:rPr>
                <w:rStyle w:val="Hyperlink"/>
                <w:noProof/>
              </w:rPr>
              <w:t>Ampleur des contrôles</w:t>
            </w:r>
            <w:r>
              <w:rPr>
                <w:noProof/>
                <w:webHidden/>
              </w:rPr>
              <w:tab/>
            </w:r>
            <w:r>
              <w:rPr>
                <w:noProof/>
                <w:webHidden/>
              </w:rPr>
              <w:fldChar w:fldCharType="begin"/>
            </w:r>
            <w:r>
              <w:rPr>
                <w:noProof/>
                <w:webHidden/>
              </w:rPr>
              <w:instrText xml:space="preserve"> PAGEREF _Toc33174485 \h </w:instrText>
            </w:r>
            <w:r>
              <w:rPr>
                <w:noProof/>
                <w:webHidden/>
              </w:rPr>
            </w:r>
            <w:r>
              <w:rPr>
                <w:noProof/>
                <w:webHidden/>
              </w:rPr>
              <w:fldChar w:fldCharType="separate"/>
            </w:r>
            <w:r>
              <w:rPr>
                <w:noProof/>
                <w:webHidden/>
              </w:rPr>
              <w:t>7</w:t>
            </w:r>
            <w:r>
              <w:rPr>
                <w:noProof/>
                <w:webHidden/>
              </w:rPr>
              <w:fldChar w:fldCharType="end"/>
            </w:r>
          </w:hyperlink>
        </w:p>
        <w:p>
          <w:pPr>
            <w:pStyle w:val="TOC2"/>
            <w:rPr>
              <w:rFonts w:asciiTheme="minorHAnsi" w:eastAsiaTheme="minorEastAsia" w:hAnsiTheme="minorHAnsi" w:cstheme="minorBidi"/>
              <w:noProof/>
              <w:sz w:val="22"/>
              <w:szCs w:val="22"/>
              <w:lang w:val="en-US"/>
            </w:rPr>
          </w:pPr>
          <w:hyperlink w:anchor="_Toc33174486" w:history="1">
            <w:r>
              <w:rPr>
                <w:rStyle w:val="Hyperlink"/>
                <w:noProof/>
              </w:rPr>
              <w:t xml:space="preserve">5.2. </w:t>
            </w:r>
            <w:r>
              <w:rPr>
                <w:rFonts w:asciiTheme="minorHAnsi" w:eastAsiaTheme="minorEastAsia" w:hAnsiTheme="minorHAnsi" w:cstheme="minorBidi"/>
                <w:noProof/>
                <w:sz w:val="22"/>
                <w:szCs w:val="22"/>
                <w:lang w:val="en-US"/>
              </w:rPr>
              <w:tab/>
            </w:r>
            <w:r>
              <w:rPr>
                <w:rStyle w:val="Hyperlink"/>
                <w:noProof/>
              </w:rPr>
              <w:t>Origine des véhicules contrôlés</w:t>
            </w:r>
            <w:r>
              <w:rPr>
                <w:noProof/>
                <w:webHidden/>
              </w:rPr>
              <w:tab/>
            </w:r>
            <w:r>
              <w:rPr>
                <w:noProof/>
                <w:webHidden/>
              </w:rPr>
              <w:fldChar w:fldCharType="begin"/>
            </w:r>
            <w:r>
              <w:rPr>
                <w:noProof/>
                <w:webHidden/>
              </w:rPr>
              <w:instrText xml:space="preserve"> PAGEREF _Toc33174486 \h </w:instrText>
            </w:r>
            <w:r>
              <w:rPr>
                <w:noProof/>
                <w:webHidden/>
              </w:rPr>
            </w:r>
            <w:r>
              <w:rPr>
                <w:noProof/>
                <w:webHidden/>
              </w:rPr>
              <w:fldChar w:fldCharType="separate"/>
            </w:r>
            <w:r>
              <w:rPr>
                <w:noProof/>
                <w:webHidden/>
              </w:rPr>
              <w:t>8</w:t>
            </w:r>
            <w:r>
              <w:rPr>
                <w:noProof/>
                <w:webHidden/>
              </w:rPr>
              <w:fldChar w:fldCharType="end"/>
            </w:r>
          </w:hyperlink>
        </w:p>
        <w:p>
          <w:pPr>
            <w:pStyle w:val="TOC2"/>
            <w:rPr>
              <w:rFonts w:asciiTheme="minorHAnsi" w:eastAsiaTheme="minorEastAsia" w:hAnsiTheme="minorHAnsi" w:cstheme="minorBidi"/>
              <w:noProof/>
              <w:sz w:val="22"/>
              <w:szCs w:val="22"/>
              <w:lang w:val="en-US"/>
            </w:rPr>
          </w:pPr>
          <w:hyperlink w:anchor="_Toc33174487" w:history="1">
            <w:r>
              <w:rPr>
                <w:rStyle w:val="Hyperlink"/>
                <w:noProof/>
              </w:rPr>
              <w:t>5.3.</w:t>
            </w:r>
            <w:r>
              <w:rPr>
                <w:rFonts w:asciiTheme="minorHAnsi" w:eastAsiaTheme="minorEastAsia" w:hAnsiTheme="minorHAnsi" w:cstheme="minorBidi"/>
                <w:noProof/>
                <w:sz w:val="22"/>
                <w:szCs w:val="22"/>
                <w:lang w:val="en-US"/>
              </w:rPr>
              <w:tab/>
            </w:r>
            <w:r>
              <w:rPr>
                <w:rStyle w:val="Hyperlink"/>
                <w:noProof/>
              </w:rPr>
              <w:t>Ampleur des suspensions</w:t>
            </w:r>
            <w:r>
              <w:rPr>
                <w:noProof/>
                <w:webHidden/>
              </w:rPr>
              <w:tab/>
            </w:r>
            <w:r>
              <w:rPr>
                <w:noProof/>
                <w:webHidden/>
              </w:rPr>
              <w:fldChar w:fldCharType="begin"/>
            </w:r>
            <w:r>
              <w:rPr>
                <w:noProof/>
                <w:webHidden/>
              </w:rPr>
              <w:instrText xml:space="preserve"> PAGEREF _Toc33174487 \h </w:instrText>
            </w:r>
            <w:r>
              <w:rPr>
                <w:noProof/>
                <w:webHidden/>
              </w:rPr>
            </w:r>
            <w:r>
              <w:rPr>
                <w:noProof/>
                <w:webHidden/>
              </w:rPr>
              <w:fldChar w:fldCharType="separate"/>
            </w:r>
            <w:r>
              <w:rPr>
                <w:noProof/>
                <w:webHidden/>
              </w:rPr>
              <w:t>9</w:t>
            </w:r>
            <w:r>
              <w:rPr>
                <w:noProof/>
                <w:webHidden/>
              </w:rPr>
              <w:fldChar w:fldCharType="end"/>
            </w:r>
          </w:hyperlink>
        </w:p>
        <w:p>
          <w:pPr>
            <w:pStyle w:val="TOC2"/>
            <w:rPr>
              <w:rFonts w:asciiTheme="minorHAnsi" w:eastAsiaTheme="minorEastAsia" w:hAnsiTheme="minorHAnsi" w:cstheme="minorBidi"/>
              <w:noProof/>
              <w:sz w:val="22"/>
              <w:szCs w:val="22"/>
              <w:lang w:val="en-US"/>
            </w:rPr>
          </w:pPr>
          <w:hyperlink w:anchor="_Toc33174488" w:history="1">
            <w:r>
              <w:rPr>
                <w:rStyle w:val="Hyperlink"/>
                <w:noProof/>
              </w:rPr>
              <w:t>5.4.</w:t>
            </w:r>
            <w:r>
              <w:rPr>
                <w:rFonts w:asciiTheme="minorHAnsi" w:eastAsiaTheme="minorEastAsia" w:hAnsiTheme="minorHAnsi" w:cstheme="minorBidi"/>
                <w:noProof/>
                <w:sz w:val="22"/>
                <w:szCs w:val="22"/>
                <w:lang w:val="en-US"/>
              </w:rPr>
              <w:tab/>
            </w:r>
            <w:r>
              <w:rPr>
                <w:rStyle w:val="Hyperlink"/>
                <w:noProof/>
              </w:rPr>
              <w:t>Origine des véhicules dont l’utilisation a été suspendue</w:t>
            </w:r>
            <w:r>
              <w:rPr>
                <w:noProof/>
                <w:webHidden/>
              </w:rPr>
              <w:tab/>
            </w:r>
            <w:r>
              <w:rPr>
                <w:noProof/>
                <w:webHidden/>
              </w:rPr>
              <w:fldChar w:fldCharType="begin"/>
            </w:r>
            <w:r>
              <w:rPr>
                <w:noProof/>
                <w:webHidden/>
              </w:rPr>
              <w:instrText xml:space="preserve"> PAGEREF _Toc33174488 \h </w:instrText>
            </w:r>
            <w:r>
              <w:rPr>
                <w:noProof/>
                <w:webHidden/>
              </w:rPr>
            </w:r>
            <w:r>
              <w:rPr>
                <w:noProof/>
                <w:webHidden/>
              </w:rPr>
              <w:fldChar w:fldCharType="separate"/>
            </w:r>
            <w:r>
              <w:rPr>
                <w:noProof/>
                <w:webHidden/>
              </w:rPr>
              <w:t>11</w:t>
            </w:r>
            <w:r>
              <w:rPr>
                <w:noProof/>
                <w:webHidden/>
              </w:rPr>
              <w:fldChar w:fldCharType="end"/>
            </w:r>
          </w:hyperlink>
        </w:p>
        <w:p>
          <w:pPr>
            <w:pStyle w:val="TOC2"/>
            <w:rPr>
              <w:rFonts w:asciiTheme="minorHAnsi" w:eastAsiaTheme="minorEastAsia" w:hAnsiTheme="minorHAnsi" w:cstheme="minorBidi"/>
              <w:noProof/>
              <w:sz w:val="22"/>
              <w:szCs w:val="22"/>
              <w:lang w:val="en-US"/>
            </w:rPr>
          </w:pPr>
          <w:hyperlink w:anchor="_Toc33174489" w:history="1">
            <w:r>
              <w:rPr>
                <w:rStyle w:val="Hyperlink"/>
                <w:noProof/>
              </w:rPr>
              <w:t>5.5.</w:t>
            </w:r>
            <w:r>
              <w:rPr>
                <w:rFonts w:asciiTheme="minorHAnsi" w:eastAsiaTheme="minorEastAsia" w:hAnsiTheme="minorHAnsi" w:cstheme="minorBidi"/>
                <w:noProof/>
                <w:sz w:val="22"/>
                <w:szCs w:val="22"/>
                <w:lang w:val="en-US"/>
              </w:rPr>
              <w:tab/>
            </w:r>
            <w:r>
              <w:rPr>
                <w:rStyle w:val="Hyperlink"/>
                <w:noProof/>
              </w:rPr>
              <w:t>Véhicules dont l’utilisation a été suspendue, par catégorie de véhicule et par État membre d’immatriculation</w:t>
            </w:r>
            <w:r>
              <w:rPr>
                <w:noProof/>
                <w:webHidden/>
              </w:rPr>
              <w:tab/>
            </w:r>
            <w:r>
              <w:rPr>
                <w:noProof/>
                <w:webHidden/>
              </w:rPr>
              <w:fldChar w:fldCharType="begin"/>
            </w:r>
            <w:r>
              <w:rPr>
                <w:noProof/>
                <w:webHidden/>
              </w:rPr>
              <w:instrText xml:space="preserve"> PAGEREF _Toc33174489 \h </w:instrText>
            </w:r>
            <w:r>
              <w:rPr>
                <w:noProof/>
                <w:webHidden/>
              </w:rPr>
            </w:r>
            <w:r>
              <w:rPr>
                <w:noProof/>
                <w:webHidden/>
              </w:rPr>
              <w:fldChar w:fldCharType="separate"/>
            </w:r>
            <w:r>
              <w:rPr>
                <w:noProof/>
                <w:webHidden/>
              </w:rPr>
              <w:t>14</w:t>
            </w:r>
            <w:r>
              <w:rPr>
                <w:noProof/>
                <w:webHidden/>
              </w:rPr>
              <w:fldChar w:fldCharType="end"/>
            </w:r>
          </w:hyperlink>
        </w:p>
        <w:p>
          <w:pPr>
            <w:pStyle w:val="TOC2"/>
            <w:rPr>
              <w:rFonts w:asciiTheme="minorHAnsi" w:eastAsiaTheme="minorEastAsia" w:hAnsiTheme="minorHAnsi" w:cstheme="minorBidi"/>
              <w:noProof/>
              <w:sz w:val="22"/>
              <w:szCs w:val="22"/>
              <w:lang w:val="en-US"/>
            </w:rPr>
          </w:pPr>
          <w:hyperlink w:anchor="_Toc33174490" w:history="1">
            <w:r>
              <w:rPr>
                <w:rStyle w:val="Hyperlink"/>
                <w:noProof/>
              </w:rPr>
              <w:t>5.6.</w:t>
            </w:r>
            <w:r>
              <w:rPr>
                <w:rFonts w:asciiTheme="minorHAnsi" w:eastAsiaTheme="minorEastAsia" w:hAnsiTheme="minorHAnsi" w:cstheme="minorBidi"/>
                <w:noProof/>
                <w:sz w:val="22"/>
                <w:szCs w:val="22"/>
                <w:lang w:val="en-US"/>
              </w:rPr>
              <w:tab/>
            </w:r>
            <w:r>
              <w:rPr>
                <w:rStyle w:val="Hyperlink"/>
                <w:noProof/>
              </w:rPr>
              <w:t>Types de défauts signalés par État membre</w:t>
            </w:r>
            <w:r>
              <w:rPr>
                <w:noProof/>
                <w:webHidden/>
              </w:rPr>
              <w:tab/>
            </w:r>
            <w:r>
              <w:rPr>
                <w:noProof/>
                <w:webHidden/>
              </w:rPr>
              <w:fldChar w:fldCharType="begin"/>
            </w:r>
            <w:r>
              <w:rPr>
                <w:noProof/>
                <w:webHidden/>
              </w:rPr>
              <w:instrText xml:space="preserve"> PAGEREF _Toc33174490 \h </w:instrText>
            </w:r>
            <w:r>
              <w:rPr>
                <w:noProof/>
                <w:webHidden/>
              </w:rPr>
            </w:r>
            <w:r>
              <w:rPr>
                <w:noProof/>
                <w:webHidden/>
              </w:rPr>
              <w:fldChar w:fldCharType="separate"/>
            </w:r>
            <w:r>
              <w:rPr>
                <w:noProof/>
                <w:webHidden/>
              </w:rPr>
              <w:t>14</w:t>
            </w:r>
            <w:r>
              <w:rPr>
                <w:noProof/>
                <w:webHidden/>
              </w:rPr>
              <w:fldChar w:fldCharType="end"/>
            </w:r>
          </w:hyperlink>
        </w:p>
        <w:p>
          <w:pPr>
            <w:pStyle w:val="TOC1"/>
            <w:rPr>
              <w:rFonts w:asciiTheme="minorHAnsi" w:eastAsiaTheme="minorEastAsia" w:hAnsiTheme="minorHAnsi" w:cstheme="minorBidi"/>
              <w:noProof/>
              <w:sz w:val="22"/>
              <w:szCs w:val="22"/>
              <w:lang w:val="en-US"/>
            </w:rPr>
          </w:pPr>
          <w:hyperlink w:anchor="_Toc33174491" w:history="1">
            <w:r>
              <w:rPr>
                <w:rStyle w:val="Hyperlink"/>
                <w:noProof/>
              </w:rPr>
              <w:t>6.</w:t>
            </w:r>
            <w:r>
              <w:rPr>
                <w:rFonts w:asciiTheme="minorHAnsi" w:eastAsiaTheme="minorEastAsia" w:hAnsiTheme="minorHAnsi" w:cstheme="minorBidi"/>
                <w:noProof/>
                <w:sz w:val="22"/>
                <w:szCs w:val="22"/>
                <w:lang w:val="en-US"/>
              </w:rPr>
              <w:tab/>
            </w:r>
            <w:r>
              <w:rPr>
                <w:rStyle w:val="Hyperlink"/>
                <w:noProof/>
              </w:rPr>
              <w:t>TYPES DE SANCTIONS</w:t>
            </w:r>
            <w:r>
              <w:rPr>
                <w:noProof/>
                <w:webHidden/>
              </w:rPr>
              <w:tab/>
            </w:r>
            <w:r>
              <w:rPr>
                <w:noProof/>
                <w:webHidden/>
              </w:rPr>
              <w:fldChar w:fldCharType="begin"/>
            </w:r>
            <w:r>
              <w:rPr>
                <w:noProof/>
                <w:webHidden/>
              </w:rPr>
              <w:instrText xml:space="preserve"> PAGEREF _Toc33174491 \h </w:instrText>
            </w:r>
            <w:r>
              <w:rPr>
                <w:noProof/>
                <w:webHidden/>
              </w:rPr>
            </w:r>
            <w:r>
              <w:rPr>
                <w:noProof/>
                <w:webHidden/>
              </w:rPr>
              <w:fldChar w:fldCharType="separate"/>
            </w:r>
            <w:r>
              <w:rPr>
                <w:noProof/>
                <w:webHidden/>
              </w:rPr>
              <w:t>15</w:t>
            </w:r>
            <w:r>
              <w:rPr>
                <w:noProof/>
                <w:webHidden/>
              </w:rPr>
              <w:fldChar w:fldCharType="end"/>
            </w:r>
          </w:hyperlink>
        </w:p>
        <w:p>
          <w:pPr>
            <w:pStyle w:val="TOC1"/>
            <w:rPr>
              <w:rFonts w:asciiTheme="minorHAnsi" w:eastAsiaTheme="minorEastAsia" w:hAnsiTheme="minorHAnsi" w:cstheme="minorBidi"/>
              <w:noProof/>
              <w:sz w:val="22"/>
              <w:szCs w:val="22"/>
              <w:lang w:val="en-US"/>
            </w:rPr>
          </w:pPr>
          <w:hyperlink w:anchor="_Toc33174492" w:history="1">
            <w:r>
              <w:rPr>
                <w:rStyle w:val="Hyperlink"/>
                <w:noProof/>
              </w:rPr>
              <w:t>7.</w:t>
            </w:r>
            <w:r>
              <w:rPr>
                <w:rFonts w:asciiTheme="minorHAnsi" w:eastAsiaTheme="minorEastAsia" w:hAnsiTheme="minorHAnsi" w:cstheme="minorBidi"/>
                <w:noProof/>
                <w:sz w:val="22"/>
                <w:szCs w:val="22"/>
                <w:lang w:val="en-US"/>
              </w:rPr>
              <w:tab/>
            </w:r>
            <w:r>
              <w:rPr>
                <w:rStyle w:val="Hyperlink"/>
                <w:noProof/>
              </w:rPr>
              <w:t>CONCLUSIONS SUCCINCTES</w:t>
            </w:r>
            <w:r>
              <w:rPr>
                <w:noProof/>
                <w:webHidden/>
              </w:rPr>
              <w:tab/>
            </w:r>
            <w:r>
              <w:rPr>
                <w:noProof/>
                <w:webHidden/>
              </w:rPr>
              <w:fldChar w:fldCharType="begin"/>
            </w:r>
            <w:r>
              <w:rPr>
                <w:noProof/>
                <w:webHidden/>
              </w:rPr>
              <w:instrText xml:space="preserve"> PAGEREF _Toc33174492 \h </w:instrText>
            </w:r>
            <w:r>
              <w:rPr>
                <w:noProof/>
                <w:webHidden/>
              </w:rPr>
            </w:r>
            <w:r>
              <w:rPr>
                <w:noProof/>
                <w:webHidden/>
              </w:rPr>
              <w:fldChar w:fldCharType="separate"/>
            </w:r>
            <w:r>
              <w:rPr>
                <w:noProof/>
                <w:webHidden/>
              </w:rPr>
              <w:t>16</w:t>
            </w:r>
            <w:r>
              <w:rPr>
                <w:noProof/>
                <w:webHidden/>
              </w:rPr>
              <w:fldChar w:fldCharType="end"/>
            </w:r>
          </w:hyperlink>
        </w:p>
        <w:p>
          <w:pPr>
            <w:pStyle w:val="TOC2"/>
            <w:rPr>
              <w:rFonts w:asciiTheme="minorHAnsi" w:eastAsiaTheme="minorEastAsia" w:hAnsiTheme="minorHAnsi" w:cstheme="minorBidi"/>
              <w:noProof/>
              <w:sz w:val="22"/>
              <w:szCs w:val="22"/>
              <w:lang w:val="en-US"/>
            </w:rPr>
          </w:pPr>
          <w:hyperlink w:anchor="_Toc33174493" w:history="1">
            <w:r>
              <w:rPr>
                <w:rStyle w:val="Hyperlink"/>
                <w:noProof/>
              </w:rPr>
              <w:t>7.1.</w:t>
            </w:r>
            <w:r>
              <w:rPr>
                <w:rFonts w:asciiTheme="minorHAnsi" w:eastAsiaTheme="minorEastAsia" w:hAnsiTheme="minorHAnsi" w:cstheme="minorBidi"/>
                <w:noProof/>
                <w:sz w:val="22"/>
                <w:szCs w:val="22"/>
                <w:lang w:val="en-US"/>
              </w:rPr>
              <w:tab/>
            </w:r>
            <w:r>
              <w:rPr>
                <w:rStyle w:val="Hyperlink"/>
                <w:noProof/>
              </w:rPr>
              <w:t>Contrôles</w:t>
            </w:r>
            <w:r>
              <w:rPr>
                <w:noProof/>
                <w:webHidden/>
              </w:rPr>
              <w:tab/>
            </w:r>
            <w:r>
              <w:rPr>
                <w:noProof/>
                <w:webHidden/>
              </w:rPr>
              <w:fldChar w:fldCharType="begin"/>
            </w:r>
            <w:r>
              <w:rPr>
                <w:noProof/>
                <w:webHidden/>
              </w:rPr>
              <w:instrText xml:space="preserve"> PAGEREF _Toc33174493 \h </w:instrText>
            </w:r>
            <w:r>
              <w:rPr>
                <w:noProof/>
                <w:webHidden/>
              </w:rPr>
            </w:r>
            <w:r>
              <w:rPr>
                <w:noProof/>
                <w:webHidden/>
              </w:rPr>
              <w:fldChar w:fldCharType="separate"/>
            </w:r>
            <w:r>
              <w:rPr>
                <w:noProof/>
                <w:webHidden/>
              </w:rPr>
              <w:t>16</w:t>
            </w:r>
            <w:r>
              <w:rPr>
                <w:noProof/>
                <w:webHidden/>
              </w:rPr>
              <w:fldChar w:fldCharType="end"/>
            </w:r>
          </w:hyperlink>
        </w:p>
        <w:p>
          <w:pPr>
            <w:pStyle w:val="TOC2"/>
            <w:rPr>
              <w:rFonts w:asciiTheme="minorHAnsi" w:eastAsiaTheme="minorEastAsia" w:hAnsiTheme="minorHAnsi" w:cstheme="minorBidi"/>
              <w:noProof/>
              <w:sz w:val="22"/>
              <w:szCs w:val="22"/>
              <w:lang w:val="en-US"/>
            </w:rPr>
          </w:pPr>
          <w:hyperlink w:anchor="_Toc33174494" w:history="1">
            <w:r>
              <w:rPr>
                <w:rStyle w:val="Hyperlink"/>
                <w:noProof/>
              </w:rPr>
              <w:t>7.2.</w:t>
            </w:r>
            <w:r>
              <w:rPr>
                <w:rFonts w:asciiTheme="minorHAnsi" w:eastAsiaTheme="minorEastAsia" w:hAnsiTheme="minorHAnsi" w:cstheme="minorBidi"/>
                <w:noProof/>
                <w:sz w:val="22"/>
                <w:szCs w:val="22"/>
                <w:lang w:val="en-US"/>
              </w:rPr>
              <w:tab/>
            </w:r>
            <w:r>
              <w:rPr>
                <w:rStyle w:val="Hyperlink"/>
                <w:noProof/>
              </w:rPr>
              <w:t>Suspensions</w:t>
            </w:r>
            <w:r>
              <w:rPr>
                <w:noProof/>
                <w:webHidden/>
              </w:rPr>
              <w:tab/>
            </w:r>
            <w:r>
              <w:rPr>
                <w:noProof/>
                <w:webHidden/>
              </w:rPr>
              <w:fldChar w:fldCharType="begin"/>
            </w:r>
            <w:r>
              <w:rPr>
                <w:noProof/>
                <w:webHidden/>
              </w:rPr>
              <w:instrText xml:space="preserve"> PAGEREF _Toc33174494 \h </w:instrText>
            </w:r>
            <w:r>
              <w:rPr>
                <w:noProof/>
                <w:webHidden/>
              </w:rPr>
            </w:r>
            <w:r>
              <w:rPr>
                <w:noProof/>
                <w:webHidden/>
              </w:rPr>
              <w:fldChar w:fldCharType="separate"/>
            </w:r>
            <w:r>
              <w:rPr>
                <w:noProof/>
                <w:webHidden/>
              </w:rPr>
              <w:t>16</w:t>
            </w:r>
            <w:r>
              <w:rPr>
                <w:noProof/>
                <w:webHidden/>
              </w:rPr>
              <w:fldChar w:fldCharType="end"/>
            </w:r>
          </w:hyperlink>
        </w:p>
        <w:p>
          <w:pPr>
            <w:pStyle w:val="TOC2"/>
            <w:rPr>
              <w:rFonts w:asciiTheme="minorHAnsi" w:eastAsiaTheme="minorEastAsia" w:hAnsiTheme="minorHAnsi" w:cstheme="minorBidi"/>
              <w:noProof/>
              <w:sz w:val="22"/>
              <w:szCs w:val="22"/>
              <w:lang w:val="en-US"/>
            </w:rPr>
          </w:pPr>
          <w:hyperlink w:anchor="_Toc33174495" w:history="1">
            <w:r>
              <w:rPr>
                <w:rStyle w:val="Hyperlink"/>
                <w:noProof/>
              </w:rPr>
              <w:t>7.3.</w:t>
            </w:r>
            <w:r>
              <w:rPr>
                <w:rFonts w:asciiTheme="minorHAnsi" w:eastAsiaTheme="minorEastAsia" w:hAnsiTheme="minorHAnsi" w:cstheme="minorBidi"/>
                <w:noProof/>
                <w:sz w:val="22"/>
                <w:szCs w:val="22"/>
                <w:lang w:val="en-US"/>
              </w:rPr>
              <w:tab/>
            </w:r>
            <w:r>
              <w:rPr>
                <w:rStyle w:val="Hyperlink"/>
                <w:noProof/>
              </w:rPr>
              <w:t>Défauts</w:t>
            </w:r>
            <w:r>
              <w:rPr>
                <w:noProof/>
                <w:webHidden/>
              </w:rPr>
              <w:tab/>
            </w:r>
            <w:r>
              <w:rPr>
                <w:noProof/>
                <w:webHidden/>
              </w:rPr>
              <w:fldChar w:fldCharType="begin"/>
            </w:r>
            <w:r>
              <w:rPr>
                <w:noProof/>
                <w:webHidden/>
              </w:rPr>
              <w:instrText xml:space="preserve"> PAGEREF _Toc33174495 \h </w:instrText>
            </w:r>
            <w:r>
              <w:rPr>
                <w:noProof/>
                <w:webHidden/>
              </w:rPr>
            </w:r>
            <w:r>
              <w:rPr>
                <w:noProof/>
                <w:webHidden/>
              </w:rPr>
              <w:fldChar w:fldCharType="separate"/>
            </w:r>
            <w:r>
              <w:rPr>
                <w:noProof/>
                <w:webHidden/>
              </w:rPr>
              <w:t>17</w:t>
            </w:r>
            <w:r>
              <w:rPr>
                <w:noProof/>
                <w:webHidden/>
              </w:rPr>
              <w:fldChar w:fldCharType="end"/>
            </w:r>
          </w:hyperlink>
        </w:p>
        <w:p>
          <w:pPr>
            <w:rPr>
              <w:noProof/>
            </w:rPr>
          </w:pPr>
          <w:r>
            <w:rPr>
              <w:b/>
              <w:bCs/>
              <w:noProof/>
            </w:rPr>
            <w:fldChar w:fldCharType="end"/>
          </w:r>
        </w:p>
      </w:sdtContent>
    </w:sdt>
    <w:p>
      <w:pPr>
        <w:rPr>
          <w:rFonts w:ascii="Times New Roman" w:eastAsia="Times New Roman" w:hAnsi="Times New Roman"/>
          <w:b/>
          <w:noProof/>
          <w:sz w:val="28"/>
          <w:szCs w:val="24"/>
        </w:rPr>
      </w:pPr>
    </w:p>
    <w:p>
      <w:pPr>
        <w:spacing w:before="120" w:after="120" w:line="240" w:lineRule="auto"/>
        <w:jc w:val="both"/>
        <w:rPr>
          <w:rFonts w:ascii="Times New Roman" w:eastAsia="Times New Roman" w:hAnsi="Times New Roman"/>
          <w:noProof/>
          <w:sz w:val="24"/>
          <w:szCs w:val="24"/>
        </w:rPr>
        <w:sectPr>
          <w:headerReference w:type="even" r:id="rId16"/>
          <w:headerReference w:type="default" r:id="rId17"/>
          <w:footerReference w:type="even" r:id="rId18"/>
          <w:footerReference w:type="default" r:id="rId19"/>
          <w:headerReference w:type="first" r:id="rId20"/>
          <w:footerReference w:type="first" r:id="rId21"/>
          <w:pgSz w:w="11906" w:h="16838"/>
          <w:pgMar w:top="1020" w:right="1701" w:bottom="1020" w:left="1587" w:header="601" w:footer="1077" w:gutter="0"/>
          <w:cols w:space="720"/>
          <w:docGrid w:linePitch="326"/>
        </w:sectPr>
      </w:pPr>
    </w:p>
    <w:p>
      <w:pPr>
        <w:pStyle w:val="Heading1"/>
        <w:rPr>
          <w:noProof/>
        </w:rPr>
      </w:pPr>
      <w:bookmarkStart w:id="2" w:name="_Toc33174480"/>
      <w:r>
        <w:rPr>
          <w:noProof/>
        </w:rPr>
        <w:t>1.</w:t>
      </w:r>
      <w:r>
        <w:rPr>
          <w:noProof/>
        </w:rPr>
        <w:tab/>
        <w:t>INTRODUCTION</w:t>
      </w:r>
      <w:bookmarkEnd w:id="2"/>
    </w:p>
    <w:p>
      <w:pPr>
        <w:spacing w:before="120" w:after="120" w:line="240" w:lineRule="auto"/>
        <w:jc w:val="both"/>
        <w:rPr>
          <w:rFonts w:ascii="Times New Roman" w:eastAsia="Times New Roman" w:hAnsi="Times New Roman"/>
          <w:noProof/>
          <w:sz w:val="24"/>
          <w:szCs w:val="24"/>
        </w:rPr>
      </w:pPr>
      <w:r>
        <w:rPr>
          <w:rFonts w:ascii="Times New Roman" w:hAnsi="Times New Roman"/>
          <w:noProof/>
        </w:rPr>
        <w:t>Dans l’intérêt de la sécurité routière, de la protection de l’environnement et d’une concurrence équitable, la législation européenne prévoit une série de mesures pour garantir que les véhicules utilitaires qui circulent sur les routes européennes sont dans un état technique approprié. Parmi ces mesures, citons:</w:t>
      </w:r>
    </w:p>
    <w:p>
      <w:pPr>
        <w:numPr>
          <w:ilvl w:val="0"/>
          <w:numId w:val="39"/>
        </w:numPr>
        <w:spacing w:after="240" w:line="240" w:lineRule="auto"/>
        <w:jc w:val="both"/>
        <w:rPr>
          <w:rFonts w:ascii="Times New Roman" w:eastAsia="Times New Roman" w:hAnsi="Times New Roman"/>
          <w:noProof/>
          <w:sz w:val="24"/>
          <w:szCs w:val="20"/>
        </w:rPr>
      </w:pPr>
      <w:r>
        <w:rPr>
          <w:rFonts w:ascii="Times New Roman" w:hAnsi="Times New Roman"/>
          <w:noProof/>
          <w:szCs w:val="20"/>
        </w:rPr>
        <w:t>les règles d’accès à la profession qui requièrent des transporteurs une capacité financière suffisante pour assurer l’entretien correct des véhicules [règlement (CE) nº 1072/2009</w:t>
      </w:r>
      <w:r>
        <w:rPr>
          <w:rStyle w:val="FootnoteReference"/>
          <w:noProof/>
        </w:rPr>
        <w:footnoteReference w:id="1"/>
      </w:r>
      <w:r>
        <w:rPr>
          <w:rFonts w:ascii="Times New Roman" w:hAnsi="Times New Roman"/>
          <w:noProof/>
          <w:szCs w:val="20"/>
        </w:rPr>
        <w:t>];</w:t>
      </w:r>
    </w:p>
    <w:p>
      <w:pPr>
        <w:numPr>
          <w:ilvl w:val="0"/>
          <w:numId w:val="39"/>
        </w:numPr>
        <w:spacing w:after="240" w:line="240" w:lineRule="auto"/>
        <w:jc w:val="both"/>
        <w:rPr>
          <w:rFonts w:ascii="Times New Roman" w:eastAsia="Times New Roman" w:hAnsi="Times New Roman"/>
          <w:noProof/>
          <w:sz w:val="24"/>
          <w:szCs w:val="20"/>
        </w:rPr>
      </w:pPr>
      <w:r>
        <w:rPr>
          <w:rFonts w:ascii="Times New Roman" w:hAnsi="Times New Roman"/>
          <w:noProof/>
          <w:szCs w:val="20"/>
        </w:rPr>
        <w:t>les contrôles techniques périodiques des véhicules qui doivent être effectués dans les États membres pour les véhicules immatriculés sur leur territoire, selon une fréquence minimale fixée au niveau européen (directive 2009/40/CE</w:t>
      </w:r>
      <w:r>
        <w:rPr>
          <w:rStyle w:val="FootnoteReference"/>
          <w:noProof/>
        </w:rPr>
        <w:footnoteReference w:id="2"/>
      </w:r>
      <w:r>
        <w:rPr>
          <w:rFonts w:ascii="Times New Roman" w:hAnsi="Times New Roman"/>
          <w:noProof/>
          <w:szCs w:val="20"/>
        </w:rPr>
        <w:t>);</w:t>
      </w:r>
    </w:p>
    <w:p>
      <w:pPr>
        <w:numPr>
          <w:ilvl w:val="0"/>
          <w:numId w:val="39"/>
        </w:numPr>
        <w:spacing w:after="240" w:line="240" w:lineRule="auto"/>
        <w:jc w:val="both"/>
        <w:rPr>
          <w:rFonts w:ascii="Times New Roman" w:eastAsia="Times New Roman" w:hAnsi="Times New Roman"/>
          <w:noProof/>
          <w:sz w:val="24"/>
          <w:szCs w:val="20"/>
        </w:rPr>
      </w:pPr>
      <w:r>
        <w:rPr>
          <w:rFonts w:ascii="Times New Roman" w:hAnsi="Times New Roman"/>
          <w:noProof/>
          <w:szCs w:val="20"/>
        </w:rPr>
        <w:t>les contrôles techniques routiers (sur lesquels porte le présent rapport) visant à garantir que les véhicules utilitaires ne sont utilisés que s’ils sont entretenus de manière à assurer un niveau élevé de conformité à la réglementation technique (directive 2000/30/CE</w:t>
      </w:r>
      <w:r>
        <w:rPr>
          <w:rStyle w:val="FootnoteReference"/>
          <w:noProof/>
        </w:rPr>
        <w:footnoteReference w:id="3"/>
      </w:r>
      <w:r>
        <w:rPr>
          <w:rFonts w:ascii="Times New Roman" w:hAnsi="Times New Roman"/>
          <w:noProof/>
          <w:szCs w:val="20"/>
        </w:rPr>
        <w:t>).</w:t>
      </w:r>
    </w:p>
    <w:p>
      <w:pPr>
        <w:spacing w:before="120" w:after="120" w:line="240" w:lineRule="auto"/>
        <w:jc w:val="both"/>
        <w:rPr>
          <w:rFonts w:ascii="Times New Roman" w:eastAsia="Times New Roman" w:hAnsi="Times New Roman"/>
          <w:noProof/>
          <w:sz w:val="24"/>
          <w:szCs w:val="24"/>
        </w:rPr>
      </w:pPr>
      <w:r>
        <w:rPr>
          <w:rFonts w:ascii="Times New Roman" w:hAnsi="Times New Roman"/>
          <w:noProof/>
        </w:rPr>
        <w:t xml:space="preserve">En vertu des dispositions de la directive 2000/30/CE, les véhicules utilitaires circulant dans les États membres, y compris les véhicules à moteur et leurs remorques et semi-remorques, sont soumis à des contrôles techniques routiers visant à améliorer la sécurité routière et la protection de l’environnement. </w:t>
      </w:r>
    </w:p>
    <w:p>
      <w:pPr>
        <w:spacing w:before="120" w:after="120" w:line="240" w:lineRule="auto"/>
        <w:jc w:val="both"/>
        <w:rPr>
          <w:rFonts w:ascii="Times New Roman" w:eastAsia="Times New Roman" w:hAnsi="Times New Roman"/>
          <w:noProof/>
          <w:sz w:val="24"/>
          <w:szCs w:val="24"/>
        </w:rPr>
      </w:pPr>
      <w:r>
        <w:rPr>
          <w:rFonts w:ascii="Times New Roman" w:hAnsi="Times New Roman"/>
          <w:noProof/>
        </w:rPr>
        <w:t>L’article 6 prévoit que, tous les deux ans, les États membres fournissent à la Commission des données recueillies au cours des deux années précédentes concernant:</w:t>
      </w:r>
    </w:p>
    <w:p>
      <w:pPr>
        <w:numPr>
          <w:ilvl w:val="0"/>
          <w:numId w:val="40"/>
        </w:numPr>
        <w:spacing w:before="120" w:after="120" w:line="240" w:lineRule="auto"/>
        <w:jc w:val="both"/>
        <w:rPr>
          <w:rFonts w:ascii="Times New Roman" w:eastAsia="Times New Roman" w:hAnsi="Times New Roman"/>
          <w:noProof/>
          <w:sz w:val="24"/>
          <w:szCs w:val="24"/>
        </w:rPr>
      </w:pPr>
      <w:r>
        <w:rPr>
          <w:rFonts w:ascii="Times New Roman" w:hAnsi="Times New Roman"/>
          <w:noProof/>
        </w:rPr>
        <w:t xml:space="preserve">le nombre de véhicules utilitaires contrôlés, classés en sept catégories de véhicules et regroupés par pays d’immatriculation; </w:t>
      </w:r>
    </w:p>
    <w:p>
      <w:pPr>
        <w:numPr>
          <w:ilvl w:val="0"/>
          <w:numId w:val="40"/>
        </w:numPr>
        <w:spacing w:before="120" w:after="120" w:line="240" w:lineRule="auto"/>
        <w:jc w:val="both"/>
        <w:rPr>
          <w:rFonts w:ascii="Times New Roman" w:eastAsia="Times New Roman" w:hAnsi="Times New Roman"/>
          <w:noProof/>
          <w:sz w:val="24"/>
          <w:szCs w:val="24"/>
        </w:rPr>
      </w:pPr>
      <w:r>
        <w:rPr>
          <w:rFonts w:ascii="Times New Roman" w:hAnsi="Times New Roman"/>
          <w:noProof/>
        </w:rPr>
        <w:t>les points contrôlés conformément à la directive; et</w:t>
      </w:r>
    </w:p>
    <w:p>
      <w:pPr>
        <w:numPr>
          <w:ilvl w:val="0"/>
          <w:numId w:val="40"/>
        </w:numPr>
        <w:spacing w:before="120" w:after="120" w:line="240" w:lineRule="auto"/>
        <w:jc w:val="both"/>
        <w:rPr>
          <w:rFonts w:ascii="Times New Roman" w:eastAsia="Times New Roman" w:hAnsi="Times New Roman"/>
          <w:noProof/>
          <w:sz w:val="24"/>
          <w:szCs w:val="24"/>
        </w:rPr>
      </w:pPr>
      <w:r>
        <w:rPr>
          <w:rFonts w:ascii="Times New Roman" w:hAnsi="Times New Roman"/>
          <w:noProof/>
        </w:rPr>
        <w:t>les défauts constatés.</w:t>
      </w:r>
    </w:p>
    <w:p>
      <w:pPr>
        <w:spacing w:before="120" w:after="120" w:line="240" w:lineRule="auto"/>
        <w:jc w:val="both"/>
        <w:rPr>
          <w:rFonts w:ascii="Times New Roman" w:eastAsia="Times New Roman" w:hAnsi="Times New Roman"/>
          <w:noProof/>
          <w:sz w:val="24"/>
          <w:szCs w:val="24"/>
        </w:rPr>
      </w:pPr>
      <w:r>
        <w:rPr>
          <w:rFonts w:ascii="Times New Roman" w:hAnsi="Times New Roman"/>
          <w:noProof/>
        </w:rPr>
        <w:t>La directive 2000/30/CE exige également qu’une fois ces données recueillies, la Commission présente au Conseil un rapport sur l’application de ladite directive, basé sur les données transmises par les États membres et accompagné d’un résumé des résultats obtenus. C’est l’objet du présent rapport. L’article 6 de la directive exige en outre que la Commission communique au Parlement européen les informations communiquées par les États membres.</w:t>
      </w:r>
    </w:p>
    <w:p>
      <w:pPr>
        <w:spacing w:before="120" w:after="120" w:line="240" w:lineRule="auto"/>
        <w:jc w:val="both"/>
        <w:rPr>
          <w:rFonts w:ascii="Times New Roman" w:eastAsia="Times New Roman" w:hAnsi="Times New Roman"/>
          <w:noProof/>
          <w:sz w:val="24"/>
          <w:szCs w:val="24"/>
        </w:rPr>
      </w:pPr>
      <w:r>
        <w:rPr>
          <w:rFonts w:ascii="Times New Roman" w:hAnsi="Times New Roman"/>
          <w:noProof/>
        </w:rPr>
        <w:t xml:space="preserve">La directive 2000/30/CE définit neuf éléments (voir le point 4 du présent rapport) sur lesquels doivent porter les contrôles techniques routiers. Lors d’un contrôle, s’il devient évident que le véhicule utilitaire représente un risque important pour ses occupants ou pour les autres usagers du réseau routier, l’utilisation de ce véhicule peut être suspendue jusqu’à la réparation des défauts dangereux décelés. Au terme du contrôle, les défauts constatés sur le véhicule doivent être consignés dans un rapport de contrôle routier remis au conducteur. </w:t>
      </w:r>
    </w:p>
    <w:p>
      <w:pPr>
        <w:spacing w:before="120" w:after="120" w:line="240" w:lineRule="auto"/>
        <w:jc w:val="both"/>
        <w:rPr>
          <w:rFonts w:ascii="Times New Roman" w:eastAsia="Times New Roman" w:hAnsi="Times New Roman"/>
          <w:noProof/>
          <w:sz w:val="24"/>
          <w:szCs w:val="24"/>
        </w:rPr>
      </w:pPr>
      <w:r>
        <w:rPr>
          <w:rFonts w:ascii="Times New Roman" w:hAnsi="Times New Roman"/>
          <w:noProof/>
        </w:rPr>
        <w:t>En 2014, dans le cadre du paquet «contrôle technique», le Parlement européen et le Conseil ont révisé les règles et procédures applicables au contrôle technique routier des véhicules utilitaires. Le 3 avril 2014 a été adoptée la directive 2014/47/UE</w:t>
      </w:r>
      <w:r>
        <w:rPr>
          <w:rStyle w:val="FootnoteReference"/>
          <w:noProof/>
        </w:rPr>
        <w:footnoteReference w:id="4"/>
      </w:r>
      <w:r>
        <w:rPr>
          <w:rFonts w:ascii="Times New Roman" w:hAnsi="Times New Roman"/>
          <w:noProof/>
        </w:rPr>
        <w:t>, qui est applicable depuis le 20 mai 2018. Cette directive a notamment introduit deux types de contrôles: les contrôles initiaux et les contrôles approfondis</w:t>
      </w:r>
      <w:r>
        <w:rPr>
          <w:rStyle w:val="FootnoteReference"/>
          <w:rFonts w:ascii="Times New Roman" w:eastAsia="Times New Roman" w:hAnsi="Times New Roman"/>
          <w:noProof/>
        </w:rPr>
        <w:footnoteReference w:id="5"/>
      </w:r>
      <w:r>
        <w:rPr>
          <w:rFonts w:ascii="Times New Roman" w:hAnsi="Times New Roman"/>
          <w:noProof/>
        </w:rPr>
        <w:t>. Elle prévoit également que le nombre total de contrôles techniques routiers initiaux à mener dans l’Union chaque année civile doit correspondre à au moins 5 % du nombre total des véhicules concernés immatriculés dans les États membres. Pour atteindre cet objectif, chaque État membre doit s’efforcer de réaliser un nombre approprié de contrôles techniques routiers initiaux, en proportion du nombre total des véhicules concernés immatriculés sur son territoire. Le premier rapport postérieur à l’obligation de respecter cet objectif devra être remis le 31 mars 2021 au plus tard et portera sur la période 2019-2020.</w:t>
      </w:r>
      <w:r>
        <w:rPr>
          <w:rFonts w:ascii="Times New Roman" w:hAnsi="Times New Roman"/>
          <w:noProof/>
          <w:color w:val="FF0000"/>
        </w:rPr>
        <w:t xml:space="preserve">  </w:t>
      </w:r>
    </w:p>
    <w:p>
      <w:pPr>
        <w:pStyle w:val="Heading1"/>
        <w:rPr>
          <w:noProof/>
        </w:rPr>
      </w:pPr>
      <w:bookmarkStart w:id="3" w:name="_Toc33174481"/>
      <w:r>
        <w:rPr>
          <w:noProof/>
        </w:rPr>
        <w:t>2.</w:t>
      </w:r>
      <w:r>
        <w:rPr>
          <w:noProof/>
        </w:rPr>
        <w:tab/>
        <w:t>DIRECTIVE 2000/30/CE</w:t>
      </w:r>
      <w:bookmarkEnd w:id="3"/>
    </w:p>
    <w:p>
      <w:pPr>
        <w:spacing w:before="120" w:after="120" w:line="240" w:lineRule="auto"/>
        <w:jc w:val="both"/>
        <w:rPr>
          <w:rFonts w:ascii="Times New Roman" w:eastAsia="Times New Roman" w:hAnsi="Times New Roman"/>
          <w:noProof/>
          <w:sz w:val="24"/>
          <w:szCs w:val="24"/>
          <w:highlight w:val="yellow"/>
        </w:rPr>
      </w:pPr>
      <w:r>
        <w:rPr>
          <w:rFonts w:ascii="Times New Roman" w:hAnsi="Times New Roman"/>
          <w:noProof/>
        </w:rPr>
        <w:t xml:space="preserve">Conformément à la directive 2009/40/CE relative au contrôle technique des véhicules à moteur et de leurs remorques, les véhicules utilisés à des fins commerciales doivent être contrôlés annuellement. Un contrôle annuel étant toutefois jugé insuffisant pour garantir que ces véhicules demeurent aptes à circuler entre les contrôles techniques successifs, il est nécessaire de pratiquer également des contrôles techniques routiers à titre de mesure d’exécution afin de renforcer la sécurité routière. </w:t>
      </w:r>
    </w:p>
    <w:p>
      <w:pPr>
        <w:spacing w:before="120" w:after="120" w:line="240" w:lineRule="auto"/>
        <w:jc w:val="both"/>
        <w:rPr>
          <w:rFonts w:ascii="Times New Roman" w:eastAsia="Times New Roman" w:hAnsi="Times New Roman"/>
          <w:noProof/>
          <w:sz w:val="24"/>
          <w:szCs w:val="24"/>
        </w:rPr>
      </w:pPr>
      <w:r>
        <w:rPr>
          <w:rFonts w:ascii="Times New Roman" w:hAnsi="Times New Roman"/>
          <w:noProof/>
        </w:rPr>
        <w:t>Un contrôle technique routier consiste en un examen non annoncé d’un véhicule utilitaire en circulation sur le territoire d’un État membre. Le contrôle est effectué principalement sur la voie publique soit par les autorités, soit par un autre organisme agissant sous leur surveillance.</w:t>
      </w:r>
    </w:p>
    <w:p>
      <w:pPr>
        <w:spacing w:before="120" w:after="120" w:line="240" w:lineRule="auto"/>
        <w:jc w:val="both"/>
        <w:rPr>
          <w:rFonts w:ascii="Times New Roman" w:eastAsia="Times New Roman" w:hAnsi="Times New Roman"/>
          <w:noProof/>
          <w:sz w:val="24"/>
          <w:szCs w:val="24"/>
        </w:rPr>
      </w:pPr>
      <w:r>
        <w:rPr>
          <w:rFonts w:ascii="Times New Roman" w:hAnsi="Times New Roman"/>
          <w:noProof/>
        </w:rPr>
        <w:t>Les contrôles techniques routiers doivent être réalisés sans discrimination fondée sur la nationalité du conducteur ou sur le pays dans lequel le véhicule utilitaire est immatriculé ou a été mis en service. Ils doivent également être effectués de manière à réduire autant que possible les coûts et les retards pour les conducteurs et les transporteurs.</w:t>
      </w:r>
    </w:p>
    <w:p>
      <w:pPr>
        <w:spacing w:before="120" w:after="120" w:line="240" w:lineRule="auto"/>
        <w:jc w:val="both"/>
        <w:rPr>
          <w:rFonts w:ascii="Times New Roman" w:eastAsia="Times New Roman" w:hAnsi="Times New Roman"/>
          <w:noProof/>
          <w:sz w:val="24"/>
          <w:szCs w:val="24"/>
        </w:rPr>
      </w:pPr>
      <w:r>
        <w:rPr>
          <w:rFonts w:ascii="Times New Roman" w:hAnsi="Times New Roman"/>
          <w:noProof/>
        </w:rPr>
        <w:t>Il convient d’adopter une approche ciblée pour sélectionner les véhicules utilitaires devant être soumis aux contrôles techniques routiers, en accordant une importance particulière à la reconnaissance des véhicules qui semblent les plus susceptibles d’être mal entretenus</w:t>
      </w:r>
      <w:r>
        <w:rPr>
          <w:rStyle w:val="FootnoteReference"/>
          <w:rFonts w:ascii="Times New Roman" w:eastAsia="Times New Roman" w:hAnsi="Times New Roman"/>
          <w:noProof/>
        </w:rPr>
        <w:footnoteReference w:id="6"/>
      </w:r>
      <w:r>
        <w:rPr>
          <w:rFonts w:ascii="Times New Roman" w:hAnsi="Times New Roman"/>
          <w:noProof/>
        </w:rPr>
        <w:t>.</w:t>
      </w:r>
    </w:p>
    <w:p>
      <w:pPr>
        <w:spacing w:before="120" w:after="120" w:line="240" w:lineRule="auto"/>
        <w:jc w:val="both"/>
        <w:rPr>
          <w:rFonts w:ascii="Times New Roman" w:eastAsia="Times New Roman" w:hAnsi="Times New Roman"/>
          <w:noProof/>
          <w:sz w:val="24"/>
          <w:szCs w:val="24"/>
        </w:rPr>
      </w:pPr>
      <w:r>
        <w:rPr>
          <w:rFonts w:ascii="Times New Roman" w:hAnsi="Times New Roman"/>
          <w:noProof/>
        </w:rPr>
        <w:t>Les contrôles routiers sont généralement effectués selon une procédure par étapes. En premier lieu, l’état d’entretien du véhicule est examiné de manière visuelle lorsque ce dernier est à l’arrêt, et les documents relatifs aux derniers contrôle routier (le cas échéant) et contrôle technique du véhicule sont vérifiés. Un contrôle approfondi peut également être effectué, sur place ou dans un centre de contrôle situé à proximité, afin de déceler d'éventuelles irrégularités sur la base de la liste de points figurant dans la directive 2000/30/CE. Dans le cas d’un contrôle approfondi, les résultats doivent être présentés dans un rapport de contrôle technique routier établi selon le modèle défini dans la directive. Les données que les États membres sont tenus de communiquer à la Commission sont basées sur le contenu de ces rapports.</w:t>
      </w:r>
    </w:p>
    <w:p>
      <w:pPr>
        <w:spacing w:before="120" w:after="120" w:line="240" w:lineRule="auto"/>
        <w:jc w:val="both"/>
        <w:rPr>
          <w:rFonts w:ascii="Times New Roman" w:eastAsia="Times New Roman" w:hAnsi="Times New Roman"/>
          <w:noProof/>
          <w:sz w:val="24"/>
          <w:szCs w:val="24"/>
        </w:rPr>
      </w:pPr>
      <w:r>
        <w:rPr>
          <w:rFonts w:ascii="Times New Roman" w:hAnsi="Times New Roman"/>
          <w:noProof/>
        </w:rPr>
        <w:t>L’utilisation d’un véhicule utilitaire peut être suspendue jusqu’à la réparation des défauts dangereux décelés si le véhicule représente un risque important pour la sécurité routière. En outre, les véhicules étrangers présentant des défauts graves doivent être signalés à l’État membre d’immatriculation pour permettre un suivi adéquat.</w:t>
      </w:r>
    </w:p>
    <w:p>
      <w:pPr>
        <w:spacing w:before="120" w:after="120" w:line="240" w:lineRule="auto"/>
        <w:jc w:val="both"/>
        <w:rPr>
          <w:rFonts w:ascii="Times New Roman" w:eastAsia="Times New Roman" w:hAnsi="Times New Roman"/>
          <w:noProof/>
          <w:sz w:val="24"/>
          <w:szCs w:val="24"/>
        </w:rPr>
      </w:pPr>
      <w:r>
        <w:rPr>
          <w:rFonts w:ascii="Times New Roman" w:hAnsi="Times New Roman"/>
          <w:noProof/>
        </w:rPr>
        <w:t>La directive 2000/30/CE telle que modifiée</w:t>
      </w:r>
      <w:r>
        <w:rPr>
          <w:rStyle w:val="FootnoteReference"/>
          <w:noProof/>
        </w:rPr>
        <w:footnoteReference w:id="7"/>
      </w:r>
      <w:r>
        <w:rPr>
          <w:rFonts w:ascii="Times New Roman" w:hAnsi="Times New Roman"/>
          <w:noProof/>
        </w:rPr>
        <w:t>, qui s’appliquait jusqu’au 19 mai 2018, établissait un certain nombre de conditions pour les contrôles techniques routiers des véhicules utilitaires circulant dans l’UE. La directive 2010/47/UE a modifié les catégories de véhicules et des points de la liste de contrôle figurant à l’annexe I à partir du 1</w:t>
      </w:r>
      <w:r>
        <w:rPr>
          <w:rFonts w:ascii="Times New Roman" w:hAnsi="Times New Roman"/>
          <w:noProof/>
          <w:vertAlign w:val="superscript"/>
        </w:rPr>
        <w:t>er</w:t>
      </w:r>
      <w:r>
        <w:rPr>
          <w:rFonts w:ascii="Times New Roman" w:hAnsi="Times New Roman"/>
          <w:noProof/>
        </w:rPr>
        <w:t xml:space="preserve"> janvier 2012. </w:t>
      </w:r>
    </w:p>
    <w:p>
      <w:pPr>
        <w:spacing w:before="120" w:after="120" w:line="240" w:lineRule="auto"/>
        <w:jc w:val="both"/>
        <w:rPr>
          <w:rFonts w:ascii="Times New Roman" w:eastAsia="Times New Roman" w:hAnsi="Times New Roman"/>
          <w:noProof/>
          <w:sz w:val="24"/>
          <w:szCs w:val="24"/>
        </w:rPr>
      </w:pPr>
      <w:r>
        <w:rPr>
          <w:rFonts w:ascii="Times New Roman" w:hAnsi="Times New Roman"/>
          <w:noProof/>
        </w:rPr>
        <w:t xml:space="preserve">Avant cette modification, les véhicules visés dans le rapport de contrôle routier (annexe I) étaient définis par classe, la classe «train routier» désignant par exemple tout véhicule à moteur affecté au transport de marchandises dont la masse maximale autorisée dépasse 3,5 tonnes (catégories N2 et N3), attelé à une remorque (catégories O3 et O4). Parallèlement, les véhicules de la catégorie N2 devaient figurer sous la rubrique «véhicule utilitaire léger» et les véhicules de la catégorie N3 devaient être inscrits sous la rubrique «camion», tandis que les véhicules des catégories O3 et O4 devaient figurer sous les rubriques «remorque» et «semi-remorque». </w:t>
      </w:r>
    </w:p>
    <w:p>
      <w:pPr>
        <w:spacing w:before="120" w:after="120" w:line="240" w:lineRule="auto"/>
        <w:jc w:val="both"/>
        <w:rPr>
          <w:rFonts w:ascii="Times New Roman" w:eastAsia="Times New Roman" w:hAnsi="Times New Roman"/>
          <w:noProof/>
          <w:sz w:val="24"/>
          <w:szCs w:val="24"/>
          <w:highlight w:val="cyan"/>
        </w:rPr>
      </w:pPr>
      <w:r>
        <w:rPr>
          <w:rFonts w:ascii="Times New Roman" w:hAnsi="Times New Roman"/>
          <w:noProof/>
        </w:rPr>
        <w:t>La directive 2010/47/UE a toutefois introduit une nouvelle méthode pour classer les véhicules, basée sur la désignation de la catégorie conformément à la législation sur la réception par type. Par conséquent, un véhicule qui était susceptible de figurer dans différentes classes ne peut plus figurer que dans une seule catégorie de véhicules. En outre, le véhicule tracteur et la remorque doivent être indiqués séparément. Compte tenu du fait que le véhicule tracteur et la remorque peuvent être immatriculés dans des États membres différents, ce nouveau système de classification permet de disposer d’informations plus précises, et il est également plus facile pour les États membres de s’acquitter de leur obligation de signaler à un autre État membre les défauts graves décelés sur un véhicule immatriculé dans ce dernier.</w:t>
      </w:r>
    </w:p>
    <w:p>
      <w:pPr>
        <w:pStyle w:val="Heading1"/>
        <w:rPr>
          <w:noProof/>
        </w:rPr>
      </w:pPr>
      <w:bookmarkStart w:id="4" w:name="_Toc33174482"/>
      <w:r>
        <w:rPr>
          <w:noProof/>
        </w:rPr>
        <w:t>3.</w:t>
      </w:r>
      <w:r>
        <w:rPr>
          <w:noProof/>
        </w:rPr>
        <w:tab/>
        <w:t>DONNÉES COMMUNIQUÉES PAR LES ÉTATS MEMBRES</w:t>
      </w:r>
      <w:bookmarkEnd w:id="4"/>
    </w:p>
    <w:p>
      <w:pPr>
        <w:autoSpaceDE w:val="0"/>
        <w:autoSpaceDN w:val="0"/>
        <w:adjustRightInd w:val="0"/>
        <w:spacing w:before="120" w:after="120" w:line="240" w:lineRule="auto"/>
        <w:jc w:val="both"/>
        <w:rPr>
          <w:rFonts w:ascii="Times New Roman" w:eastAsia="Times New Roman" w:hAnsi="Times New Roman"/>
          <w:noProof/>
          <w:sz w:val="24"/>
          <w:szCs w:val="24"/>
        </w:rPr>
      </w:pPr>
      <w:r>
        <w:rPr>
          <w:rFonts w:ascii="Times New Roman" w:hAnsi="Times New Roman"/>
          <w:noProof/>
        </w:rPr>
        <w:t xml:space="preserve">Le présent rapport est le sixième portant sur la manière dont la directive 2000/30/CE est appliquée dans les États membres; il couvre les années civiles 2015-2016. Les États membres étaient tenus de transmettre à la Commission leurs données relatives à cette période de référence le 31 mars 2017 au plus tard. </w:t>
      </w:r>
    </w:p>
    <w:p>
      <w:pPr>
        <w:spacing w:before="120" w:after="120" w:line="240" w:lineRule="auto"/>
        <w:jc w:val="both"/>
        <w:rPr>
          <w:rFonts w:ascii="Times New Roman" w:eastAsia="Times New Roman" w:hAnsi="Times New Roman"/>
          <w:noProof/>
          <w:sz w:val="24"/>
          <w:szCs w:val="24"/>
        </w:rPr>
      </w:pPr>
      <w:r>
        <w:rPr>
          <w:rFonts w:ascii="Times New Roman" w:hAnsi="Times New Roman"/>
          <w:noProof/>
        </w:rPr>
        <w:t xml:space="preserve">Afin d'aider les États membres à respecter leur obligation relative à la communication des données, et conformément à la pratique antérieure, la Commission leur a envoyé une lettre d’information au début du mois de janvier 2017. Celle-ci était accompagnée d’un modèle (élaboré conjointement par la Commission et des experts des États membres) que les États membres étaient encouragés à utiliser pour la présentation de leur rapport. </w:t>
      </w:r>
    </w:p>
    <w:p>
      <w:pPr>
        <w:spacing w:before="120" w:after="120" w:line="240" w:lineRule="auto"/>
        <w:jc w:val="both"/>
        <w:rPr>
          <w:rFonts w:ascii="Times New Roman" w:eastAsia="Times New Roman" w:hAnsi="Times New Roman"/>
          <w:noProof/>
          <w:sz w:val="24"/>
          <w:szCs w:val="24"/>
        </w:rPr>
      </w:pPr>
      <w:r>
        <w:rPr>
          <w:rFonts w:ascii="Times New Roman" w:hAnsi="Times New Roman"/>
          <w:noProof/>
        </w:rPr>
        <w:t xml:space="preserve">Une communication rappelant l’imminence de la date limite de dépôt des rapports a ensuite été transmise au début du mois de mars 2017. Tous les États membres ont utilisé le modèle fourni pour transmettre leurs données par voie électronique. La Commission salue cette initiative, qui a permis de simplifier la compilation des données. </w:t>
      </w:r>
    </w:p>
    <w:p>
      <w:pPr>
        <w:spacing w:before="120" w:after="120" w:line="240" w:lineRule="auto"/>
        <w:jc w:val="both"/>
        <w:rPr>
          <w:rFonts w:ascii="Times New Roman" w:eastAsia="Times New Roman" w:hAnsi="Times New Roman"/>
          <w:noProof/>
          <w:sz w:val="24"/>
          <w:szCs w:val="24"/>
        </w:rPr>
      </w:pPr>
      <w:r>
        <w:rPr>
          <w:rFonts w:ascii="Times New Roman" w:hAnsi="Times New Roman"/>
          <w:noProof/>
        </w:rPr>
        <w:t xml:space="preserve">Toutefois, les États membres n’ont pas tous respecté le délai fixé pour la communication de leurs données. Certains (la Belgique, la Finlande, la France et la Tchéquie) ont accusé un retard minime, tandis que d’autres (Malte, les Pays-Bas) n’ont transmis leurs données qu’en janvier et en mars 2018, respectivement. </w:t>
      </w:r>
    </w:p>
    <w:p>
      <w:pPr>
        <w:spacing w:before="120" w:after="120" w:line="240" w:lineRule="auto"/>
        <w:jc w:val="both"/>
        <w:rPr>
          <w:rFonts w:ascii="Times New Roman" w:eastAsia="Times New Roman" w:hAnsi="Times New Roman"/>
          <w:noProof/>
          <w:sz w:val="24"/>
          <w:szCs w:val="24"/>
        </w:rPr>
      </w:pPr>
      <w:r>
        <w:rPr>
          <w:rFonts w:ascii="Times New Roman" w:hAnsi="Times New Roman"/>
          <w:noProof/>
        </w:rPr>
        <w:t>Onze États membres, à savoir l’Allemagne, l’Autriche, la Bulgarie, la Croatie, le Danemark, l’Estonie, le Luxembourg, les Pays-Bas, la Pologne, la Roumanie et la Tchéquie, ont également transmis des données sur les véhicules immatriculés en dehors de l’Union, lesquels ont été classés en fonction du pays d’immatriculation; deux autres (la Belgique et l’Italie), ont en revanche fourni les chiffres correspondant à la totalité des véhicules contrôlés immatriculés en dehors de l’Union.</w:t>
      </w:r>
    </w:p>
    <w:p>
      <w:pPr>
        <w:spacing w:before="120" w:after="120" w:line="240" w:lineRule="auto"/>
        <w:jc w:val="both"/>
        <w:rPr>
          <w:rFonts w:ascii="Times New Roman" w:eastAsia="Times New Roman" w:hAnsi="Times New Roman"/>
          <w:noProof/>
          <w:sz w:val="24"/>
          <w:szCs w:val="24"/>
        </w:rPr>
      </w:pPr>
      <w:r>
        <w:rPr>
          <w:rFonts w:ascii="Times New Roman" w:hAnsi="Times New Roman"/>
          <w:noProof/>
        </w:rPr>
        <w:t>Les données présentées par Chypre concernaient uniquement les véhicules nationaux. L’Irlande, qui avait initialement procédé de la même manière, a par la suite transmis un ensemble de données révisées comprenant des informations détaillées sur les véhicules contrôlés immatriculés dans d’autres États membres.</w:t>
      </w:r>
    </w:p>
    <w:p>
      <w:pPr>
        <w:spacing w:before="120" w:after="120" w:line="240" w:lineRule="auto"/>
        <w:jc w:val="both"/>
        <w:rPr>
          <w:rFonts w:ascii="Times New Roman" w:eastAsia="Times New Roman" w:hAnsi="Times New Roman"/>
          <w:noProof/>
          <w:sz w:val="24"/>
          <w:szCs w:val="24"/>
        </w:rPr>
      </w:pPr>
      <w:r>
        <w:rPr>
          <w:rFonts w:ascii="Times New Roman" w:hAnsi="Times New Roman"/>
          <w:noProof/>
        </w:rPr>
        <w:t>Enfin, treize États membres (l’Autriche, la Bulgarie, le Danemark, la Grèce, la France, l’Irlande, Malte, les Pays-Bas, le Portugal, la Roumanie, le Royaume-Uni, la Slovaquie et la Tchéquie) ont également fourni des informations supplémentaires concernant les codes des défauts constatés pour chaque point inspecté [par exemple: 1) dispositif de freinage; 1.1.8. têtes d’accouplement pour freins de remorque]. Ces détails ont été introduits par la directive 2010/47/UE, dont les dispositions modifiant l’annexe I de la directive 2000/30/CE sont entrées en vigueur le 1</w:t>
      </w:r>
      <w:r>
        <w:rPr>
          <w:rFonts w:ascii="Times New Roman" w:hAnsi="Times New Roman"/>
          <w:noProof/>
          <w:vertAlign w:val="superscript"/>
        </w:rPr>
        <w:t>er</w:t>
      </w:r>
      <w:r>
        <w:rPr>
          <w:rFonts w:ascii="Times New Roman" w:hAnsi="Times New Roman"/>
          <w:noProof/>
        </w:rPr>
        <w:t xml:space="preserve"> janvier 2012. Il n’est toutefois pas obligatoire d’apporter ce degré supplémentaire de précision aux données transmises. </w:t>
      </w:r>
    </w:p>
    <w:p>
      <w:pPr>
        <w:spacing w:before="120" w:after="120" w:line="240" w:lineRule="auto"/>
        <w:jc w:val="both"/>
        <w:rPr>
          <w:rFonts w:ascii="Times New Roman" w:eastAsia="Times New Roman" w:hAnsi="Times New Roman"/>
          <w:noProof/>
          <w:sz w:val="24"/>
          <w:szCs w:val="24"/>
        </w:rPr>
      </w:pPr>
      <w:r>
        <w:rPr>
          <w:rFonts w:ascii="Times New Roman" w:hAnsi="Times New Roman"/>
          <w:noProof/>
        </w:rPr>
        <w:t xml:space="preserve">Après une première analyse des rapports nationaux, la Commission a contacté plusieurs États membres afin de déterminer les causes potentielles des résultats ou changements remarquables par rapport à la période précédente. D’après les explications fournies par les États membres, un certain nombre de facteurs ont eu une incidence négative sur la quantité et la qualité des contrôles techniques routiers, parmi lesquels la réorganisation ou la décentralisation des compétences ayant conduit à des périodes d’interruption des contrôles et les restrictions financières ayant entraîné des pénuries de personnel, une réduction du nombre de contrôles ainsi qu’un accès limité aux équipements. Les échanges avec les États membres ont également mis en lumière le fait qu’il existe des différences significatives en ce qui concerne l’interprétation et l’exécution des dispositions portant sur la collecte et la communication des données; cela pourrait aussi avoir joué un rôle dans les écarts observés. Il est possible que ces écarts s’atténuent à partir du 20 mai 2018, compte tenu du fait que la directive 2014/47/UE vise à harmoniser davantage les méthodes de contrôle et d’évaluation des défauts, l’utilisation du matériel de contrôle et les exigences en matière d’établissement des rapports. Le premier rapport fondé sur la directive 2014/47/UE portera sur la période 2019-2020; les États membres devront présenter leurs données nationales le 31 mars 2021 au plus tard.            </w:t>
      </w:r>
    </w:p>
    <w:p>
      <w:pPr>
        <w:pStyle w:val="Heading1"/>
        <w:rPr>
          <w:noProof/>
          <w:color w:val="FF0000"/>
        </w:rPr>
      </w:pPr>
      <w:bookmarkStart w:id="5" w:name="_Toc33174483"/>
      <w:r>
        <w:rPr>
          <w:noProof/>
        </w:rPr>
        <w:t>4.</w:t>
      </w:r>
      <w:r>
        <w:rPr>
          <w:noProof/>
        </w:rPr>
        <w:tab/>
        <w:t>CONTENU DU CONTRÔLE</w:t>
      </w:r>
      <w:bookmarkEnd w:id="5"/>
    </w:p>
    <w:p>
      <w:pPr>
        <w:spacing w:before="120" w:after="120" w:line="240" w:lineRule="auto"/>
        <w:jc w:val="both"/>
        <w:rPr>
          <w:rFonts w:ascii="Times New Roman" w:eastAsia="Times New Roman" w:hAnsi="Times New Roman"/>
          <w:noProof/>
          <w:sz w:val="24"/>
          <w:szCs w:val="24"/>
        </w:rPr>
      </w:pPr>
      <w:r>
        <w:rPr>
          <w:rFonts w:ascii="Times New Roman" w:hAnsi="Times New Roman"/>
          <w:noProof/>
        </w:rPr>
        <w:t>Les données qui doivent être transmises à la Commission concernent, au minimum, les aspects à contrôler visés au point 10 du modèle de rapport figurant à l’annexe I de la directive 2000/30/CE. Ces aspects sont les suivants:</w:t>
      </w:r>
    </w:p>
    <w:p>
      <w:pPr>
        <w:numPr>
          <w:ilvl w:val="0"/>
          <w:numId w:val="41"/>
        </w:numPr>
        <w:spacing w:after="120" w:line="240" w:lineRule="auto"/>
        <w:ind w:left="1196" w:hanging="357"/>
        <w:jc w:val="both"/>
        <w:rPr>
          <w:rFonts w:ascii="Times New Roman" w:eastAsia="Times New Roman" w:hAnsi="Times New Roman"/>
          <w:noProof/>
          <w:sz w:val="24"/>
          <w:szCs w:val="20"/>
        </w:rPr>
      </w:pPr>
      <w:r>
        <w:rPr>
          <w:rFonts w:ascii="Times New Roman" w:hAnsi="Times New Roman"/>
          <w:noProof/>
          <w:szCs w:val="20"/>
        </w:rPr>
        <w:t>identification;</w:t>
      </w:r>
    </w:p>
    <w:p>
      <w:pPr>
        <w:numPr>
          <w:ilvl w:val="0"/>
          <w:numId w:val="41"/>
        </w:numPr>
        <w:spacing w:after="120" w:line="240" w:lineRule="auto"/>
        <w:ind w:left="1196" w:hanging="357"/>
        <w:jc w:val="both"/>
        <w:rPr>
          <w:rFonts w:ascii="Times New Roman" w:eastAsia="Times New Roman" w:hAnsi="Times New Roman"/>
          <w:noProof/>
          <w:sz w:val="24"/>
          <w:szCs w:val="20"/>
        </w:rPr>
      </w:pPr>
      <w:r>
        <w:rPr>
          <w:rFonts w:ascii="Times New Roman" w:hAnsi="Times New Roman"/>
          <w:noProof/>
          <w:szCs w:val="20"/>
        </w:rPr>
        <w:t>dispositif de freinage;</w:t>
      </w:r>
    </w:p>
    <w:p>
      <w:pPr>
        <w:numPr>
          <w:ilvl w:val="0"/>
          <w:numId w:val="41"/>
        </w:numPr>
        <w:spacing w:after="120" w:line="240" w:lineRule="auto"/>
        <w:ind w:left="1196" w:hanging="357"/>
        <w:jc w:val="both"/>
        <w:rPr>
          <w:rFonts w:ascii="Times New Roman" w:eastAsia="Times New Roman" w:hAnsi="Times New Roman"/>
          <w:noProof/>
          <w:sz w:val="24"/>
          <w:szCs w:val="20"/>
        </w:rPr>
      </w:pPr>
      <w:r>
        <w:rPr>
          <w:rFonts w:ascii="Times New Roman" w:hAnsi="Times New Roman"/>
          <w:noProof/>
        </w:rPr>
        <w:t>direction;</w:t>
      </w:r>
    </w:p>
    <w:p>
      <w:pPr>
        <w:numPr>
          <w:ilvl w:val="0"/>
          <w:numId w:val="41"/>
        </w:numPr>
        <w:spacing w:after="120" w:line="240" w:lineRule="auto"/>
        <w:ind w:left="1196" w:hanging="357"/>
        <w:jc w:val="both"/>
        <w:rPr>
          <w:rFonts w:ascii="Times New Roman" w:eastAsia="Times New Roman" w:hAnsi="Times New Roman"/>
          <w:noProof/>
          <w:sz w:val="24"/>
          <w:szCs w:val="20"/>
        </w:rPr>
      </w:pPr>
      <w:r>
        <w:rPr>
          <w:rFonts w:ascii="Times New Roman" w:hAnsi="Times New Roman"/>
          <w:noProof/>
        </w:rPr>
        <w:t>visibilité;</w:t>
      </w:r>
    </w:p>
    <w:p>
      <w:pPr>
        <w:numPr>
          <w:ilvl w:val="0"/>
          <w:numId w:val="41"/>
        </w:numPr>
        <w:spacing w:after="120" w:line="240" w:lineRule="auto"/>
        <w:ind w:left="1196" w:hanging="357"/>
        <w:jc w:val="both"/>
        <w:rPr>
          <w:rFonts w:ascii="Times New Roman" w:eastAsia="Times New Roman" w:hAnsi="Times New Roman"/>
          <w:noProof/>
          <w:sz w:val="24"/>
          <w:szCs w:val="20"/>
        </w:rPr>
      </w:pPr>
      <w:r>
        <w:rPr>
          <w:rFonts w:ascii="Times New Roman" w:hAnsi="Times New Roman"/>
          <w:noProof/>
        </w:rPr>
        <w:t>équipement d’éclairage et système électrique;</w:t>
      </w:r>
    </w:p>
    <w:p>
      <w:pPr>
        <w:numPr>
          <w:ilvl w:val="0"/>
          <w:numId w:val="41"/>
        </w:numPr>
        <w:spacing w:after="120" w:line="240" w:lineRule="auto"/>
        <w:ind w:left="1196" w:hanging="357"/>
        <w:jc w:val="both"/>
        <w:rPr>
          <w:rFonts w:ascii="Times New Roman" w:eastAsia="Times New Roman" w:hAnsi="Times New Roman"/>
          <w:noProof/>
          <w:sz w:val="24"/>
          <w:szCs w:val="20"/>
        </w:rPr>
      </w:pPr>
      <w:r>
        <w:rPr>
          <w:rFonts w:ascii="Times New Roman" w:hAnsi="Times New Roman"/>
          <w:noProof/>
        </w:rPr>
        <w:t>essieux, roues, pneus, suspension;</w:t>
      </w:r>
    </w:p>
    <w:p>
      <w:pPr>
        <w:numPr>
          <w:ilvl w:val="0"/>
          <w:numId w:val="41"/>
        </w:numPr>
        <w:spacing w:after="120" w:line="240" w:lineRule="auto"/>
        <w:ind w:left="1196" w:hanging="357"/>
        <w:jc w:val="both"/>
        <w:rPr>
          <w:rFonts w:ascii="Times New Roman" w:eastAsia="Times New Roman" w:hAnsi="Times New Roman"/>
          <w:noProof/>
          <w:sz w:val="24"/>
          <w:szCs w:val="20"/>
        </w:rPr>
      </w:pPr>
      <w:r>
        <w:rPr>
          <w:rFonts w:ascii="Times New Roman" w:hAnsi="Times New Roman"/>
          <w:noProof/>
        </w:rPr>
        <w:t>châssis et accessoires du châssis;</w:t>
      </w:r>
    </w:p>
    <w:p>
      <w:pPr>
        <w:numPr>
          <w:ilvl w:val="0"/>
          <w:numId w:val="41"/>
        </w:numPr>
        <w:spacing w:after="120" w:line="240" w:lineRule="auto"/>
        <w:ind w:left="1196" w:hanging="357"/>
        <w:jc w:val="both"/>
        <w:rPr>
          <w:rFonts w:ascii="Times New Roman" w:eastAsia="Times New Roman" w:hAnsi="Times New Roman"/>
          <w:noProof/>
          <w:sz w:val="24"/>
          <w:szCs w:val="20"/>
        </w:rPr>
      </w:pPr>
      <w:r>
        <w:rPr>
          <w:rFonts w:ascii="Times New Roman" w:hAnsi="Times New Roman"/>
          <w:noProof/>
        </w:rPr>
        <w:t>autre équipement, y compris tachygraphe et dispositif de limitation de vitesse;</w:t>
      </w:r>
    </w:p>
    <w:p>
      <w:pPr>
        <w:numPr>
          <w:ilvl w:val="0"/>
          <w:numId w:val="41"/>
        </w:numPr>
        <w:spacing w:after="120" w:line="240" w:lineRule="auto"/>
        <w:ind w:left="1196" w:hanging="357"/>
        <w:jc w:val="both"/>
        <w:rPr>
          <w:rFonts w:ascii="Times New Roman" w:eastAsia="Times New Roman" w:hAnsi="Times New Roman"/>
          <w:noProof/>
          <w:sz w:val="24"/>
          <w:szCs w:val="20"/>
        </w:rPr>
      </w:pPr>
      <w:r>
        <w:rPr>
          <w:rFonts w:ascii="Times New Roman" w:hAnsi="Times New Roman"/>
          <w:noProof/>
        </w:rPr>
        <w:t>nuisance, y compris les émissions et fuites de carburant et/ou d’huile.</w:t>
      </w:r>
    </w:p>
    <w:p>
      <w:pPr>
        <w:spacing w:after="240" w:line="240" w:lineRule="auto"/>
        <w:jc w:val="both"/>
        <w:rPr>
          <w:rFonts w:ascii="Times New Roman" w:eastAsia="Times New Roman" w:hAnsi="Times New Roman"/>
          <w:noProof/>
          <w:sz w:val="24"/>
          <w:szCs w:val="20"/>
        </w:rPr>
      </w:pPr>
      <w:r>
        <w:rPr>
          <w:rFonts w:ascii="Times New Roman" w:hAnsi="Times New Roman"/>
          <w:noProof/>
          <w:szCs w:val="20"/>
        </w:rPr>
        <w:t>Au verso du rapport de contrôle devrait figurer une liste exhaustive des points à contrôler afin de faciliter l’enregistrement des défauts détectés par les inspecteurs concernant ces points. Les inspecteurs doivent indiquer sur le rapport, à l’aide des codes prédéfinis, les points de contrôle concernant lesquels ils ont décelé des défauts et remettre, à l'issue du contrôle, un exemplaire du rapport au conducteur du véhicule.</w:t>
      </w:r>
    </w:p>
    <w:p>
      <w:pPr>
        <w:spacing w:after="240" w:line="240" w:lineRule="auto"/>
        <w:jc w:val="both"/>
        <w:rPr>
          <w:rFonts w:ascii="Times New Roman" w:eastAsia="Times New Roman" w:hAnsi="Times New Roman"/>
          <w:noProof/>
          <w:sz w:val="24"/>
          <w:szCs w:val="24"/>
        </w:rPr>
      </w:pPr>
      <w:r>
        <w:rPr>
          <w:rFonts w:ascii="Times New Roman" w:hAnsi="Times New Roman"/>
          <w:noProof/>
        </w:rPr>
        <w:t xml:space="preserve">Si l’inspecteur estime que les défauts décelés peuvent poser un risque pour la sécurité de nature à justifier, en ce qui concerne notamment le freinage, un examen plus approfondi, il peut ordonner que le véhicule soit soumis à une inspection plus poussée dans une installation de contrôle désignée située à proximité. </w:t>
      </w:r>
    </w:p>
    <w:p>
      <w:pPr>
        <w:spacing w:after="240" w:line="240" w:lineRule="auto"/>
        <w:jc w:val="both"/>
        <w:rPr>
          <w:rFonts w:ascii="Times New Roman" w:eastAsia="Times New Roman" w:hAnsi="Times New Roman"/>
          <w:noProof/>
          <w:sz w:val="24"/>
          <w:szCs w:val="24"/>
        </w:rPr>
      </w:pPr>
      <w:r>
        <w:rPr>
          <w:rFonts w:ascii="Times New Roman" w:hAnsi="Times New Roman"/>
          <w:noProof/>
        </w:rPr>
        <w:t xml:space="preserve">En outre, s’il devient évident, lors d’un contrôle, qu’un véhicule utilitaire représente un risque important pour ses occupants ou pour les autres usagers du réseau routier, l’utilisation de ce véhicule peut être suspendue jusqu’à la réparation des défauts dangereux décelés. </w:t>
      </w:r>
    </w:p>
    <w:p>
      <w:pPr>
        <w:pStyle w:val="Heading1"/>
        <w:rPr>
          <w:noProof/>
        </w:rPr>
      </w:pPr>
      <w:bookmarkStart w:id="6" w:name="_Toc33174484"/>
      <w:r>
        <w:rPr>
          <w:noProof/>
        </w:rPr>
        <w:t>5.</w:t>
      </w:r>
      <w:r>
        <w:rPr>
          <w:noProof/>
        </w:rPr>
        <w:tab/>
        <w:t>DONNÉES STATISTIQUES</w:t>
      </w:r>
      <w:bookmarkEnd w:id="6"/>
    </w:p>
    <w:p>
      <w:pPr>
        <w:pStyle w:val="Heading2"/>
        <w:rPr>
          <w:noProof/>
        </w:rPr>
      </w:pPr>
      <w:bookmarkStart w:id="7" w:name="_Toc33174485"/>
      <w:r>
        <w:rPr>
          <w:noProof/>
        </w:rPr>
        <w:t xml:space="preserve">5.1. </w:t>
      </w:r>
      <w:r>
        <w:rPr>
          <w:noProof/>
        </w:rPr>
        <w:tab/>
        <w:t>Ampleur des contrôles</w:t>
      </w:r>
      <w:bookmarkEnd w:id="7"/>
    </w:p>
    <w:p>
      <w:pPr>
        <w:spacing w:before="120" w:after="120" w:line="240" w:lineRule="auto"/>
        <w:jc w:val="both"/>
        <w:rPr>
          <w:rFonts w:ascii="Times New Roman" w:eastAsia="Times New Roman" w:hAnsi="Times New Roman"/>
          <w:noProof/>
          <w:sz w:val="24"/>
          <w:szCs w:val="24"/>
        </w:rPr>
      </w:pPr>
      <w:r>
        <w:rPr>
          <w:rFonts w:ascii="Times New Roman" w:hAnsi="Times New Roman"/>
          <w:noProof/>
        </w:rPr>
        <w:t>Pour la période 2015-2016, on enregistre 534 473 </w:t>
      </w:r>
      <w:r>
        <w:rPr>
          <w:rFonts w:ascii="Times New Roman" w:hAnsi="Times New Roman"/>
          <w:b/>
          <w:noProof/>
        </w:rPr>
        <w:t>véhicules contrôlés en moins</w:t>
      </w:r>
      <w:r>
        <w:rPr>
          <w:rFonts w:ascii="Times New Roman" w:hAnsi="Times New Roman"/>
          <w:noProof/>
        </w:rPr>
        <w:t xml:space="preserve"> par rapport à la période 2013-2014, ce qui représente une </w:t>
      </w:r>
      <w:r>
        <w:rPr>
          <w:rFonts w:ascii="Times New Roman" w:hAnsi="Times New Roman"/>
          <w:b/>
          <w:noProof/>
        </w:rPr>
        <w:t>diminution de 9,6 %</w:t>
      </w:r>
      <w:r>
        <w:rPr>
          <w:rFonts w:ascii="Times New Roman" w:hAnsi="Times New Roman"/>
          <w:noProof/>
        </w:rPr>
        <w:t xml:space="preserve">.  Le tableau 1 ci-dessous présente une ventilation de ces données par État membre. </w:t>
      </w:r>
    </w:p>
    <w:p>
      <w:pPr>
        <w:spacing w:before="120" w:after="120" w:line="240" w:lineRule="auto"/>
        <w:jc w:val="both"/>
        <w:rPr>
          <w:rFonts w:ascii="Times New Roman" w:eastAsia="Times New Roman" w:hAnsi="Times New Roman"/>
          <w:noProof/>
          <w:sz w:val="24"/>
          <w:szCs w:val="24"/>
        </w:rPr>
      </w:pPr>
      <w:r>
        <w:rPr>
          <w:rFonts w:ascii="Times New Roman" w:hAnsi="Times New Roman"/>
          <w:noProof/>
        </w:rPr>
        <w:t xml:space="preserve">En 2011-2012, </w:t>
      </w:r>
      <w:r>
        <w:rPr>
          <w:rFonts w:ascii="Times New Roman" w:hAnsi="Times New Roman"/>
          <w:b/>
          <w:noProof/>
        </w:rPr>
        <w:t>8 145 984</w:t>
      </w:r>
      <w:r>
        <w:rPr>
          <w:rFonts w:ascii="Times New Roman" w:hAnsi="Times New Roman"/>
          <w:noProof/>
        </w:rPr>
        <w:t xml:space="preserve"> véhicules ont été contrôlés, alors que sur la période 2013-2014, les données font état de </w:t>
      </w:r>
      <w:r>
        <w:rPr>
          <w:rFonts w:ascii="Times New Roman" w:hAnsi="Times New Roman"/>
          <w:b/>
          <w:noProof/>
        </w:rPr>
        <w:t>5 584 164 contrôles, soit 2 561 820 de moins</w:t>
      </w:r>
      <w:r>
        <w:rPr>
          <w:rFonts w:ascii="Times New Roman" w:hAnsi="Times New Roman"/>
          <w:noProof/>
        </w:rPr>
        <w:t xml:space="preserve">. La baisse observée s’est poursuivie en 2015-2016, avec </w:t>
      </w:r>
      <w:r>
        <w:rPr>
          <w:rFonts w:ascii="Times New Roman" w:hAnsi="Times New Roman"/>
          <w:b/>
          <w:noProof/>
        </w:rPr>
        <w:t>5 029 763</w:t>
      </w:r>
      <w:r>
        <w:rPr>
          <w:rFonts w:ascii="Times New Roman" w:hAnsi="Times New Roman"/>
          <w:noProof/>
        </w:rPr>
        <w:t xml:space="preserve"> contrôles, soit une réduction de l’ordre de 10 %. </w:t>
      </w:r>
    </w:p>
    <w:p>
      <w:pPr>
        <w:spacing w:after="0" w:line="240" w:lineRule="auto"/>
        <w:jc w:val="center"/>
        <w:rPr>
          <w:rFonts w:ascii="Times New Roman" w:eastAsia="Times New Roman" w:hAnsi="Times New Roman"/>
          <w:b/>
          <w:noProof/>
        </w:rPr>
      </w:pPr>
      <w:r>
        <w:rPr>
          <w:rFonts w:ascii="Times New Roman" w:hAnsi="Times New Roman"/>
          <w:b/>
          <w:noProof/>
        </w:rPr>
        <w:t xml:space="preserve">Tableau 1: Ampleur des contrôles – comparaison entre 2013-2014 et 2015-2016 </w:t>
      </w:r>
    </w:p>
    <w:p>
      <w:pPr>
        <w:spacing w:after="0" w:line="240" w:lineRule="auto"/>
        <w:jc w:val="both"/>
        <w:rPr>
          <w:rFonts w:ascii="Times New Roman" w:eastAsia="Times New Roman" w:hAnsi="Times New Roman"/>
          <w:noProof/>
          <w:sz w:val="24"/>
          <w:szCs w:val="24"/>
        </w:rPr>
      </w:pPr>
    </w:p>
    <w:tbl>
      <w:tblPr>
        <w:tblW w:w="8084" w:type="dxa"/>
        <w:jc w:val="center"/>
        <w:tblLook w:val="04A0" w:firstRow="1" w:lastRow="0" w:firstColumn="1" w:lastColumn="0" w:noHBand="0" w:noVBand="1"/>
      </w:tblPr>
      <w:tblGrid>
        <w:gridCol w:w="1856"/>
        <w:gridCol w:w="1494"/>
        <w:gridCol w:w="1494"/>
        <w:gridCol w:w="1716"/>
        <w:gridCol w:w="1617"/>
      </w:tblGrid>
      <w:tr>
        <w:trPr>
          <w:trHeight w:val="1238"/>
          <w:jc w:val="center"/>
        </w:trPr>
        <w:tc>
          <w:tcPr>
            <w:tcW w:w="1856" w:type="dxa"/>
            <w:tcBorders>
              <w:top w:val="single" w:sz="8" w:space="0" w:color="auto"/>
              <w:left w:val="single" w:sz="8" w:space="0" w:color="auto"/>
              <w:bottom w:val="single" w:sz="8" w:space="0" w:color="auto"/>
              <w:right w:val="single" w:sz="8" w:space="0" w:color="auto"/>
            </w:tcBorders>
            <w:shd w:val="clear" w:color="000000" w:fill="D9D9D9"/>
            <w:hideMark/>
          </w:tcPr>
          <w:p>
            <w:pPr>
              <w:spacing w:after="0" w:line="240" w:lineRule="auto"/>
              <w:jc w:val="center"/>
              <w:rPr>
                <w:rFonts w:ascii="Times New Roman" w:eastAsia="Times New Roman" w:hAnsi="Times New Roman" w:cs="Times New Roman"/>
                <w:b/>
                <w:bCs/>
                <w:noProof/>
                <w:color w:val="000000"/>
              </w:rPr>
            </w:pPr>
            <w:r>
              <w:rPr>
                <w:rFonts w:ascii="Times New Roman" w:hAnsi="Times New Roman"/>
                <w:b/>
                <w:bCs/>
                <w:noProof/>
              </w:rPr>
              <w:t>État membre (EM) déclarant</w:t>
            </w:r>
          </w:p>
        </w:tc>
        <w:tc>
          <w:tcPr>
            <w:tcW w:w="1458" w:type="dxa"/>
            <w:tcBorders>
              <w:top w:val="single" w:sz="8" w:space="0" w:color="auto"/>
              <w:left w:val="nil"/>
              <w:bottom w:val="nil"/>
              <w:right w:val="single" w:sz="4" w:space="0" w:color="auto"/>
            </w:tcBorders>
            <w:shd w:val="clear" w:color="000000" w:fill="D9D9D9"/>
            <w:hideMark/>
          </w:tcPr>
          <w:p>
            <w:pPr>
              <w:spacing w:after="0" w:line="240" w:lineRule="auto"/>
              <w:jc w:val="center"/>
              <w:rPr>
                <w:rFonts w:ascii="Times New Roman" w:eastAsia="Times New Roman" w:hAnsi="Times New Roman" w:cs="Times New Roman"/>
                <w:b/>
                <w:bCs/>
                <w:noProof/>
                <w:color w:val="000000"/>
              </w:rPr>
            </w:pPr>
            <w:r>
              <w:rPr>
                <w:rFonts w:ascii="Times New Roman" w:hAnsi="Times New Roman"/>
                <w:b/>
                <w:bCs/>
                <w:noProof/>
              </w:rPr>
              <w:t>Véhicules contrôlés sur la période 2013-2014</w:t>
            </w:r>
          </w:p>
        </w:tc>
        <w:tc>
          <w:tcPr>
            <w:tcW w:w="1437" w:type="dxa"/>
            <w:tcBorders>
              <w:top w:val="single" w:sz="8" w:space="0" w:color="auto"/>
              <w:left w:val="nil"/>
              <w:bottom w:val="nil"/>
              <w:right w:val="single" w:sz="4" w:space="0" w:color="auto"/>
            </w:tcBorders>
            <w:shd w:val="clear" w:color="000000" w:fill="D9D9D9"/>
            <w:hideMark/>
          </w:tcPr>
          <w:p>
            <w:pPr>
              <w:spacing w:after="0" w:line="240" w:lineRule="auto"/>
              <w:jc w:val="center"/>
              <w:rPr>
                <w:rFonts w:ascii="Times New Roman" w:eastAsia="Times New Roman" w:hAnsi="Times New Roman" w:cs="Times New Roman"/>
                <w:b/>
                <w:bCs/>
                <w:noProof/>
                <w:color w:val="000000"/>
              </w:rPr>
            </w:pPr>
            <w:r>
              <w:rPr>
                <w:rFonts w:ascii="Times New Roman" w:hAnsi="Times New Roman"/>
                <w:b/>
                <w:bCs/>
                <w:noProof/>
              </w:rPr>
              <w:t>Véhicules contrôlés sur la période 2015-2016</w:t>
            </w:r>
          </w:p>
        </w:tc>
        <w:tc>
          <w:tcPr>
            <w:tcW w:w="1716" w:type="dxa"/>
            <w:tcBorders>
              <w:top w:val="single" w:sz="8" w:space="0" w:color="auto"/>
              <w:left w:val="nil"/>
              <w:bottom w:val="nil"/>
              <w:right w:val="single" w:sz="4" w:space="0" w:color="auto"/>
            </w:tcBorders>
            <w:shd w:val="clear" w:color="000000" w:fill="D9D9D9"/>
            <w:hideMark/>
          </w:tcPr>
          <w:p>
            <w:pPr>
              <w:spacing w:after="0" w:line="240" w:lineRule="auto"/>
              <w:jc w:val="center"/>
              <w:rPr>
                <w:rFonts w:ascii="Times New Roman" w:eastAsia="Times New Roman" w:hAnsi="Times New Roman" w:cs="Times New Roman"/>
                <w:b/>
                <w:bCs/>
                <w:noProof/>
                <w:color w:val="000000"/>
              </w:rPr>
            </w:pPr>
            <w:r>
              <w:rPr>
                <w:rFonts w:ascii="Times New Roman" w:hAnsi="Times New Roman"/>
                <w:b/>
                <w:bCs/>
                <w:noProof/>
              </w:rPr>
              <w:t>Différence entre les périodes 2013-2014 et 2015-2016</w:t>
            </w:r>
          </w:p>
        </w:tc>
        <w:tc>
          <w:tcPr>
            <w:tcW w:w="1617" w:type="dxa"/>
            <w:tcBorders>
              <w:top w:val="single" w:sz="8" w:space="0" w:color="auto"/>
              <w:left w:val="nil"/>
              <w:bottom w:val="nil"/>
              <w:right w:val="single" w:sz="8" w:space="0" w:color="auto"/>
            </w:tcBorders>
            <w:shd w:val="clear" w:color="000000" w:fill="D9D9D9"/>
            <w:hideMark/>
          </w:tcPr>
          <w:p>
            <w:pPr>
              <w:spacing w:after="0" w:line="240" w:lineRule="auto"/>
              <w:jc w:val="center"/>
              <w:rPr>
                <w:rFonts w:ascii="Times New Roman" w:eastAsia="Times New Roman" w:hAnsi="Times New Roman" w:cs="Times New Roman"/>
                <w:b/>
                <w:bCs/>
                <w:noProof/>
                <w:color w:val="000000"/>
              </w:rPr>
            </w:pPr>
            <w:r>
              <w:rPr>
                <w:rFonts w:ascii="Times New Roman" w:hAnsi="Times New Roman"/>
                <w:b/>
                <w:bCs/>
                <w:noProof/>
              </w:rPr>
              <w:t>Différence entre les périodes 2013-2014 et 2015-2016 en %</w:t>
            </w:r>
          </w:p>
        </w:tc>
      </w:tr>
      <w:tr>
        <w:trPr>
          <w:trHeight w:val="300"/>
          <w:jc w:val="center"/>
        </w:trPr>
        <w:tc>
          <w:tcPr>
            <w:tcW w:w="1856" w:type="dxa"/>
            <w:tcBorders>
              <w:top w:val="nil"/>
              <w:left w:val="single" w:sz="8" w:space="0" w:color="auto"/>
              <w:bottom w:val="single" w:sz="4" w:space="0" w:color="auto"/>
              <w:right w:val="nil"/>
            </w:tcBorders>
            <w:shd w:val="clear" w:color="000000" w:fill="D9D9D9"/>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Autriche</w:t>
            </w:r>
          </w:p>
        </w:tc>
        <w:tc>
          <w:tcPr>
            <w:tcW w:w="145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48 884</w:t>
            </w:r>
          </w:p>
        </w:tc>
        <w:tc>
          <w:tcPr>
            <w:tcW w:w="1437" w:type="dxa"/>
            <w:tcBorders>
              <w:top w:val="single" w:sz="8" w:space="0" w:color="auto"/>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42 438</w:t>
            </w:r>
          </w:p>
        </w:tc>
        <w:tc>
          <w:tcPr>
            <w:tcW w:w="1716" w:type="dxa"/>
            <w:tcBorders>
              <w:top w:val="single" w:sz="8" w:space="0" w:color="auto"/>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-6 446</w:t>
            </w:r>
          </w:p>
        </w:tc>
        <w:tc>
          <w:tcPr>
            <w:tcW w:w="1617" w:type="dxa"/>
            <w:tcBorders>
              <w:top w:val="single" w:sz="8" w:space="0" w:color="auto"/>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-13,2 %</w:t>
            </w:r>
          </w:p>
        </w:tc>
      </w:tr>
      <w:tr>
        <w:trPr>
          <w:trHeight w:val="300"/>
          <w:jc w:val="center"/>
        </w:trPr>
        <w:tc>
          <w:tcPr>
            <w:tcW w:w="1856" w:type="dxa"/>
            <w:tcBorders>
              <w:top w:val="nil"/>
              <w:left w:val="single" w:sz="8" w:space="0" w:color="auto"/>
              <w:bottom w:val="single" w:sz="4" w:space="0" w:color="auto"/>
              <w:right w:val="nil"/>
            </w:tcBorders>
            <w:shd w:val="clear" w:color="000000" w:fill="D9D9D9"/>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Belgique</w:t>
            </w:r>
          </w:p>
        </w:tc>
        <w:tc>
          <w:tcPr>
            <w:tcW w:w="1458" w:type="dxa"/>
            <w:tcBorders>
              <w:top w:val="nil"/>
              <w:left w:val="single" w:sz="8" w:space="0" w:color="auto"/>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18 073</w:t>
            </w:r>
          </w:p>
        </w:tc>
        <w:tc>
          <w:tcPr>
            <w:tcW w:w="1437"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9 693</w:t>
            </w:r>
          </w:p>
        </w:tc>
        <w:tc>
          <w:tcPr>
            <w:tcW w:w="171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-8 380</w:t>
            </w:r>
          </w:p>
        </w:tc>
        <w:tc>
          <w:tcPr>
            <w:tcW w:w="1617"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-46,4 %</w:t>
            </w:r>
          </w:p>
        </w:tc>
      </w:tr>
      <w:tr>
        <w:trPr>
          <w:trHeight w:val="300"/>
          <w:jc w:val="center"/>
        </w:trPr>
        <w:tc>
          <w:tcPr>
            <w:tcW w:w="1856" w:type="dxa"/>
            <w:tcBorders>
              <w:top w:val="nil"/>
              <w:left w:val="single" w:sz="8" w:space="0" w:color="auto"/>
              <w:bottom w:val="single" w:sz="4" w:space="0" w:color="auto"/>
              <w:right w:val="nil"/>
            </w:tcBorders>
            <w:shd w:val="clear" w:color="000000" w:fill="D9D9D9"/>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Bulgarie</w:t>
            </w:r>
          </w:p>
        </w:tc>
        <w:tc>
          <w:tcPr>
            <w:tcW w:w="1458" w:type="dxa"/>
            <w:tcBorders>
              <w:top w:val="nil"/>
              <w:left w:val="single" w:sz="8" w:space="0" w:color="auto"/>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321 325</w:t>
            </w:r>
          </w:p>
        </w:tc>
        <w:tc>
          <w:tcPr>
            <w:tcW w:w="1437"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250 516</w:t>
            </w:r>
          </w:p>
        </w:tc>
        <w:tc>
          <w:tcPr>
            <w:tcW w:w="171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-70 809</w:t>
            </w:r>
          </w:p>
        </w:tc>
        <w:tc>
          <w:tcPr>
            <w:tcW w:w="1617"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-22 %</w:t>
            </w:r>
          </w:p>
        </w:tc>
      </w:tr>
      <w:tr>
        <w:trPr>
          <w:trHeight w:val="300"/>
          <w:jc w:val="center"/>
        </w:trPr>
        <w:tc>
          <w:tcPr>
            <w:tcW w:w="1856" w:type="dxa"/>
            <w:tcBorders>
              <w:top w:val="nil"/>
              <w:left w:val="single" w:sz="8" w:space="0" w:color="auto"/>
              <w:bottom w:val="single" w:sz="4" w:space="0" w:color="auto"/>
              <w:right w:val="nil"/>
            </w:tcBorders>
            <w:shd w:val="clear" w:color="000000" w:fill="D9D9D9"/>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Croatie</w:t>
            </w:r>
          </w:p>
        </w:tc>
        <w:tc>
          <w:tcPr>
            <w:tcW w:w="1458" w:type="dxa"/>
            <w:tcBorders>
              <w:top w:val="nil"/>
              <w:left w:val="single" w:sz="8" w:space="0" w:color="auto"/>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39 608</w:t>
            </w:r>
          </w:p>
        </w:tc>
        <w:tc>
          <w:tcPr>
            <w:tcW w:w="1437"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39 204</w:t>
            </w:r>
          </w:p>
        </w:tc>
        <w:tc>
          <w:tcPr>
            <w:tcW w:w="171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-404</w:t>
            </w:r>
          </w:p>
        </w:tc>
        <w:tc>
          <w:tcPr>
            <w:tcW w:w="1617"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-1 %</w:t>
            </w:r>
          </w:p>
        </w:tc>
      </w:tr>
      <w:tr>
        <w:trPr>
          <w:trHeight w:val="300"/>
          <w:jc w:val="center"/>
        </w:trPr>
        <w:tc>
          <w:tcPr>
            <w:tcW w:w="1856" w:type="dxa"/>
            <w:tcBorders>
              <w:top w:val="nil"/>
              <w:left w:val="single" w:sz="8" w:space="0" w:color="auto"/>
              <w:bottom w:val="single" w:sz="4" w:space="0" w:color="auto"/>
              <w:right w:val="nil"/>
            </w:tcBorders>
            <w:shd w:val="clear" w:color="000000" w:fill="D9D9D9"/>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Chypre</w:t>
            </w:r>
          </w:p>
        </w:tc>
        <w:tc>
          <w:tcPr>
            <w:tcW w:w="1458" w:type="dxa"/>
            <w:tcBorders>
              <w:top w:val="nil"/>
              <w:left w:val="single" w:sz="8" w:space="0" w:color="auto"/>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1 174</w:t>
            </w:r>
          </w:p>
        </w:tc>
        <w:tc>
          <w:tcPr>
            <w:tcW w:w="1437"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6 214</w:t>
            </w:r>
          </w:p>
        </w:tc>
        <w:tc>
          <w:tcPr>
            <w:tcW w:w="171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5 040</w:t>
            </w:r>
          </w:p>
        </w:tc>
        <w:tc>
          <w:tcPr>
            <w:tcW w:w="1617"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429,3 %</w:t>
            </w:r>
          </w:p>
        </w:tc>
      </w:tr>
      <w:tr>
        <w:trPr>
          <w:trHeight w:val="300"/>
          <w:jc w:val="center"/>
        </w:trPr>
        <w:tc>
          <w:tcPr>
            <w:tcW w:w="1856" w:type="dxa"/>
            <w:tcBorders>
              <w:top w:val="nil"/>
              <w:left w:val="single" w:sz="8" w:space="0" w:color="auto"/>
              <w:bottom w:val="single" w:sz="4" w:space="0" w:color="auto"/>
              <w:right w:val="nil"/>
            </w:tcBorders>
            <w:shd w:val="clear" w:color="000000" w:fill="D9D9D9"/>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Tchéquie</w:t>
            </w:r>
          </w:p>
        </w:tc>
        <w:tc>
          <w:tcPr>
            <w:tcW w:w="1458" w:type="dxa"/>
            <w:tcBorders>
              <w:top w:val="nil"/>
              <w:left w:val="single" w:sz="8" w:space="0" w:color="auto"/>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136 981</w:t>
            </w:r>
          </w:p>
        </w:tc>
        <w:tc>
          <w:tcPr>
            <w:tcW w:w="1437"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88 389</w:t>
            </w:r>
          </w:p>
        </w:tc>
        <w:tc>
          <w:tcPr>
            <w:tcW w:w="171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-48 592</w:t>
            </w:r>
          </w:p>
        </w:tc>
        <w:tc>
          <w:tcPr>
            <w:tcW w:w="1617"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-35,5 %</w:t>
            </w:r>
          </w:p>
        </w:tc>
      </w:tr>
      <w:tr>
        <w:trPr>
          <w:trHeight w:val="300"/>
          <w:jc w:val="center"/>
        </w:trPr>
        <w:tc>
          <w:tcPr>
            <w:tcW w:w="1856" w:type="dxa"/>
            <w:tcBorders>
              <w:top w:val="nil"/>
              <w:left w:val="single" w:sz="8" w:space="0" w:color="auto"/>
              <w:bottom w:val="single" w:sz="4" w:space="0" w:color="auto"/>
              <w:right w:val="nil"/>
            </w:tcBorders>
            <w:shd w:val="clear" w:color="000000" w:fill="D9D9D9"/>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Danemark</w:t>
            </w:r>
          </w:p>
        </w:tc>
        <w:tc>
          <w:tcPr>
            <w:tcW w:w="1458" w:type="dxa"/>
            <w:tcBorders>
              <w:top w:val="nil"/>
              <w:left w:val="single" w:sz="8" w:space="0" w:color="auto"/>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2 081</w:t>
            </w:r>
          </w:p>
        </w:tc>
        <w:tc>
          <w:tcPr>
            <w:tcW w:w="1437"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3 753</w:t>
            </w:r>
          </w:p>
        </w:tc>
        <w:tc>
          <w:tcPr>
            <w:tcW w:w="171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1 672</w:t>
            </w:r>
          </w:p>
        </w:tc>
        <w:tc>
          <w:tcPr>
            <w:tcW w:w="1617"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80,3 %</w:t>
            </w:r>
          </w:p>
        </w:tc>
      </w:tr>
      <w:tr>
        <w:trPr>
          <w:trHeight w:val="300"/>
          <w:jc w:val="center"/>
        </w:trPr>
        <w:tc>
          <w:tcPr>
            <w:tcW w:w="1856" w:type="dxa"/>
            <w:tcBorders>
              <w:top w:val="nil"/>
              <w:left w:val="single" w:sz="8" w:space="0" w:color="auto"/>
              <w:bottom w:val="single" w:sz="4" w:space="0" w:color="auto"/>
              <w:right w:val="nil"/>
            </w:tcBorders>
            <w:shd w:val="clear" w:color="000000" w:fill="D9D9D9"/>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Estonie</w:t>
            </w:r>
          </w:p>
        </w:tc>
        <w:tc>
          <w:tcPr>
            <w:tcW w:w="1458" w:type="dxa"/>
            <w:tcBorders>
              <w:top w:val="nil"/>
              <w:left w:val="single" w:sz="8" w:space="0" w:color="auto"/>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1 689</w:t>
            </w:r>
          </w:p>
        </w:tc>
        <w:tc>
          <w:tcPr>
            <w:tcW w:w="1437"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2 768</w:t>
            </w:r>
          </w:p>
        </w:tc>
        <w:tc>
          <w:tcPr>
            <w:tcW w:w="171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1 079</w:t>
            </w:r>
          </w:p>
        </w:tc>
        <w:tc>
          <w:tcPr>
            <w:tcW w:w="1617"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63,9 %</w:t>
            </w:r>
          </w:p>
        </w:tc>
      </w:tr>
      <w:tr>
        <w:trPr>
          <w:trHeight w:val="300"/>
          <w:jc w:val="center"/>
        </w:trPr>
        <w:tc>
          <w:tcPr>
            <w:tcW w:w="1856" w:type="dxa"/>
            <w:tcBorders>
              <w:top w:val="nil"/>
              <w:left w:val="single" w:sz="8" w:space="0" w:color="auto"/>
              <w:bottom w:val="single" w:sz="4" w:space="0" w:color="auto"/>
              <w:right w:val="nil"/>
            </w:tcBorders>
            <w:shd w:val="clear" w:color="000000" w:fill="D9D9D9"/>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Finlande</w:t>
            </w:r>
          </w:p>
        </w:tc>
        <w:tc>
          <w:tcPr>
            <w:tcW w:w="1458" w:type="dxa"/>
            <w:tcBorders>
              <w:top w:val="nil"/>
              <w:left w:val="single" w:sz="8" w:space="0" w:color="auto"/>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11 152</w:t>
            </w:r>
          </w:p>
        </w:tc>
        <w:tc>
          <w:tcPr>
            <w:tcW w:w="1437"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8 390</w:t>
            </w:r>
          </w:p>
        </w:tc>
        <w:tc>
          <w:tcPr>
            <w:tcW w:w="171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-2 762</w:t>
            </w:r>
          </w:p>
        </w:tc>
        <w:tc>
          <w:tcPr>
            <w:tcW w:w="1617"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-24,8 %</w:t>
            </w:r>
          </w:p>
        </w:tc>
      </w:tr>
      <w:tr>
        <w:trPr>
          <w:trHeight w:val="300"/>
          <w:jc w:val="center"/>
        </w:trPr>
        <w:tc>
          <w:tcPr>
            <w:tcW w:w="1856" w:type="dxa"/>
            <w:tcBorders>
              <w:top w:val="nil"/>
              <w:left w:val="single" w:sz="8" w:space="0" w:color="auto"/>
              <w:bottom w:val="single" w:sz="4" w:space="0" w:color="auto"/>
              <w:right w:val="nil"/>
            </w:tcBorders>
            <w:shd w:val="clear" w:color="000000" w:fill="D9D9D9"/>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France</w:t>
            </w:r>
          </w:p>
        </w:tc>
        <w:tc>
          <w:tcPr>
            <w:tcW w:w="1458" w:type="dxa"/>
            <w:tcBorders>
              <w:top w:val="nil"/>
              <w:left w:val="single" w:sz="8" w:space="0" w:color="auto"/>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1 053 692</w:t>
            </w:r>
          </w:p>
        </w:tc>
        <w:tc>
          <w:tcPr>
            <w:tcW w:w="1437"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996 892</w:t>
            </w:r>
          </w:p>
        </w:tc>
        <w:tc>
          <w:tcPr>
            <w:tcW w:w="171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-56 800</w:t>
            </w:r>
          </w:p>
        </w:tc>
        <w:tc>
          <w:tcPr>
            <w:tcW w:w="1617"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-5,4 %</w:t>
            </w:r>
          </w:p>
        </w:tc>
      </w:tr>
      <w:tr>
        <w:trPr>
          <w:trHeight w:val="300"/>
          <w:jc w:val="center"/>
        </w:trPr>
        <w:tc>
          <w:tcPr>
            <w:tcW w:w="1856" w:type="dxa"/>
            <w:tcBorders>
              <w:top w:val="nil"/>
              <w:left w:val="single" w:sz="8" w:space="0" w:color="auto"/>
              <w:bottom w:val="single" w:sz="4" w:space="0" w:color="auto"/>
              <w:right w:val="nil"/>
            </w:tcBorders>
            <w:shd w:val="clear" w:color="000000" w:fill="D9D9D9"/>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Allemagne</w:t>
            </w:r>
          </w:p>
        </w:tc>
        <w:tc>
          <w:tcPr>
            <w:tcW w:w="1458" w:type="dxa"/>
            <w:tcBorders>
              <w:top w:val="nil"/>
              <w:left w:val="single" w:sz="8" w:space="0" w:color="auto"/>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1 600 728</w:t>
            </w:r>
          </w:p>
        </w:tc>
        <w:tc>
          <w:tcPr>
            <w:tcW w:w="1437"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1 620 465</w:t>
            </w:r>
          </w:p>
        </w:tc>
        <w:tc>
          <w:tcPr>
            <w:tcW w:w="171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19 737</w:t>
            </w:r>
          </w:p>
        </w:tc>
        <w:tc>
          <w:tcPr>
            <w:tcW w:w="1617"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1,2 %</w:t>
            </w:r>
          </w:p>
        </w:tc>
      </w:tr>
      <w:tr>
        <w:trPr>
          <w:trHeight w:val="300"/>
          <w:jc w:val="center"/>
        </w:trPr>
        <w:tc>
          <w:tcPr>
            <w:tcW w:w="1856" w:type="dxa"/>
            <w:tcBorders>
              <w:top w:val="nil"/>
              <w:left w:val="single" w:sz="8" w:space="0" w:color="auto"/>
              <w:bottom w:val="single" w:sz="4" w:space="0" w:color="auto"/>
              <w:right w:val="nil"/>
            </w:tcBorders>
            <w:shd w:val="clear" w:color="000000" w:fill="D9D9D9"/>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Grèce</w:t>
            </w:r>
          </w:p>
        </w:tc>
        <w:tc>
          <w:tcPr>
            <w:tcW w:w="1458" w:type="dxa"/>
            <w:tcBorders>
              <w:top w:val="nil"/>
              <w:left w:val="single" w:sz="8" w:space="0" w:color="auto"/>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16 816</w:t>
            </w:r>
          </w:p>
        </w:tc>
        <w:tc>
          <w:tcPr>
            <w:tcW w:w="1437"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5 395</w:t>
            </w:r>
          </w:p>
        </w:tc>
        <w:tc>
          <w:tcPr>
            <w:tcW w:w="171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-11 421</w:t>
            </w:r>
          </w:p>
        </w:tc>
        <w:tc>
          <w:tcPr>
            <w:tcW w:w="1617"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-67,9 %</w:t>
            </w:r>
          </w:p>
        </w:tc>
      </w:tr>
      <w:tr>
        <w:trPr>
          <w:trHeight w:val="300"/>
          <w:jc w:val="center"/>
        </w:trPr>
        <w:tc>
          <w:tcPr>
            <w:tcW w:w="1856" w:type="dxa"/>
            <w:tcBorders>
              <w:top w:val="nil"/>
              <w:left w:val="single" w:sz="8" w:space="0" w:color="auto"/>
              <w:bottom w:val="single" w:sz="4" w:space="0" w:color="auto"/>
              <w:right w:val="nil"/>
            </w:tcBorders>
            <w:shd w:val="clear" w:color="000000" w:fill="D9D9D9"/>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Hongrie</w:t>
            </w:r>
          </w:p>
        </w:tc>
        <w:tc>
          <w:tcPr>
            <w:tcW w:w="1458" w:type="dxa"/>
            <w:tcBorders>
              <w:top w:val="nil"/>
              <w:left w:val="single" w:sz="8" w:space="0" w:color="auto"/>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216 504</w:t>
            </w:r>
          </w:p>
        </w:tc>
        <w:tc>
          <w:tcPr>
            <w:tcW w:w="1437"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195 905</w:t>
            </w:r>
          </w:p>
        </w:tc>
        <w:tc>
          <w:tcPr>
            <w:tcW w:w="171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-20 599</w:t>
            </w:r>
          </w:p>
        </w:tc>
        <w:tc>
          <w:tcPr>
            <w:tcW w:w="1617"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-9,5 %</w:t>
            </w:r>
          </w:p>
        </w:tc>
      </w:tr>
      <w:tr>
        <w:trPr>
          <w:trHeight w:val="300"/>
          <w:jc w:val="center"/>
        </w:trPr>
        <w:tc>
          <w:tcPr>
            <w:tcW w:w="1856" w:type="dxa"/>
            <w:tcBorders>
              <w:top w:val="nil"/>
              <w:left w:val="single" w:sz="8" w:space="0" w:color="auto"/>
              <w:bottom w:val="single" w:sz="4" w:space="0" w:color="auto"/>
              <w:right w:val="nil"/>
            </w:tcBorders>
            <w:shd w:val="clear" w:color="000000" w:fill="D9D9D9"/>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Irlande</w:t>
            </w:r>
          </w:p>
        </w:tc>
        <w:tc>
          <w:tcPr>
            <w:tcW w:w="1458" w:type="dxa"/>
            <w:tcBorders>
              <w:top w:val="nil"/>
              <w:left w:val="single" w:sz="8" w:space="0" w:color="auto"/>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12 939</w:t>
            </w:r>
          </w:p>
        </w:tc>
        <w:tc>
          <w:tcPr>
            <w:tcW w:w="1437"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29 840</w:t>
            </w:r>
          </w:p>
        </w:tc>
        <w:tc>
          <w:tcPr>
            <w:tcW w:w="171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16 901</w:t>
            </w:r>
          </w:p>
        </w:tc>
        <w:tc>
          <w:tcPr>
            <w:tcW w:w="1617"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130,6 %</w:t>
            </w:r>
          </w:p>
        </w:tc>
      </w:tr>
      <w:tr>
        <w:trPr>
          <w:trHeight w:val="300"/>
          <w:jc w:val="center"/>
        </w:trPr>
        <w:tc>
          <w:tcPr>
            <w:tcW w:w="1856" w:type="dxa"/>
            <w:tcBorders>
              <w:top w:val="nil"/>
              <w:left w:val="single" w:sz="8" w:space="0" w:color="auto"/>
              <w:bottom w:val="single" w:sz="4" w:space="0" w:color="auto"/>
              <w:right w:val="nil"/>
            </w:tcBorders>
            <w:shd w:val="clear" w:color="000000" w:fill="D9D9D9"/>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Italie</w:t>
            </w:r>
          </w:p>
        </w:tc>
        <w:tc>
          <w:tcPr>
            <w:tcW w:w="1458" w:type="dxa"/>
            <w:tcBorders>
              <w:top w:val="nil"/>
              <w:left w:val="single" w:sz="8" w:space="0" w:color="auto"/>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15 147</w:t>
            </w:r>
          </w:p>
        </w:tc>
        <w:tc>
          <w:tcPr>
            <w:tcW w:w="1437"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5 514</w:t>
            </w:r>
          </w:p>
        </w:tc>
        <w:tc>
          <w:tcPr>
            <w:tcW w:w="171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-9 633</w:t>
            </w:r>
          </w:p>
        </w:tc>
        <w:tc>
          <w:tcPr>
            <w:tcW w:w="1617"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-63,6 %</w:t>
            </w:r>
          </w:p>
        </w:tc>
      </w:tr>
      <w:tr>
        <w:trPr>
          <w:trHeight w:val="300"/>
          <w:jc w:val="center"/>
        </w:trPr>
        <w:tc>
          <w:tcPr>
            <w:tcW w:w="1856" w:type="dxa"/>
            <w:tcBorders>
              <w:top w:val="nil"/>
              <w:left w:val="single" w:sz="8" w:space="0" w:color="auto"/>
              <w:bottom w:val="single" w:sz="4" w:space="0" w:color="auto"/>
              <w:right w:val="nil"/>
            </w:tcBorders>
            <w:shd w:val="clear" w:color="000000" w:fill="D9D9D9"/>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Lettonie</w:t>
            </w:r>
          </w:p>
        </w:tc>
        <w:tc>
          <w:tcPr>
            <w:tcW w:w="1458" w:type="dxa"/>
            <w:tcBorders>
              <w:top w:val="nil"/>
              <w:left w:val="single" w:sz="8" w:space="0" w:color="auto"/>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6 101</w:t>
            </w:r>
          </w:p>
        </w:tc>
        <w:tc>
          <w:tcPr>
            <w:tcW w:w="1437"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8 652</w:t>
            </w:r>
          </w:p>
        </w:tc>
        <w:tc>
          <w:tcPr>
            <w:tcW w:w="171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2 551</w:t>
            </w:r>
          </w:p>
        </w:tc>
        <w:tc>
          <w:tcPr>
            <w:tcW w:w="1617"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41,8 %</w:t>
            </w:r>
          </w:p>
        </w:tc>
      </w:tr>
      <w:tr>
        <w:trPr>
          <w:trHeight w:val="300"/>
          <w:jc w:val="center"/>
        </w:trPr>
        <w:tc>
          <w:tcPr>
            <w:tcW w:w="1856" w:type="dxa"/>
            <w:tcBorders>
              <w:top w:val="nil"/>
              <w:left w:val="single" w:sz="8" w:space="0" w:color="auto"/>
              <w:bottom w:val="single" w:sz="4" w:space="0" w:color="auto"/>
              <w:right w:val="nil"/>
            </w:tcBorders>
            <w:shd w:val="clear" w:color="000000" w:fill="D9D9D9"/>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Lituanie</w:t>
            </w:r>
          </w:p>
        </w:tc>
        <w:tc>
          <w:tcPr>
            <w:tcW w:w="1458" w:type="dxa"/>
            <w:tcBorders>
              <w:top w:val="nil"/>
              <w:left w:val="single" w:sz="8" w:space="0" w:color="auto"/>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79 860</w:t>
            </w:r>
          </w:p>
        </w:tc>
        <w:tc>
          <w:tcPr>
            <w:tcW w:w="1437"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70 586</w:t>
            </w:r>
          </w:p>
        </w:tc>
        <w:tc>
          <w:tcPr>
            <w:tcW w:w="171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-9 274</w:t>
            </w:r>
          </w:p>
        </w:tc>
        <w:tc>
          <w:tcPr>
            <w:tcW w:w="1617"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-11,6 %</w:t>
            </w:r>
          </w:p>
        </w:tc>
      </w:tr>
      <w:tr>
        <w:trPr>
          <w:trHeight w:val="300"/>
          <w:jc w:val="center"/>
        </w:trPr>
        <w:tc>
          <w:tcPr>
            <w:tcW w:w="1856" w:type="dxa"/>
            <w:tcBorders>
              <w:top w:val="nil"/>
              <w:left w:val="single" w:sz="8" w:space="0" w:color="auto"/>
              <w:bottom w:val="single" w:sz="4" w:space="0" w:color="auto"/>
              <w:right w:val="nil"/>
            </w:tcBorders>
            <w:shd w:val="clear" w:color="000000" w:fill="D9D9D9"/>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Luxembourg</w:t>
            </w:r>
          </w:p>
        </w:tc>
        <w:tc>
          <w:tcPr>
            <w:tcW w:w="1458" w:type="dxa"/>
            <w:tcBorders>
              <w:top w:val="nil"/>
              <w:left w:val="single" w:sz="8" w:space="0" w:color="auto"/>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726</w:t>
            </w:r>
          </w:p>
        </w:tc>
        <w:tc>
          <w:tcPr>
            <w:tcW w:w="1437"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398</w:t>
            </w:r>
          </w:p>
        </w:tc>
        <w:tc>
          <w:tcPr>
            <w:tcW w:w="171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-328</w:t>
            </w:r>
          </w:p>
        </w:tc>
        <w:tc>
          <w:tcPr>
            <w:tcW w:w="1617"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-45,2 %</w:t>
            </w:r>
          </w:p>
        </w:tc>
      </w:tr>
      <w:tr>
        <w:trPr>
          <w:trHeight w:val="300"/>
          <w:jc w:val="center"/>
        </w:trPr>
        <w:tc>
          <w:tcPr>
            <w:tcW w:w="1856" w:type="dxa"/>
            <w:tcBorders>
              <w:top w:val="nil"/>
              <w:left w:val="single" w:sz="8" w:space="0" w:color="auto"/>
              <w:bottom w:val="single" w:sz="4" w:space="0" w:color="auto"/>
              <w:right w:val="nil"/>
            </w:tcBorders>
            <w:shd w:val="clear" w:color="000000" w:fill="D9D9D9"/>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Malte</w:t>
            </w:r>
          </w:p>
        </w:tc>
        <w:tc>
          <w:tcPr>
            <w:tcW w:w="1458" w:type="dxa"/>
            <w:tcBorders>
              <w:top w:val="nil"/>
              <w:left w:val="single" w:sz="8" w:space="0" w:color="auto"/>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4 012</w:t>
            </w:r>
          </w:p>
        </w:tc>
        <w:tc>
          <w:tcPr>
            <w:tcW w:w="1437"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6 943</w:t>
            </w:r>
          </w:p>
        </w:tc>
        <w:tc>
          <w:tcPr>
            <w:tcW w:w="171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2 931</w:t>
            </w:r>
          </w:p>
        </w:tc>
        <w:tc>
          <w:tcPr>
            <w:tcW w:w="1617"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73,1 %</w:t>
            </w:r>
          </w:p>
        </w:tc>
      </w:tr>
      <w:tr>
        <w:trPr>
          <w:trHeight w:val="300"/>
          <w:jc w:val="center"/>
        </w:trPr>
        <w:tc>
          <w:tcPr>
            <w:tcW w:w="1856" w:type="dxa"/>
            <w:tcBorders>
              <w:top w:val="nil"/>
              <w:left w:val="single" w:sz="8" w:space="0" w:color="auto"/>
              <w:bottom w:val="single" w:sz="4" w:space="0" w:color="auto"/>
              <w:right w:val="nil"/>
            </w:tcBorders>
            <w:shd w:val="clear" w:color="000000" w:fill="D9D9D9"/>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Pays-Bas</w:t>
            </w:r>
          </w:p>
        </w:tc>
        <w:tc>
          <w:tcPr>
            <w:tcW w:w="1458" w:type="dxa"/>
            <w:tcBorders>
              <w:top w:val="nil"/>
              <w:left w:val="single" w:sz="8" w:space="0" w:color="auto"/>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8 860</w:t>
            </w:r>
          </w:p>
        </w:tc>
        <w:tc>
          <w:tcPr>
            <w:tcW w:w="1437"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6 709</w:t>
            </w:r>
          </w:p>
        </w:tc>
        <w:tc>
          <w:tcPr>
            <w:tcW w:w="171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-2 151</w:t>
            </w:r>
          </w:p>
        </w:tc>
        <w:tc>
          <w:tcPr>
            <w:tcW w:w="1617"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-24,3 %</w:t>
            </w:r>
          </w:p>
        </w:tc>
      </w:tr>
      <w:tr>
        <w:trPr>
          <w:trHeight w:val="300"/>
          <w:jc w:val="center"/>
        </w:trPr>
        <w:tc>
          <w:tcPr>
            <w:tcW w:w="1856" w:type="dxa"/>
            <w:tcBorders>
              <w:top w:val="nil"/>
              <w:left w:val="single" w:sz="8" w:space="0" w:color="auto"/>
              <w:bottom w:val="single" w:sz="4" w:space="0" w:color="auto"/>
              <w:right w:val="nil"/>
            </w:tcBorders>
            <w:shd w:val="clear" w:color="000000" w:fill="D9D9D9"/>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Pologne</w:t>
            </w:r>
          </w:p>
        </w:tc>
        <w:tc>
          <w:tcPr>
            <w:tcW w:w="1458" w:type="dxa"/>
            <w:tcBorders>
              <w:top w:val="nil"/>
              <w:left w:val="single" w:sz="8" w:space="0" w:color="auto"/>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888 111</w:t>
            </w:r>
          </w:p>
        </w:tc>
        <w:tc>
          <w:tcPr>
            <w:tcW w:w="1437"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627 384</w:t>
            </w:r>
          </w:p>
        </w:tc>
        <w:tc>
          <w:tcPr>
            <w:tcW w:w="171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-260 727</w:t>
            </w:r>
          </w:p>
        </w:tc>
        <w:tc>
          <w:tcPr>
            <w:tcW w:w="1617"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-29,4 %</w:t>
            </w:r>
          </w:p>
        </w:tc>
      </w:tr>
      <w:tr>
        <w:trPr>
          <w:trHeight w:val="300"/>
          <w:jc w:val="center"/>
        </w:trPr>
        <w:tc>
          <w:tcPr>
            <w:tcW w:w="1856" w:type="dxa"/>
            <w:tcBorders>
              <w:top w:val="nil"/>
              <w:left w:val="single" w:sz="8" w:space="0" w:color="auto"/>
              <w:bottom w:val="single" w:sz="4" w:space="0" w:color="auto"/>
              <w:right w:val="nil"/>
            </w:tcBorders>
            <w:shd w:val="clear" w:color="000000" w:fill="D9D9D9"/>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Portugal</w:t>
            </w:r>
          </w:p>
        </w:tc>
        <w:tc>
          <w:tcPr>
            <w:tcW w:w="1458" w:type="dxa"/>
            <w:tcBorders>
              <w:top w:val="nil"/>
              <w:left w:val="single" w:sz="8" w:space="0" w:color="auto"/>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631</w:t>
            </w:r>
          </w:p>
        </w:tc>
        <w:tc>
          <w:tcPr>
            <w:tcW w:w="1437"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1 522</w:t>
            </w:r>
          </w:p>
        </w:tc>
        <w:tc>
          <w:tcPr>
            <w:tcW w:w="171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891</w:t>
            </w:r>
          </w:p>
        </w:tc>
        <w:tc>
          <w:tcPr>
            <w:tcW w:w="1617"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141,2 %</w:t>
            </w:r>
          </w:p>
        </w:tc>
      </w:tr>
      <w:tr>
        <w:trPr>
          <w:trHeight w:val="300"/>
          <w:jc w:val="center"/>
        </w:trPr>
        <w:tc>
          <w:tcPr>
            <w:tcW w:w="1856" w:type="dxa"/>
            <w:tcBorders>
              <w:top w:val="nil"/>
              <w:left w:val="single" w:sz="8" w:space="0" w:color="auto"/>
              <w:bottom w:val="single" w:sz="4" w:space="0" w:color="auto"/>
              <w:right w:val="nil"/>
            </w:tcBorders>
            <w:shd w:val="clear" w:color="000000" w:fill="D9D9D9"/>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Roumanie</w:t>
            </w:r>
          </w:p>
        </w:tc>
        <w:tc>
          <w:tcPr>
            <w:tcW w:w="1458" w:type="dxa"/>
            <w:tcBorders>
              <w:top w:val="nil"/>
              <w:left w:val="single" w:sz="8" w:space="0" w:color="auto"/>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8 135</w:t>
            </w:r>
          </w:p>
        </w:tc>
        <w:tc>
          <w:tcPr>
            <w:tcW w:w="1437"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13 144</w:t>
            </w:r>
          </w:p>
        </w:tc>
        <w:tc>
          <w:tcPr>
            <w:tcW w:w="171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5 009</w:t>
            </w:r>
          </w:p>
        </w:tc>
        <w:tc>
          <w:tcPr>
            <w:tcW w:w="1617"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61,6 %</w:t>
            </w:r>
          </w:p>
        </w:tc>
      </w:tr>
      <w:tr>
        <w:trPr>
          <w:trHeight w:val="300"/>
          <w:jc w:val="center"/>
        </w:trPr>
        <w:tc>
          <w:tcPr>
            <w:tcW w:w="1856" w:type="dxa"/>
            <w:tcBorders>
              <w:top w:val="nil"/>
              <w:left w:val="single" w:sz="8" w:space="0" w:color="auto"/>
              <w:bottom w:val="single" w:sz="4" w:space="0" w:color="auto"/>
              <w:right w:val="nil"/>
            </w:tcBorders>
            <w:shd w:val="clear" w:color="000000" w:fill="D9D9D9"/>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Slovaquie</w:t>
            </w:r>
          </w:p>
        </w:tc>
        <w:tc>
          <w:tcPr>
            <w:tcW w:w="1458" w:type="dxa"/>
            <w:tcBorders>
              <w:top w:val="nil"/>
              <w:left w:val="single" w:sz="8" w:space="0" w:color="auto"/>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16 211</w:t>
            </w:r>
          </w:p>
        </w:tc>
        <w:tc>
          <w:tcPr>
            <w:tcW w:w="1437"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18 760</w:t>
            </w:r>
          </w:p>
        </w:tc>
        <w:tc>
          <w:tcPr>
            <w:tcW w:w="171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2 549</w:t>
            </w:r>
          </w:p>
        </w:tc>
        <w:tc>
          <w:tcPr>
            <w:tcW w:w="1617"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15,7 %</w:t>
            </w:r>
          </w:p>
        </w:tc>
      </w:tr>
      <w:tr>
        <w:trPr>
          <w:trHeight w:val="300"/>
          <w:jc w:val="center"/>
        </w:trPr>
        <w:tc>
          <w:tcPr>
            <w:tcW w:w="1856" w:type="dxa"/>
            <w:tcBorders>
              <w:top w:val="nil"/>
              <w:left w:val="single" w:sz="8" w:space="0" w:color="auto"/>
              <w:bottom w:val="single" w:sz="4" w:space="0" w:color="auto"/>
              <w:right w:val="nil"/>
            </w:tcBorders>
            <w:shd w:val="clear" w:color="000000" w:fill="D9D9D9"/>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Slovénie</w:t>
            </w:r>
          </w:p>
        </w:tc>
        <w:tc>
          <w:tcPr>
            <w:tcW w:w="1458" w:type="dxa"/>
            <w:tcBorders>
              <w:top w:val="nil"/>
              <w:left w:val="single" w:sz="8" w:space="0" w:color="auto"/>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5 113</w:t>
            </w:r>
          </w:p>
        </w:tc>
        <w:tc>
          <w:tcPr>
            <w:tcW w:w="1437"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4 945</w:t>
            </w:r>
          </w:p>
        </w:tc>
        <w:tc>
          <w:tcPr>
            <w:tcW w:w="171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-168</w:t>
            </w:r>
          </w:p>
        </w:tc>
        <w:tc>
          <w:tcPr>
            <w:tcW w:w="1617"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-3,3 %</w:t>
            </w:r>
          </w:p>
        </w:tc>
      </w:tr>
      <w:tr>
        <w:trPr>
          <w:trHeight w:val="300"/>
          <w:jc w:val="center"/>
        </w:trPr>
        <w:tc>
          <w:tcPr>
            <w:tcW w:w="1856" w:type="dxa"/>
            <w:tcBorders>
              <w:top w:val="nil"/>
              <w:left w:val="single" w:sz="8" w:space="0" w:color="auto"/>
              <w:bottom w:val="single" w:sz="4" w:space="0" w:color="auto"/>
              <w:right w:val="nil"/>
            </w:tcBorders>
            <w:shd w:val="clear" w:color="000000" w:fill="D9D9D9"/>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Espagne</w:t>
            </w:r>
          </w:p>
        </w:tc>
        <w:tc>
          <w:tcPr>
            <w:tcW w:w="1458" w:type="dxa"/>
            <w:tcBorders>
              <w:top w:val="nil"/>
              <w:left w:val="single" w:sz="8" w:space="0" w:color="auto"/>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723 250</w:t>
            </w:r>
          </w:p>
        </w:tc>
        <w:tc>
          <w:tcPr>
            <w:tcW w:w="1437"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654 392</w:t>
            </w:r>
          </w:p>
        </w:tc>
        <w:tc>
          <w:tcPr>
            <w:tcW w:w="171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-68 858</w:t>
            </w:r>
          </w:p>
        </w:tc>
        <w:tc>
          <w:tcPr>
            <w:tcW w:w="1617"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-9,5 %</w:t>
            </w:r>
          </w:p>
        </w:tc>
      </w:tr>
      <w:tr>
        <w:trPr>
          <w:trHeight w:val="300"/>
          <w:jc w:val="center"/>
        </w:trPr>
        <w:tc>
          <w:tcPr>
            <w:tcW w:w="1856" w:type="dxa"/>
            <w:tcBorders>
              <w:top w:val="nil"/>
              <w:left w:val="single" w:sz="8" w:space="0" w:color="auto"/>
              <w:bottom w:val="single" w:sz="4" w:space="0" w:color="auto"/>
              <w:right w:val="nil"/>
            </w:tcBorders>
            <w:shd w:val="clear" w:color="000000" w:fill="D9D9D9"/>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Suède</w:t>
            </w:r>
          </w:p>
        </w:tc>
        <w:tc>
          <w:tcPr>
            <w:tcW w:w="1458" w:type="dxa"/>
            <w:tcBorders>
              <w:top w:val="nil"/>
              <w:left w:val="single" w:sz="8" w:space="0" w:color="auto"/>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53 527</w:t>
            </w:r>
          </w:p>
        </w:tc>
        <w:tc>
          <w:tcPr>
            <w:tcW w:w="1437"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45 417</w:t>
            </w:r>
          </w:p>
        </w:tc>
        <w:tc>
          <w:tcPr>
            <w:tcW w:w="171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-8 110</w:t>
            </w:r>
          </w:p>
        </w:tc>
        <w:tc>
          <w:tcPr>
            <w:tcW w:w="1617"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-15,2 %</w:t>
            </w:r>
          </w:p>
        </w:tc>
      </w:tr>
      <w:tr>
        <w:trPr>
          <w:trHeight w:val="315"/>
          <w:jc w:val="center"/>
        </w:trPr>
        <w:tc>
          <w:tcPr>
            <w:tcW w:w="1856" w:type="dxa"/>
            <w:tcBorders>
              <w:top w:val="nil"/>
              <w:left w:val="single" w:sz="8" w:space="0" w:color="auto"/>
              <w:bottom w:val="nil"/>
              <w:right w:val="nil"/>
            </w:tcBorders>
            <w:shd w:val="clear" w:color="000000" w:fill="D9D9D9"/>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Royaume-Uni</w:t>
            </w:r>
          </w:p>
        </w:tc>
        <w:tc>
          <w:tcPr>
            <w:tcW w:w="1458" w:type="dxa"/>
            <w:tcBorders>
              <w:top w:val="nil"/>
              <w:left w:val="single" w:sz="8" w:space="0" w:color="auto"/>
              <w:bottom w:val="single" w:sz="8"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292 838</w:t>
            </w:r>
          </w:p>
        </w:tc>
        <w:tc>
          <w:tcPr>
            <w:tcW w:w="1437" w:type="dxa"/>
            <w:tcBorders>
              <w:top w:val="nil"/>
              <w:left w:val="nil"/>
              <w:bottom w:val="single" w:sz="8"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265 535</w:t>
            </w:r>
          </w:p>
        </w:tc>
        <w:tc>
          <w:tcPr>
            <w:tcW w:w="1716" w:type="dxa"/>
            <w:tcBorders>
              <w:top w:val="nil"/>
              <w:left w:val="nil"/>
              <w:bottom w:val="single" w:sz="8"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-27 303</w:t>
            </w:r>
          </w:p>
        </w:tc>
        <w:tc>
          <w:tcPr>
            <w:tcW w:w="1617" w:type="dxa"/>
            <w:tcBorders>
              <w:top w:val="nil"/>
              <w:left w:val="nil"/>
              <w:bottom w:val="single" w:sz="8"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-9,3 %</w:t>
            </w:r>
          </w:p>
        </w:tc>
      </w:tr>
      <w:tr>
        <w:trPr>
          <w:trHeight w:val="315"/>
          <w:jc w:val="center"/>
        </w:trPr>
        <w:tc>
          <w:tcPr>
            <w:tcW w:w="1856"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Totaux</w:t>
            </w:r>
          </w:p>
        </w:tc>
        <w:tc>
          <w:tcPr>
            <w:tcW w:w="1458" w:type="dxa"/>
            <w:tcBorders>
              <w:top w:val="nil"/>
              <w:left w:val="nil"/>
              <w:bottom w:val="single" w:sz="8" w:space="0" w:color="auto"/>
              <w:right w:val="single" w:sz="4" w:space="0" w:color="auto"/>
            </w:tcBorders>
            <w:shd w:val="clear" w:color="000000" w:fill="D9D9D9"/>
            <w:noWrap/>
            <w:vAlign w:val="bottom"/>
            <w:hideMark/>
          </w:tcPr>
          <w:p>
            <w:pPr>
              <w:spacing w:after="0" w:line="240" w:lineRule="auto"/>
              <w:jc w:val="right"/>
              <w:rPr>
                <w:rFonts w:ascii="Times New Roman" w:eastAsia="Times New Roman" w:hAnsi="Times New Roman" w:cs="Times New Roman"/>
                <w:b/>
                <w:bCs/>
                <w:noProof/>
                <w:color w:val="000000"/>
              </w:rPr>
            </w:pPr>
            <w:r>
              <w:rPr>
                <w:rFonts w:ascii="Times New Roman" w:hAnsi="Times New Roman"/>
                <w:b/>
                <w:bCs/>
                <w:noProof/>
              </w:rPr>
              <w:t>5 584 164</w:t>
            </w:r>
          </w:p>
        </w:tc>
        <w:tc>
          <w:tcPr>
            <w:tcW w:w="1437" w:type="dxa"/>
            <w:tcBorders>
              <w:top w:val="nil"/>
              <w:left w:val="nil"/>
              <w:bottom w:val="single" w:sz="8" w:space="0" w:color="auto"/>
              <w:right w:val="single" w:sz="4" w:space="0" w:color="auto"/>
            </w:tcBorders>
            <w:shd w:val="clear" w:color="000000" w:fill="D9D9D9"/>
            <w:noWrap/>
            <w:vAlign w:val="bottom"/>
            <w:hideMark/>
          </w:tcPr>
          <w:p>
            <w:pPr>
              <w:spacing w:after="0" w:line="240" w:lineRule="auto"/>
              <w:jc w:val="right"/>
              <w:rPr>
                <w:rFonts w:ascii="Times New Roman" w:eastAsia="Times New Roman" w:hAnsi="Times New Roman" w:cs="Times New Roman"/>
                <w:b/>
                <w:bCs/>
                <w:noProof/>
                <w:color w:val="000000"/>
              </w:rPr>
            </w:pPr>
            <w:r>
              <w:rPr>
                <w:rFonts w:ascii="Times New Roman" w:hAnsi="Times New Roman"/>
                <w:b/>
                <w:bCs/>
                <w:noProof/>
              </w:rPr>
              <w:t>5 029 763</w:t>
            </w:r>
          </w:p>
        </w:tc>
        <w:tc>
          <w:tcPr>
            <w:tcW w:w="1716" w:type="dxa"/>
            <w:tcBorders>
              <w:top w:val="nil"/>
              <w:left w:val="nil"/>
              <w:bottom w:val="single" w:sz="8" w:space="0" w:color="auto"/>
              <w:right w:val="single" w:sz="4" w:space="0" w:color="auto"/>
            </w:tcBorders>
            <w:shd w:val="clear" w:color="000000" w:fill="D9D9D9"/>
            <w:noWrap/>
            <w:vAlign w:val="bottom"/>
            <w:hideMark/>
          </w:tcPr>
          <w:p>
            <w:pPr>
              <w:spacing w:after="0" w:line="240" w:lineRule="auto"/>
              <w:jc w:val="right"/>
              <w:rPr>
                <w:rFonts w:ascii="Times New Roman" w:eastAsia="Times New Roman" w:hAnsi="Times New Roman" w:cs="Times New Roman"/>
                <w:b/>
                <w:bCs/>
                <w:noProof/>
                <w:color w:val="000000"/>
              </w:rPr>
            </w:pPr>
            <w:r>
              <w:rPr>
                <w:rFonts w:ascii="Times New Roman" w:hAnsi="Times New Roman"/>
                <w:b/>
                <w:bCs/>
                <w:noProof/>
              </w:rPr>
              <w:t>-554 401</w:t>
            </w:r>
          </w:p>
        </w:tc>
        <w:tc>
          <w:tcPr>
            <w:tcW w:w="1617" w:type="dxa"/>
            <w:tcBorders>
              <w:top w:val="nil"/>
              <w:left w:val="nil"/>
              <w:bottom w:val="single" w:sz="8" w:space="0" w:color="auto"/>
              <w:right w:val="single" w:sz="8" w:space="0" w:color="auto"/>
            </w:tcBorders>
            <w:shd w:val="clear" w:color="000000" w:fill="D9D9D9"/>
            <w:noWrap/>
            <w:vAlign w:val="bottom"/>
            <w:hideMark/>
          </w:tcPr>
          <w:p>
            <w:pPr>
              <w:spacing w:after="0" w:line="240" w:lineRule="auto"/>
              <w:jc w:val="right"/>
              <w:rPr>
                <w:rFonts w:ascii="Times New Roman" w:eastAsia="Times New Roman" w:hAnsi="Times New Roman" w:cs="Times New Roman"/>
                <w:b/>
                <w:bCs/>
                <w:noProof/>
                <w:color w:val="000000"/>
              </w:rPr>
            </w:pPr>
            <w:r>
              <w:rPr>
                <w:rFonts w:ascii="Times New Roman" w:hAnsi="Times New Roman"/>
                <w:b/>
                <w:bCs/>
                <w:noProof/>
              </w:rPr>
              <w:t>-9,9 %</w:t>
            </w:r>
          </w:p>
        </w:tc>
      </w:tr>
    </w:tbl>
    <w:p>
      <w:pPr>
        <w:spacing w:before="120" w:after="120" w:line="240" w:lineRule="auto"/>
        <w:jc w:val="both"/>
        <w:rPr>
          <w:rFonts w:ascii="Times New Roman" w:eastAsia="Times New Roman" w:hAnsi="Times New Roman"/>
          <w:noProof/>
          <w:sz w:val="24"/>
          <w:szCs w:val="24"/>
        </w:rPr>
      </w:pPr>
    </w:p>
    <w:p>
      <w:pPr>
        <w:spacing w:before="120" w:after="120" w:line="240" w:lineRule="auto"/>
        <w:jc w:val="both"/>
        <w:rPr>
          <w:rFonts w:ascii="Times New Roman" w:eastAsia="Times New Roman" w:hAnsi="Times New Roman"/>
          <w:noProof/>
          <w:sz w:val="24"/>
          <w:szCs w:val="24"/>
        </w:rPr>
      </w:pPr>
      <w:r>
        <w:rPr>
          <w:rFonts w:ascii="Times New Roman" w:hAnsi="Times New Roman"/>
          <w:noProof/>
        </w:rPr>
        <w:t xml:space="preserve">Au cours de la période 2015-2016, dix-huit États membres ont réalisé moins de contrôles que sur la période 2013-2014. Les baisses observées s’échelonnent de 1 % pour la Croatie à </w:t>
      </w:r>
      <w:r>
        <w:rPr>
          <w:rFonts w:ascii="Times New Roman" w:hAnsi="Times New Roman"/>
          <w:b/>
          <w:noProof/>
        </w:rPr>
        <w:t>68 % pour la Grèce</w:t>
      </w:r>
      <w:r>
        <w:rPr>
          <w:rFonts w:ascii="Times New Roman" w:hAnsi="Times New Roman"/>
          <w:noProof/>
        </w:rPr>
        <w:t xml:space="preserve">. Les autres États membres ayant enregistré une réduction significative du nombre de contrôles sont l’Italie (64 %), la Belgique (46 %), le Luxembourg (45 %) et la Tchéquie (35 %). D’après les explications avancées par les États membres, des restrictions financières ainsi qu’une pénurie de ressources humaines ou une réorganisation des compétences sont à l’origine de la diminution des contrôles. En outre, des modifications apportées à la législation nationale et aux procédures administratives internes ont également eu des répercussions sur les activités d’exécution. </w:t>
      </w:r>
    </w:p>
    <w:p>
      <w:pPr>
        <w:spacing w:before="120" w:after="120" w:line="240" w:lineRule="auto"/>
        <w:jc w:val="both"/>
        <w:rPr>
          <w:rFonts w:ascii="Times New Roman" w:eastAsia="Times New Roman" w:hAnsi="Times New Roman"/>
          <w:noProof/>
          <w:sz w:val="24"/>
          <w:szCs w:val="24"/>
        </w:rPr>
      </w:pPr>
      <w:r>
        <w:rPr>
          <w:rFonts w:ascii="Times New Roman" w:hAnsi="Times New Roman"/>
          <w:noProof/>
        </w:rPr>
        <w:t xml:space="preserve">Dix États membres ont en revanche enregistré une augmentation du nombre de contrôles au cours de la période 2015-2016. Si cette hausse ne s’élève qu’à 1,2 % pour l’Allemagne, elle atteint 122 % pour l’Irlande, 141 % pour le Portugal et 429 % pour Chypre. Il convient cependant de noter que dans le cas de Chypre, les données communiquées pour la période de rapport 2013-2014 avaient établi un faible niveau de référence. Le pourcentage d’augmentation est donc à mettre en perspective. En ce qui concerne l’Irlande, la hausse est due au fait que les autorités nationales ont augmenté le nombre d’inspecteurs qui réalisent les contrôles techniques routiers.  </w:t>
      </w:r>
    </w:p>
    <w:p>
      <w:pPr>
        <w:spacing w:before="120" w:after="120" w:line="240" w:lineRule="auto"/>
        <w:jc w:val="both"/>
        <w:rPr>
          <w:rFonts w:ascii="Times New Roman" w:eastAsia="Times New Roman" w:hAnsi="Times New Roman"/>
          <w:noProof/>
          <w:sz w:val="24"/>
          <w:szCs w:val="24"/>
        </w:rPr>
      </w:pPr>
    </w:p>
    <w:p>
      <w:pPr>
        <w:pStyle w:val="Heading2"/>
        <w:rPr>
          <w:noProof/>
        </w:rPr>
      </w:pPr>
      <w:bookmarkStart w:id="8" w:name="_Toc33174486"/>
      <w:r>
        <w:rPr>
          <w:noProof/>
        </w:rPr>
        <w:t xml:space="preserve">5.2. </w:t>
      </w:r>
      <w:r>
        <w:rPr>
          <w:noProof/>
        </w:rPr>
        <w:tab/>
        <w:t>Origine des véhicules contrôlés</w:t>
      </w:r>
      <w:bookmarkEnd w:id="8"/>
    </w:p>
    <w:p>
      <w:pPr>
        <w:spacing w:before="120" w:after="120" w:line="240" w:lineRule="auto"/>
        <w:jc w:val="both"/>
        <w:rPr>
          <w:rFonts w:ascii="Times New Roman" w:eastAsia="Times New Roman" w:hAnsi="Times New Roman"/>
          <w:noProof/>
          <w:sz w:val="24"/>
          <w:szCs w:val="24"/>
        </w:rPr>
      </w:pPr>
      <w:r>
        <w:rPr>
          <w:rFonts w:ascii="Times New Roman" w:hAnsi="Times New Roman"/>
          <w:noProof/>
        </w:rPr>
        <w:t xml:space="preserve">Le tableau 2 ci-dessous présente une vue d’ensemble de l’origine des véhicules contrôlés par les États membres. Comme cela a été mentionné précédemment, Chypre est le seul pays à n’avoir transmis aucune donnée concernant les contrôles effectués sur des véhicules «étrangers», c’est-à-dire immatriculés dans un autre État membre ou en dehors de l’Union. Vingt-sept États membres ont communiqué des données portant sur les contrôles réalisés sur les véhicules immatriculés dans un autre État membre, et treize d’entre eux ont également procédé à des contrôles sur des véhicules immatriculés en dehors de l’Union. </w:t>
      </w:r>
    </w:p>
    <w:p>
      <w:pPr>
        <w:spacing w:before="120" w:after="120" w:line="240" w:lineRule="auto"/>
        <w:jc w:val="both"/>
        <w:rPr>
          <w:rFonts w:ascii="Times New Roman" w:eastAsia="Times New Roman" w:hAnsi="Times New Roman"/>
          <w:noProof/>
          <w:sz w:val="24"/>
          <w:szCs w:val="24"/>
        </w:rPr>
      </w:pPr>
      <w:r>
        <w:rPr>
          <w:rFonts w:ascii="Times New Roman" w:hAnsi="Times New Roman"/>
          <w:noProof/>
        </w:rPr>
        <w:t>Parmi les principales informations présentées dans le tableau 2, on relève que 62 % des contrôles effectués au cours de la période 2015-2016 concernent des véhicules nationaux, 33 % des véhicules immatriculés dans un autre État membre, et 5 % des véhicules immatriculés en dehors de l’Union.</w:t>
      </w:r>
    </w:p>
    <w:p>
      <w:pPr>
        <w:spacing w:before="120" w:after="120" w:line="240" w:lineRule="auto"/>
        <w:jc w:val="both"/>
        <w:rPr>
          <w:rFonts w:ascii="Times New Roman" w:eastAsia="Times New Roman" w:hAnsi="Times New Roman"/>
          <w:b/>
          <w:noProof/>
        </w:rPr>
      </w:pPr>
      <w:r>
        <w:rPr>
          <w:rFonts w:ascii="Times New Roman" w:hAnsi="Times New Roman"/>
          <w:noProof/>
        </w:rPr>
        <w:t>Il convient également de noter qu’au Luxembourg, 15,8 % seulement des contrôles signalés concernent des véhicules nationaux; en Pologne, où 51 % des véhicules contrôlés par les autorités nationales étaient immatriculés dans le pays, on constate que les véhicules étrangers soumis à un contrôle étaient deux fois plus nombreux à être immatriculés en dehors de l’Union que dans d’autres États membres. On peut supposer que ces résultats s’expliquent notamment par la situation géographique de ces États membres.</w:t>
      </w:r>
    </w:p>
    <w:p>
      <w:pPr>
        <w:spacing w:after="0" w:line="240" w:lineRule="auto"/>
        <w:jc w:val="center"/>
        <w:rPr>
          <w:rFonts w:ascii="Times New Roman" w:eastAsia="Times New Roman" w:hAnsi="Times New Roman"/>
          <w:b/>
          <w:noProof/>
        </w:rPr>
      </w:pPr>
    </w:p>
    <w:p>
      <w:pPr>
        <w:spacing w:after="0" w:line="240" w:lineRule="auto"/>
        <w:jc w:val="center"/>
        <w:rPr>
          <w:rFonts w:ascii="Times New Roman" w:eastAsia="Times New Roman" w:hAnsi="Times New Roman"/>
          <w:b/>
          <w:noProof/>
        </w:rPr>
      </w:pPr>
      <w:r>
        <w:rPr>
          <w:rFonts w:ascii="Times New Roman" w:hAnsi="Times New Roman"/>
          <w:b/>
          <w:noProof/>
        </w:rPr>
        <w:t>Tableau 2: Origine des véhicules contrôlés</w:t>
      </w:r>
    </w:p>
    <w:p>
      <w:pPr>
        <w:spacing w:after="0" w:line="240" w:lineRule="auto"/>
        <w:rPr>
          <w:rFonts w:ascii="Times New Roman" w:eastAsia="Times New Roman" w:hAnsi="Times New Roman"/>
          <w:noProof/>
          <w:sz w:val="24"/>
          <w:szCs w:val="24"/>
        </w:rPr>
      </w:pPr>
    </w:p>
    <w:tbl>
      <w:tblPr>
        <w:tblW w:w="8276" w:type="dxa"/>
        <w:jc w:val="center"/>
        <w:tblLook w:val="04A0" w:firstRow="1" w:lastRow="0" w:firstColumn="1" w:lastColumn="0" w:noHBand="0" w:noVBand="1"/>
      </w:tblPr>
      <w:tblGrid>
        <w:gridCol w:w="1800"/>
        <w:gridCol w:w="1475"/>
        <w:gridCol w:w="1475"/>
        <w:gridCol w:w="1500"/>
        <w:gridCol w:w="1096"/>
        <w:gridCol w:w="1240"/>
      </w:tblGrid>
      <w:tr>
        <w:trPr>
          <w:trHeight w:val="915"/>
          <w:jc w:val="center"/>
        </w:trPr>
        <w:tc>
          <w:tcPr>
            <w:tcW w:w="1800" w:type="dxa"/>
            <w:tcBorders>
              <w:top w:val="single" w:sz="8" w:space="0" w:color="auto"/>
              <w:left w:val="single" w:sz="8" w:space="0" w:color="auto"/>
              <w:bottom w:val="single" w:sz="8" w:space="0" w:color="auto"/>
              <w:right w:val="single" w:sz="8" w:space="0" w:color="auto"/>
            </w:tcBorders>
            <w:shd w:val="clear" w:color="000000" w:fill="BFBFBF"/>
            <w:hideMark/>
          </w:tcPr>
          <w:p>
            <w:pPr>
              <w:spacing w:after="0" w:line="240" w:lineRule="auto"/>
              <w:jc w:val="center"/>
              <w:rPr>
                <w:rFonts w:ascii="Times New Roman" w:eastAsia="Times New Roman" w:hAnsi="Times New Roman" w:cs="Times New Roman"/>
                <w:b/>
                <w:bCs/>
                <w:noProof/>
                <w:color w:val="000000"/>
              </w:rPr>
            </w:pPr>
            <w:r>
              <w:rPr>
                <w:rFonts w:ascii="Times New Roman" w:hAnsi="Times New Roman"/>
                <w:b/>
                <w:bCs/>
                <w:noProof/>
              </w:rPr>
              <w:t>État membre (EM) déclarant</w:t>
            </w:r>
          </w:p>
        </w:tc>
        <w:tc>
          <w:tcPr>
            <w:tcW w:w="1280" w:type="dxa"/>
            <w:tcBorders>
              <w:top w:val="single" w:sz="8" w:space="0" w:color="auto"/>
              <w:left w:val="nil"/>
              <w:bottom w:val="single" w:sz="8" w:space="0" w:color="auto"/>
              <w:right w:val="single" w:sz="4" w:space="0" w:color="auto"/>
            </w:tcBorders>
            <w:shd w:val="clear" w:color="000000" w:fill="BFBFBF"/>
            <w:hideMark/>
          </w:tcPr>
          <w:p>
            <w:pPr>
              <w:spacing w:after="0" w:line="240" w:lineRule="auto"/>
              <w:jc w:val="center"/>
              <w:rPr>
                <w:rFonts w:ascii="Times New Roman" w:eastAsia="Times New Roman" w:hAnsi="Times New Roman" w:cs="Times New Roman"/>
                <w:b/>
                <w:bCs/>
                <w:noProof/>
                <w:color w:val="000000"/>
              </w:rPr>
            </w:pPr>
            <w:r>
              <w:rPr>
                <w:rFonts w:ascii="Times New Roman" w:hAnsi="Times New Roman"/>
                <w:b/>
                <w:bCs/>
                <w:noProof/>
              </w:rPr>
              <w:t>Immatriculés dans l’EM déclarant</w:t>
            </w:r>
          </w:p>
        </w:tc>
        <w:tc>
          <w:tcPr>
            <w:tcW w:w="1360" w:type="dxa"/>
            <w:tcBorders>
              <w:top w:val="single" w:sz="8" w:space="0" w:color="auto"/>
              <w:left w:val="nil"/>
              <w:bottom w:val="single" w:sz="8" w:space="0" w:color="auto"/>
              <w:right w:val="single" w:sz="4" w:space="0" w:color="auto"/>
            </w:tcBorders>
            <w:shd w:val="clear" w:color="000000" w:fill="BFBFBF"/>
            <w:hideMark/>
          </w:tcPr>
          <w:p>
            <w:pPr>
              <w:spacing w:after="0" w:line="240" w:lineRule="auto"/>
              <w:jc w:val="center"/>
              <w:rPr>
                <w:rFonts w:ascii="Times New Roman" w:eastAsia="Times New Roman" w:hAnsi="Times New Roman" w:cs="Times New Roman"/>
                <w:b/>
                <w:bCs/>
                <w:noProof/>
                <w:color w:val="000000"/>
              </w:rPr>
            </w:pPr>
            <w:r>
              <w:rPr>
                <w:rFonts w:ascii="Times New Roman" w:hAnsi="Times New Roman"/>
                <w:b/>
                <w:bCs/>
                <w:noProof/>
              </w:rPr>
              <w:t>Immatriculés dans un autre EM</w:t>
            </w:r>
          </w:p>
        </w:tc>
        <w:tc>
          <w:tcPr>
            <w:tcW w:w="1500" w:type="dxa"/>
            <w:tcBorders>
              <w:top w:val="single" w:sz="8" w:space="0" w:color="auto"/>
              <w:left w:val="nil"/>
              <w:bottom w:val="single" w:sz="8" w:space="0" w:color="auto"/>
              <w:right w:val="single" w:sz="4" w:space="0" w:color="auto"/>
            </w:tcBorders>
            <w:shd w:val="clear" w:color="000000" w:fill="BFBFBF"/>
            <w:hideMark/>
          </w:tcPr>
          <w:p>
            <w:pPr>
              <w:spacing w:after="0" w:line="240" w:lineRule="auto"/>
              <w:jc w:val="center"/>
              <w:rPr>
                <w:rFonts w:ascii="Times New Roman" w:eastAsia="Times New Roman" w:hAnsi="Times New Roman" w:cs="Times New Roman"/>
                <w:b/>
                <w:bCs/>
                <w:noProof/>
                <w:color w:val="000000"/>
              </w:rPr>
            </w:pPr>
            <w:r>
              <w:rPr>
                <w:rFonts w:ascii="Times New Roman" w:hAnsi="Times New Roman"/>
                <w:b/>
                <w:bCs/>
                <w:noProof/>
              </w:rPr>
              <w:t>Immatriculés en dehors de l’UE</w:t>
            </w:r>
          </w:p>
        </w:tc>
        <w:tc>
          <w:tcPr>
            <w:tcW w:w="1096" w:type="dxa"/>
            <w:tcBorders>
              <w:top w:val="single" w:sz="8" w:space="0" w:color="auto"/>
              <w:left w:val="nil"/>
              <w:bottom w:val="single" w:sz="8" w:space="0" w:color="auto"/>
              <w:right w:val="single" w:sz="4" w:space="0" w:color="auto"/>
            </w:tcBorders>
            <w:shd w:val="clear" w:color="000000" w:fill="BFBFBF"/>
            <w:hideMark/>
          </w:tcPr>
          <w:p>
            <w:pPr>
              <w:spacing w:after="0" w:line="240" w:lineRule="auto"/>
              <w:jc w:val="center"/>
              <w:rPr>
                <w:rFonts w:ascii="Times New Roman" w:eastAsia="Times New Roman" w:hAnsi="Times New Roman" w:cs="Times New Roman"/>
                <w:b/>
                <w:bCs/>
                <w:noProof/>
                <w:color w:val="000000"/>
              </w:rPr>
            </w:pPr>
            <w:r>
              <w:rPr>
                <w:rFonts w:ascii="Times New Roman" w:hAnsi="Times New Roman"/>
                <w:b/>
                <w:bCs/>
                <w:noProof/>
              </w:rPr>
              <w:t>Total</w:t>
            </w:r>
          </w:p>
        </w:tc>
        <w:tc>
          <w:tcPr>
            <w:tcW w:w="1240" w:type="dxa"/>
            <w:tcBorders>
              <w:top w:val="single" w:sz="8" w:space="0" w:color="auto"/>
              <w:left w:val="nil"/>
              <w:bottom w:val="single" w:sz="8" w:space="0" w:color="auto"/>
              <w:right w:val="single" w:sz="8" w:space="0" w:color="auto"/>
            </w:tcBorders>
            <w:shd w:val="clear" w:color="000000" w:fill="BFBFBF"/>
            <w:hideMark/>
          </w:tcPr>
          <w:p>
            <w:pPr>
              <w:spacing w:after="0" w:line="240" w:lineRule="auto"/>
              <w:jc w:val="center"/>
              <w:rPr>
                <w:rFonts w:ascii="Times New Roman" w:eastAsia="Times New Roman" w:hAnsi="Times New Roman" w:cs="Times New Roman"/>
                <w:b/>
                <w:bCs/>
                <w:noProof/>
                <w:color w:val="000000"/>
              </w:rPr>
            </w:pPr>
            <w:r>
              <w:rPr>
                <w:rFonts w:ascii="Times New Roman" w:hAnsi="Times New Roman"/>
                <w:b/>
                <w:bCs/>
                <w:noProof/>
              </w:rPr>
              <w:t>Véhicules de l’EM déclarant (%)</w:t>
            </w:r>
          </w:p>
        </w:tc>
      </w:tr>
      <w:tr>
        <w:trPr>
          <w:trHeight w:val="300"/>
          <w:jc w:val="center"/>
        </w:trPr>
        <w:tc>
          <w:tcPr>
            <w:tcW w:w="1800"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Autriche</w:t>
            </w:r>
          </w:p>
        </w:tc>
        <w:tc>
          <w:tcPr>
            <w:tcW w:w="128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18 672</w:t>
            </w:r>
          </w:p>
        </w:tc>
        <w:tc>
          <w:tcPr>
            <w:tcW w:w="136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22 188</w:t>
            </w:r>
          </w:p>
        </w:tc>
        <w:tc>
          <w:tcPr>
            <w:tcW w:w="150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1 578</w:t>
            </w:r>
          </w:p>
        </w:tc>
        <w:tc>
          <w:tcPr>
            <w:tcW w:w="109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42 438</w:t>
            </w:r>
          </w:p>
        </w:tc>
        <w:tc>
          <w:tcPr>
            <w:tcW w:w="1240"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44 %</w:t>
            </w:r>
          </w:p>
        </w:tc>
      </w:tr>
      <w:tr>
        <w:trPr>
          <w:trHeight w:val="300"/>
          <w:jc w:val="center"/>
        </w:trPr>
        <w:tc>
          <w:tcPr>
            <w:tcW w:w="1800"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Belgique</w:t>
            </w:r>
          </w:p>
        </w:tc>
        <w:tc>
          <w:tcPr>
            <w:tcW w:w="128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2 918</w:t>
            </w:r>
          </w:p>
        </w:tc>
        <w:tc>
          <w:tcPr>
            <w:tcW w:w="136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6 509</w:t>
            </w:r>
          </w:p>
        </w:tc>
        <w:tc>
          <w:tcPr>
            <w:tcW w:w="150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266</w:t>
            </w:r>
          </w:p>
        </w:tc>
        <w:tc>
          <w:tcPr>
            <w:tcW w:w="109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9 693</w:t>
            </w:r>
          </w:p>
        </w:tc>
        <w:tc>
          <w:tcPr>
            <w:tcW w:w="1240"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30,1 %</w:t>
            </w:r>
          </w:p>
        </w:tc>
      </w:tr>
      <w:tr>
        <w:trPr>
          <w:trHeight w:val="300"/>
          <w:jc w:val="center"/>
        </w:trPr>
        <w:tc>
          <w:tcPr>
            <w:tcW w:w="1800"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Bulgarie</w:t>
            </w:r>
          </w:p>
        </w:tc>
        <w:tc>
          <w:tcPr>
            <w:tcW w:w="128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209 717</w:t>
            </w:r>
          </w:p>
        </w:tc>
        <w:tc>
          <w:tcPr>
            <w:tcW w:w="136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40 016</w:t>
            </w:r>
          </w:p>
        </w:tc>
        <w:tc>
          <w:tcPr>
            <w:tcW w:w="150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783</w:t>
            </w:r>
          </w:p>
        </w:tc>
        <w:tc>
          <w:tcPr>
            <w:tcW w:w="109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250 516</w:t>
            </w:r>
          </w:p>
        </w:tc>
        <w:tc>
          <w:tcPr>
            <w:tcW w:w="1240"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83,7 %</w:t>
            </w:r>
          </w:p>
        </w:tc>
      </w:tr>
      <w:tr>
        <w:trPr>
          <w:trHeight w:val="300"/>
          <w:jc w:val="center"/>
        </w:trPr>
        <w:tc>
          <w:tcPr>
            <w:tcW w:w="1800"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Croatie</w:t>
            </w:r>
          </w:p>
        </w:tc>
        <w:tc>
          <w:tcPr>
            <w:tcW w:w="128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24 511</w:t>
            </w:r>
          </w:p>
        </w:tc>
        <w:tc>
          <w:tcPr>
            <w:tcW w:w="136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4 729</w:t>
            </w:r>
          </w:p>
        </w:tc>
        <w:tc>
          <w:tcPr>
            <w:tcW w:w="150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9 964</w:t>
            </w:r>
          </w:p>
        </w:tc>
        <w:tc>
          <w:tcPr>
            <w:tcW w:w="109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39 204</w:t>
            </w:r>
          </w:p>
        </w:tc>
        <w:tc>
          <w:tcPr>
            <w:tcW w:w="1240"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62,5 %</w:t>
            </w:r>
          </w:p>
        </w:tc>
      </w:tr>
      <w:tr>
        <w:trPr>
          <w:trHeight w:val="300"/>
          <w:jc w:val="center"/>
        </w:trPr>
        <w:tc>
          <w:tcPr>
            <w:tcW w:w="1800"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Chypre</w:t>
            </w:r>
          </w:p>
        </w:tc>
        <w:tc>
          <w:tcPr>
            <w:tcW w:w="128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6 214</w:t>
            </w:r>
          </w:p>
        </w:tc>
        <w:tc>
          <w:tcPr>
            <w:tcW w:w="136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0</w:t>
            </w:r>
          </w:p>
        </w:tc>
        <w:tc>
          <w:tcPr>
            <w:tcW w:w="150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0</w:t>
            </w:r>
          </w:p>
        </w:tc>
        <w:tc>
          <w:tcPr>
            <w:tcW w:w="109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6 214</w:t>
            </w:r>
          </w:p>
        </w:tc>
        <w:tc>
          <w:tcPr>
            <w:tcW w:w="1240"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100 %</w:t>
            </w:r>
          </w:p>
        </w:tc>
      </w:tr>
      <w:tr>
        <w:trPr>
          <w:trHeight w:val="300"/>
          <w:jc w:val="center"/>
        </w:trPr>
        <w:tc>
          <w:tcPr>
            <w:tcW w:w="1800"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Tchéquie</w:t>
            </w:r>
          </w:p>
        </w:tc>
        <w:tc>
          <w:tcPr>
            <w:tcW w:w="128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53 949</w:t>
            </w:r>
          </w:p>
        </w:tc>
        <w:tc>
          <w:tcPr>
            <w:tcW w:w="136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32 370</w:t>
            </w:r>
          </w:p>
        </w:tc>
        <w:tc>
          <w:tcPr>
            <w:tcW w:w="150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2 070</w:t>
            </w:r>
          </w:p>
        </w:tc>
        <w:tc>
          <w:tcPr>
            <w:tcW w:w="109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88 389</w:t>
            </w:r>
          </w:p>
        </w:tc>
        <w:tc>
          <w:tcPr>
            <w:tcW w:w="1240"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61 %</w:t>
            </w:r>
          </w:p>
        </w:tc>
      </w:tr>
      <w:tr>
        <w:trPr>
          <w:trHeight w:val="300"/>
          <w:jc w:val="center"/>
        </w:trPr>
        <w:tc>
          <w:tcPr>
            <w:tcW w:w="1800"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Danemark</w:t>
            </w:r>
          </w:p>
        </w:tc>
        <w:tc>
          <w:tcPr>
            <w:tcW w:w="128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3 175</w:t>
            </w:r>
          </w:p>
        </w:tc>
        <w:tc>
          <w:tcPr>
            <w:tcW w:w="136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553</w:t>
            </w:r>
          </w:p>
        </w:tc>
        <w:tc>
          <w:tcPr>
            <w:tcW w:w="150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25</w:t>
            </w:r>
          </w:p>
        </w:tc>
        <w:tc>
          <w:tcPr>
            <w:tcW w:w="109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3 753</w:t>
            </w:r>
          </w:p>
        </w:tc>
        <w:tc>
          <w:tcPr>
            <w:tcW w:w="1240"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84,6 %</w:t>
            </w:r>
          </w:p>
        </w:tc>
      </w:tr>
      <w:tr>
        <w:trPr>
          <w:trHeight w:val="300"/>
          <w:jc w:val="center"/>
        </w:trPr>
        <w:tc>
          <w:tcPr>
            <w:tcW w:w="1800"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Estonie</w:t>
            </w:r>
          </w:p>
        </w:tc>
        <w:tc>
          <w:tcPr>
            <w:tcW w:w="128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2 581</w:t>
            </w:r>
          </w:p>
        </w:tc>
        <w:tc>
          <w:tcPr>
            <w:tcW w:w="136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92</w:t>
            </w:r>
          </w:p>
        </w:tc>
        <w:tc>
          <w:tcPr>
            <w:tcW w:w="150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95</w:t>
            </w:r>
          </w:p>
        </w:tc>
        <w:tc>
          <w:tcPr>
            <w:tcW w:w="109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2 768</w:t>
            </w:r>
          </w:p>
        </w:tc>
        <w:tc>
          <w:tcPr>
            <w:tcW w:w="1240"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93,2 %</w:t>
            </w:r>
          </w:p>
        </w:tc>
      </w:tr>
      <w:tr>
        <w:trPr>
          <w:trHeight w:val="300"/>
          <w:jc w:val="center"/>
        </w:trPr>
        <w:tc>
          <w:tcPr>
            <w:tcW w:w="1800"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Finlande</w:t>
            </w:r>
          </w:p>
        </w:tc>
        <w:tc>
          <w:tcPr>
            <w:tcW w:w="128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6 646</w:t>
            </w:r>
          </w:p>
        </w:tc>
        <w:tc>
          <w:tcPr>
            <w:tcW w:w="136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1 744</w:t>
            </w:r>
          </w:p>
        </w:tc>
        <w:tc>
          <w:tcPr>
            <w:tcW w:w="150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0</w:t>
            </w:r>
          </w:p>
        </w:tc>
        <w:tc>
          <w:tcPr>
            <w:tcW w:w="109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8 390</w:t>
            </w:r>
          </w:p>
        </w:tc>
        <w:tc>
          <w:tcPr>
            <w:tcW w:w="1240"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79,2 %</w:t>
            </w:r>
          </w:p>
        </w:tc>
      </w:tr>
      <w:tr>
        <w:trPr>
          <w:trHeight w:val="300"/>
          <w:jc w:val="center"/>
        </w:trPr>
        <w:tc>
          <w:tcPr>
            <w:tcW w:w="1800" w:type="dxa"/>
            <w:tcBorders>
              <w:top w:val="nil"/>
              <w:left w:val="single" w:sz="8" w:space="0" w:color="auto"/>
              <w:bottom w:val="single" w:sz="4" w:space="0" w:color="auto"/>
              <w:right w:val="single" w:sz="8" w:space="0" w:color="auto"/>
            </w:tcBorders>
            <w:shd w:val="clear" w:color="auto" w:fill="BFBFBF" w:themeFill="background1" w:themeFillShade="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France</w:t>
            </w:r>
          </w:p>
        </w:tc>
        <w:tc>
          <w:tcPr>
            <w:tcW w:w="128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369 857</w:t>
            </w:r>
          </w:p>
        </w:tc>
        <w:tc>
          <w:tcPr>
            <w:tcW w:w="136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627 035</w:t>
            </w:r>
          </w:p>
        </w:tc>
        <w:tc>
          <w:tcPr>
            <w:tcW w:w="150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0</w:t>
            </w:r>
          </w:p>
        </w:tc>
        <w:tc>
          <w:tcPr>
            <w:tcW w:w="109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996 892</w:t>
            </w:r>
          </w:p>
        </w:tc>
        <w:tc>
          <w:tcPr>
            <w:tcW w:w="1240"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37,1 %</w:t>
            </w:r>
          </w:p>
        </w:tc>
      </w:tr>
      <w:tr>
        <w:trPr>
          <w:trHeight w:val="300"/>
          <w:jc w:val="center"/>
        </w:trPr>
        <w:tc>
          <w:tcPr>
            <w:tcW w:w="1800"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Allemagne</w:t>
            </w:r>
          </w:p>
        </w:tc>
        <w:tc>
          <w:tcPr>
            <w:tcW w:w="128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1 055 997</w:t>
            </w:r>
          </w:p>
        </w:tc>
        <w:tc>
          <w:tcPr>
            <w:tcW w:w="136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525 616</w:t>
            </w:r>
          </w:p>
        </w:tc>
        <w:tc>
          <w:tcPr>
            <w:tcW w:w="150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38 852</w:t>
            </w:r>
          </w:p>
        </w:tc>
        <w:tc>
          <w:tcPr>
            <w:tcW w:w="109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1 620 465</w:t>
            </w:r>
          </w:p>
        </w:tc>
        <w:tc>
          <w:tcPr>
            <w:tcW w:w="1240"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65,2 %</w:t>
            </w:r>
          </w:p>
        </w:tc>
      </w:tr>
      <w:tr>
        <w:trPr>
          <w:trHeight w:val="300"/>
          <w:jc w:val="center"/>
        </w:trPr>
        <w:tc>
          <w:tcPr>
            <w:tcW w:w="1800"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Grèce</w:t>
            </w:r>
          </w:p>
        </w:tc>
        <w:tc>
          <w:tcPr>
            <w:tcW w:w="128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4 465</w:t>
            </w:r>
          </w:p>
        </w:tc>
        <w:tc>
          <w:tcPr>
            <w:tcW w:w="136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930</w:t>
            </w:r>
          </w:p>
        </w:tc>
        <w:tc>
          <w:tcPr>
            <w:tcW w:w="150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0</w:t>
            </w:r>
          </w:p>
        </w:tc>
        <w:tc>
          <w:tcPr>
            <w:tcW w:w="109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5 395</w:t>
            </w:r>
          </w:p>
        </w:tc>
        <w:tc>
          <w:tcPr>
            <w:tcW w:w="1240"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82,8 %</w:t>
            </w:r>
          </w:p>
        </w:tc>
      </w:tr>
      <w:tr>
        <w:trPr>
          <w:trHeight w:val="300"/>
          <w:jc w:val="center"/>
        </w:trPr>
        <w:tc>
          <w:tcPr>
            <w:tcW w:w="1800"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Hongrie</w:t>
            </w:r>
          </w:p>
        </w:tc>
        <w:tc>
          <w:tcPr>
            <w:tcW w:w="128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145 921</w:t>
            </w:r>
          </w:p>
        </w:tc>
        <w:tc>
          <w:tcPr>
            <w:tcW w:w="136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49 984</w:t>
            </w:r>
          </w:p>
        </w:tc>
        <w:tc>
          <w:tcPr>
            <w:tcW w:w="150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0</w:t>
            </w:r>
          </w:p>
        </w:tc>
        <w:tc>
          <w:tcPr>
            <w:tcW w:w="109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195 905</w:t>
            </w:r>
          </w:p>
        </w:tc>
        <w:tc>
          <w:tcPr>
            <w:tcW w:w="1240"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74,5 %</w:t>
            </w:r>
          </w:p>
        </w:tc>
      </w:tr>
      <w:tr>
        <w:trPr>
          <w:trHeight w:val="300"/>
          <w:jc w:val="center"/>
        </w:trPr>
        <w:tc>
          <w:tcPr>
            <w:tcW w:w="1800"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Irlande</w:t>
            </w:r>
          </w:p>
        </w:tc>
        <w:tc>
          <w:tcPr>
            <w:tcW w:w="128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28 754</w:t>
            </w:r>
          </w:p>
        </w:tc>
        <w:tc>
          <w:tcPr>
            <w:tcW w:w="136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1 086</w:t>
            </w:r>
          </w:p>
        </w:tc>
        <w:tc>
          <w:tcPr>
            <w:tcW w:w="150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0</w:t>
            </w:r>
          </w:p>
        </w:tc>
        <w:tc>
          <w:tcPr>
            <w:tcW w:w="109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29 840</w:t>
            </w:r>
          </w:p>
        </w:tc>
        <w:tc>
          <w:tcPr>
            <w:tcW w:w="1240"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96,4 %</w:t>
            </w:r>
          </w:p>
        </w:tc>
      </w:tr>
      <w:tr>
        <w:trPr>
          <w:trHeight w:val="300"/>
          <w:jc w:val="center"/>
        </w:trPr>
        <w:tc>
          <w:tcPr>
            <w:tcW w:w="1800"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Italie</w:t>
            </w:r>
          </w:p>
        </w:tc>
        <w:tc>
          <w:tcPr>
            <w:tcW w:w="128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4 740</w:t>
            </w:r>
          </w:p>
        </w:tc>
        <w:tc>
          <w:tcPr>
            <w:tcW w:w="136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756</w:t>
            </w:r>
          </w:p>
        </w:tc>
        <w:tc>
          <w:tcPr>
            <w:tcW w:w="150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18</w:t>
            </w:r>
          </w:p>
        </w:tc>
        <w:tc>
          <w:tcPr>
            <w:tcW w:w="109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5 514</w:t>
            </w:r>
          </w:p>
        </w:tc>
        <w:tc>
          <w:tcPr>
            <w:tcW w:w="1240"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86 %</w:t>
            </w:r>
          </w:p>
        </w:tc>
      </w:tr>
      <w:tr>
        <w:trPr>
          <w:trHeight w:val="300"/>
          <w:jc w:val="center"/>
        </w:trPr>
        <w:tc>
          <w:tcPr>
            <w:tcW w:w="1800"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Lettonie</w:t>
            </w:r>
          </w:p>
        </w:tc>
        <w:tc>
          <w:tcPr>
            <w:tcW w:w="128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5 739</w:t>
            </w:r>
          </w:p>
        </w:tc>
        <w:tc>
          <w:tcPr>
            <w:tcW w:w="136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2 913</w:t>
            </w:r>
          </w:p>
        </w:tc>
        <w:tc>
          <w:tcPr>
            <w:tcW w:w="150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0</w:t>
            </w:r>
          </w:p>
        </w:tc>
        <w:tc>
          <w:tcPr>
            <w:tcW w:w="109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8 652</w:t>
            </w:r>
          </w:p>
        </w:tc>
        <w:tc>
          <w:tcPr>
            <w:tcW w:w="1240"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66,3 %</w:t>
            </w:r>
          </w:p>
        </w:tc>
      </w:tr>
      <w:tr>
        <w:trPr>
          <w:trHeight w:val="300"/>
          <w:jc w:val="center"/>
        </w:trPr>
        <w:tc>
          <w:tcPr>
            <w:tcW w:w="1800"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Lituanie</w:t>
            </w:r>
          </w:p>
        </w:tc>
        <w:tc>
          <w:tcPr>
            <w:tcW w:w="128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56 237</w:t>
            </w:r>
          </w:p>
        </w:tc>
        <w:tc>
          <w:tcPr>
            <w:tcW w:w="136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14 349</w:t>
            </w:r>
          </w:p>
        </w:tc>
        <w:tc>
          <w:tcPr>
            <w:tcW w:w="150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0</w:t>
            </w:r>
          </w:p>
        </w:tc>
        <w:tc>
          <w:tcPr>
            <w:tcW w:w="109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70 586</w:t>
            </w:r>
          </w:p>
        </w:tc>
        <w:tc>
          <w:tcPr>
            <w:tcW w:w="1240"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79,7 %</w:t>
            </w:r>
          </w:p>
        </w:tc>
      </w:tr>
      <w:tr>
        <w:trPr>
          <w:trHeight w:val="300"/>
          <w:jc w:val="center"/>
        </w:trPr>
        <w:tc>
          <w:tcPr>
            <w:tcW w:w="1800"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Luxembourg</w:t>
            </w:r>
          </w:p>
        </w:tc>
        <w:tc>
          <w:tcPr>
            <w:tcW w:w="128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63</w:t>
            </w:r>
          </w:p>
        </w:tc>
        <w:tc>
          <w:tcPr>
            <w:tcW w:w="136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311</w:t>
            </w:r>
          </w:p>
        </w:tc>
        <w:tc>
          <w:tcPr>
            <w:tcW w:w="150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24</w:t>
            </w:r>
          </w:p>
        </w:tc>
        <w:tc>
          <w:tcPr>
            <w:tcW w:w="109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398</w:t>
            </w:r>
          </w:p>
        </w:tc>
        <w:tc>
          <w:tcPr>
            <w:tcW w:w="1240"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15,8 %</w:t>
            </w:r>
          </w:p>
        </w:tc>
      </w:tr>
      <w:tr>
        <w:trPr>
          <w:trHeight w:val="300"/>
          <w:jc w:val="center"/>
        </w:trPr>
        <w:tc>
          <w:tcPr>
            <w:tcW w:w="1800"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Malte</w:t>
            </w:r>
          </w:p>
        </w:tc>
        <w:tc>
          <w:tcPr>
            <w:tcW w:w="128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6 924</w:t>
            </w:r>
          </w:p>
        </w:tc>
        <w:tc>
          <w:tcPr>
            <w:tcW w:w="136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19</w:t>
            </w:r>
          </w:p>
        </w:tc>
        <w:tc>
          <w:tcPr>
            <w:tcW w:w="150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0</w:t>
            </w:r>
          </w:p>
        </w:tc>
        <w:tc>
          <w:tcPr>
            <w:tcW w:w="109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6 943</w:t>
            </w:r>
          </w:p>
        </w:tc>
        <w:tc>
          <w:tcPr>
            <w:tcW w:w="1240"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99,7 %</w:t>
            </w:r>
          </w:p>
        </w:tc>
      </w:tr>
      <w:tr>
        <w:trPr>
          <w:trHeight w:val="300"/>
          <w:jc w:val="center"/>
        </w:trPr>
        <w:tc>
          <w:tcPr>
            <w:tcW w:w="1800"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Pays-Bas</w:t>
            </w:r>
          </w:p>
        </w:tc>
        <w:tc>
          <w:tcPr>
            <w:tcW w:w="128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2 845</w:t>
            </w:r>
          </w:p>
        </w:tc>
        <w:tc>
          <w:tcPr>
            <w:tcW w:w="136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3 612</w:t>
            </w:r>
          </w:p>
        </w:tc>
        <w:tc>
          <w:tcPr>
            <w:tcW w:w="150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252</w:t>
            </w:r>
          </w:p>
        </w:tc>
        <w:tc>
          <w:tcPr>
            <w:tcW w:w="109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6 709</w:t>
            </w:r>
          </w:p>
        </w:tc>
        <w:tc>
          <w:tcPr>
            <w:tcW w:w="1240"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42,4 %</w:t>
            </w:r>
          </w:p>
        </w:tc>
      </w:tr>
      <w:tr>
        <w:trPr>
          <w:trHeight w:val="300"/>
          <w:jc w:val="center"/>
        </w:trPr>
        <w:tc>
          <w:tcPr>
            <w:tcW w:w="1800"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Pologne</w:t>
            </w:r>
          </w:p>
        </w:tc>
        <w:tc>
          <w:tcPr>
            <w:tcW w:w="128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317 270</w:t>
            </w:r>
          </w:p>
        </w:tc>
        <w:tc>
          <w:tcPr>
            <w:tcW w:w="136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100 168</w:t>
            </w:r>
          </w:p>
        </w:tc>
        <w:tc>
          <w:tcPr>
            <w:tcW w:w="150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209 946</w:t>
            </w:r>
          </w:p>
        </w:tc>
        <w:tc>
          <w:tcPr>
            <w:tcW w:w="109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627 384</w:t>
            </w:r>
          </w:p>
        </w:tc>
        <w:tc>
          <w:tcPr>
            <w:tcW w:w="1240"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50,6 %</w:t>
            </w:r>
          </w:p>
        </w:tc>
      </w:tr>
      <w:tr>
        <w:trPr>
          <w:trHeight w:val="300"/>
          <w:jc w:val="center"/>
        </w:trPr>
        <w:tc>
          <w:tcPr>
            <w:tcW w:w="1800"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Portugal</w:t>
            </w:r>
          </w:p>
        </w:tc>
        <w:tc>
          <w:tcPr>
            <w:tcW w:w="128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1 435</w:t>
            </w:r>
          </w:p>
        </w:tc>
        <w:tc>
          <w:tcPr>
            <w:tcW w:w="136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87</w:t>
            </w:r>
          </w:p>
        </w:tc>
        <w:tc>
          <w:tcPr>
            <w:tcW w:w="150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0</w:t>
            </w:r>
          </w:p>
        </w:tc>
        <w:tc>
          <w:tcPr>
            <w:tcW w:w="109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1 522</w:t>
            </w:r>
          </w:p>
        </w:tc>
        <w:tc>
          <w:tcPr>
            <w:tcW w:w="1240"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94,3 %</w:t>
            </w:r>
          </w:p>
        </w:tc>
      </w:tr>
      <w:tr>
        <w:trPr>
          <w:trHeight w:val="300"/>
          <w:jc w:val="center"/>
        </w:trPr>
        <w:tc>
          <w:tcPr>
            <w:tcW w:w="1800" w:type="dxa"/>
            <w:tcBorders>
              <w:top w:val="nil"/>
              <w:left w:val="single" w:sz="8" w:space="0" w:color="auto"/>
              <w:bottom w:val="single" w:sz="4" w:space="0" w:color="auto"/>
              <w:right w:val="single" w:sz="8" w:space="0" w:color="auto"/>
            </w:tcBorders>
            <w:shd w:val="clear" w:color="auto" w:fill="BFBFBF" w:themeFill="background1" w:themeFillShade="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Roumanie</w:t>
            </w:r>
          </w:p>
        </w:tc>
        <w:tc>
          <w:tcPr>
            <w:tcW w:w="128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12 018</w:t>
            </w:r>
          </w:p>
        </w:tc>
        <w:tc>
          <w:tcPr>
            <w:tcW w:w="136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768</w:t>
            </w:r>
          </w:p>
        </w:tc>
        <w:tc>
          <w:tcPr>
            <w:tcW w:w="150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358</w:t>
            </w:r>
          </w:p>
        </w:tc>
        <w:tc>
          <w:tcPr>
            <w:tcW w:w="109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13 144</w:t>
            </w:r>
          </w:p>
        </w:tc>
        <w:tc>
          <w:tcPr>
            <w:tcW w:w="1240"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91,4 %</w:t>
            </w:r>
          </w:p>
        </w:tc>
      </w:tr>
      <w:tr>
        <w:trPr>
          <w:trHeight w:val="300"/>
          <w:jc w:val="center"/>
        </w:trPr>
        <w:tc>
          <w:tcPr>
            <w:tcW w:w="1800"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Slovaquie</w:t>
            </w:r>
          </w:p>
        </w:tc>
        <w:tc>
          <w:tcPr>
            <w:tcW w:w="128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9 761</w:t>
            </w:r>
          </w:p>
        </w:tc>
        <w:tc>
          <w:tcPr>
            <w:tcW w:w="136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8 999</w:t>
            </w:r>
          </w:p>
        </w:tc>
        <w:tc>
          <w:tcPr>
            <w:tcW w:w="150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0</w:t>
            </w:r>
          </w:p>
        </w:tc>
        <w:tc>
          <w:tcPr>
            <w:tcW w:w="109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18 760</w:t>
            </w:r>
          </w:p>
        </w:tc>
        <w:tc>
          <w:tcPr>
            <w:tcW w:w="1240"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52 %</w:t>
            </w:r>
          </w:p>
        </w:tc>
      </w:tr>
      <w:tr>
        <w:trPr>
          <w:trHeight w:val="300"/>
          <w:jc w:val="center"/>
        </w:trPr>
        <w:tc>
          <w:tcPr>
            <w:tcW w:w="1800"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Slovénie</w:t>
            </w:r>
          </w:p>
        </w:tc>
        <w:tc>
          <w:tcPr>
            <w:tcW w:w="128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4 048</w:t>
            </w:r>
          </w:p>
        </w:tc>
        <w:tc>
          <w:tcPr>
            <w:tcW w:w="136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897</w:t>
            </w:r>
          </w:p>
        </w:tc>
        <w:tc>
          <w:tcPr>
            <w:tcW w:w="150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0</w:t>
            </w:r>
          </w:p>
        </w:tc>
        <w:tc>
          <w:tcPr>
            <w:tcW w:w="109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4 945</w:t>
            </w:r>
          </w:p>
        </w:tc>
        <w:tc>
          <w:tcPr>
            <w:tcW w:w="1240"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81,9 %</w:t>
            </w:r>
          </w:p>
        </w:tc>
      </w:tr>
      <w:tr>
        <w:trPr>
          <w:trHeight w:val="300"/>
          <w:jc w:val="center"/>
        </w:trPr>
        <w:tc>
          <w:tcPr>
            <w:tcW w:w="1800"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Espagne</w:t>
            </w:r>
          </w:p>
        </w:tc>
        <w:tc>
          <w:tcPr>
            <w:tcW w:w="128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592 537</w:t>
            </w:r>
          </w:p>
        </w:tc>
        <w:tc>
          <w:tcPr>
            <w:tcW w:w="136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61 855</w:t>
            </w:r>
          </w:p>
        </w:tc>
        <w:tc>
          <w:tcPr>
            <w:tcW w:w="150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0</w:t>
            </w:r>
          </w:p>
        </w:tc>
        <w:tc>
          <w:tcPr>
            <w:tcW w:w="109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654 392</w:t>
            </w:r>
          </w:p>
        </w:tc>
        <w:tc>
          <w:tcPr>
            <w:tcW w:w="1240"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90,5 %</w:t>
            </w:r>
          </w:p>
        </w:tc>
      </w:tr>
      <w:tr>
        <w:trPr>
          <w:trHeight w:val="300"/>
          <w:jc w:val="center"/>
        </w:trPr>
        <w:tc>
          <w:tcPr>
            <w:tcW w:w="1800" w:type="dxa"/>
            <w:tcBorders>
              <w:top w:val="nil"/>
              <w:left w:val="single" w:sz="8" w:space="0" w:color="auto"/>
              <w:bottom w:val="single" w:sz="4" w:space="0" w:color="auto"/>
              <w:right w:val="single" w:sz="8" w:space="0" w:color="auto"/>
            </w:tcBorders>
            <w:shd w:val="clear" w:color="auto" w:fill="BFBFBF" w:themeFill="background1" w:themeFillShade="BF"/>
            <w:noWrap/>
            <w:vAlign w:val="bottom"/>
            <w:hideMark/>
          </w:tcPr>
          <w:p>
            <w:pPr>
              <w:spacing w:after="0" w:line="240" w:lineRule="auto"/>
              <w:rPr>
                <w:rFonts w:ascii="Times New Roman" w:eastAsia="Times New Roman" w:hAnsi="Times New Roman" w:cs="Times New Roman"/>
                <w:b/>
                <w:bCs/>
                <w:i/>
                <w:noProof/>
                <w:color w:val="000000"/>
              </w:rPr>
            </w:pPr>
            <w:r>
              <w:rPr>
                <w:rFonts w:ascii="Times New Roman" w:hAnsi="Times New Roman"/>
                <w:b/>
                <w:bCs/>
                <w:noProof/>
              </w:rPr>
              <w:t>Suède</w:t>
            </w:r>
          </w:p>
        </w:tc>
        <w:tc>
          <w:tcPr>
            <w:tcW w:w="128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i/>
                <w:noProof/>
                <w:color w:val="000000"/>
              </w:rPr>
            </w:pPr>
            <w:r>
              <w:rPr>
                <w:rFonts w:ascii="Times New Roman" w:hAnsi="Times New Roman"/>
                <w:i/>
                <w:noProof/>
              </w:rPr>
              <w:t>38 336</w:t>
            </w:r>
          </w:p>
        </w:tc>
        <w:tc>
          <w:tcPr>
            <w:tcW w:w="136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i/>
                <w:noProof/>
                <w:color w:val="000000"/>
              </w:rPr>
            </w:pPr>
            <w:r>
              <w:rPr>
                <w:rFonts w:ascii="Times New Roman" w:hAnsi="Times New Roman"/>
                <w:i/>
                <w:noProof/>
              </w:rPr>
              <w:t>6 986</w:t>
            </w:r>
          </w:p>
        </w:tc>
        <w:tc>
          <w:tcPr>
            <w:tcW w:w="150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i/>
                <w:noProof/>
                <w:color w:val="000000"/>
              </w:rPr>
            </w:pPr>
            <w:r>
              <w:rPr>
                <w:rFonts w:ascii="Times New Roman" w:hAnsi="Times New Roman"/>
                <w:i/>
                <w:noProof/>
              </w:rPr>
              <w:t>0</w:t>
            </w:r>
          </w:p>
        </w:tc>
        <w:tc>
          <w:tcPr>
            <w:tcW w:w="109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i/>
                <w:noProof/>
                <w:color w:val="000000"/>
              </w:rPr>
            </w:pPr>
            <w:r>
              <w:rPr>
                <w:rFonts w:ascii="Times New Roman" w:hAnsi="Times New Roman"/>
                <w:i/>
                <w:noProof/>
              </w:rPr>
              <w:t>45 322</w:t>
            </w:r>
          </w:p>
        </w:tc>
        <w:tc>
          <w:tcPr>
            <w:tcW w:w="1240"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i/>
                <w:noProof/>
                <w:color w:val="000000"/>
              </w:rPr>
            </w:pPr>
            <w:r>
              <w:rPr>
                <w:rFonts w:ascii="Times New Roman" w:hAnsi="Times New Roman"/>
                <w:i/>
                <w:noProof/>
              </w:rPr>
              <w:t>84,6 %</w:t>
            </w:r>
          </w:p>
        </w:tc>
      </w:tr>
      <w:tr>
        <w:trPr>
          <w:trHeight w:val="300"/>
          <w:jc w:val="center"/>
        </w:trPr>
        <w:tc>
          <w:tcPr>
            <w:tcW w:w="1800"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Royaume-Uni</w:t>
            </w:r>
          </w:p>
        </w:tc>
        <w:tc>
          <w:tcPr>
            <w:tcW w:w="128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130 661</w:t>
            </w:r>
          </w:p>
        </w:tc>
        <w:tc>
          <w:tcPr>
            <w:tcW w:w="136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134 874</w:t>
            </w:r>
          </w:p>
        </w:tc>
        <w:tc>
          <w:tcPr>
            <w:tcW w:w="150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0</w:t>
            </w:r>
          </w:p>
        </w:tc>
        <w:tc>
          <w:tcPr>
            <w:tcW w:w="109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265 535</w:t>
            </w:r>
          </w:p>
        </w:tc>
        <w:tc>
          <w:tcPr>
            <w:tcW w:w="1240"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49,2 %</w:t>
            </w:r>
          </w:p>
        </w:tc>
      </w:tr>
      <w:tr>
        <w:trPr>
          <w:trHeight w:val="315"/>
          <w:jc w:val="center"/>
        </w:trPr>
        <w:tc>
          <w:tcPr>
            <w:tcW w:w="1800"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Totaux</w:t>
            </w:r>
          </w:p>
        </w:tc>
        <w:tc>
          <w:tcPr>
            <w:tcW w:w="1280" w:type="dxa"/>
            <w:tcBorders>
              <w:top w:val="nil"/>
              <w:left w:val="nil"/>
              <w:bottom w:val="single" w:sz="4" w:space="0" w:color="auto"/>
              <w:right w:val="single" w:sz="4" w:space="0" w:color="auto"/>
            </w:tcBorders>
            <w:shd w:val="clear" w:color="000000" w:fill="BFBFBF"/>
            <w:noWrap/>
            <w:vAlign w:val="bottom"/>
            <w:hideMark/>
          </w:tcPr>
          <w:p>
            <w:pPr>
              <w:spacing w:after="0" w:line="240" w:lineRule="auto"/>
              <w:jc w:val="right"/>
              <w:rPr>
                <w:rFonts w:ascii="Times New Roman" w:eastAsia="Times New Roman" w:hAnsi="Times New Roman" w:cs="Times New Roman"/>
                <w:b/>
                <w:bCs/>
                <w:noProof/>
                <w:color w:val="000000"/>
              </w:rPr>
            </w:pPr>
            <w:r>
              <w:rPr>
                <w:rFonts w:ascii="Times New Roman" w:hAnsi="Times New Roman"/>
                <w:b/>
                <w:bCs/>
                <w:noProof/>
              </w:rPr>
              <w:t>3 115 991</w:t>
            </w:r>
          </w:p>
        </w:tc>
        <w:tc>
          <w:tcPr>
            <w:tcW w:w="1360" w:type="dxa"/>
            <w:tcBorders>
              <w:top w:val="nil"/>
              <w:left w:val="nil"/>
              <w:bottom w:val="single" w:sz="4" w:space="0" w:color="auto"/>
              <w:right w:val="single" w:sz="4" w:space="0" w:color="auto"/>
            </w:tcBorders>
            <w:shd w:val="clear" w:color="000000" w:fill="BFBFBF"/>
            <w:noWrap/>
            <w:vAlign w:val="bottom"/>
            <w:hideMark/>
          </w:tcPr>
          <w:p>
            <w:pPr>
              <w:spacing w:after="0" w:line="240" w:lineRule="auto"/>
              <w:jc w:val="right"/>
              <w:rPr>
                <w:rFonts w:ascii="Times New Roman" w:eastAsia="Times New Roman" w:hAnsi="Times New Roman" w:cs="Times New Roman"/>
                <w:b/>
                <w:bCs/>
                <w:noProof/>
                <w:color w:val="000000"/>
              </w:rPr>
            </w:pPr>
            <w:r>
              <w:rPr>
                <w:rFonts w:ascii="Times New Roman" w:hAnsi="Times New Roman"/>
                <w:b/>
                <w:bCs/>
                <w:noProof/>
              </w:rPr>
              <w:t>1 649 446</w:t>
            </w:r>
          </w:p>
        </w:tc>
        <w:tc>
          <w:tcPr>
            <w:tcW w:w="1500" w:type="dxa"/>
            <w:tcBorders>
              <w:top w:val="nil"/>
              <w:left w:val="nil"/>
              <w:bottom w:val="single" w:sz="4" w:space="0" w:color="auto"/>
              <w:right w:val="single" w:sz="4" w:space="0" w:color="auto"/>
            </w:tcBorders>
            <w:shd w:val="clear" w:color="000000" w:fill="BFBFBF"/>
            <w:noWrap/>
            <w:vAlign w:val="bottom"/>
            <w:hideMark/>
          </w:tcPr>
          <w:p>
            <w:pPr>
              <w:spacing w:after="0" w:line="240" w:lineRule="auto"/>
              <w:jc w:val="right"/>
              <w:rPr>
                <w:rFonts w:ascii="Times New Roman" w:eastAsia="Times New Roman" w:hAnsi="Times New Roman" w:cs="Times New Roman"/>
                <w:b/>
                <w:bCs/>
                <w:noProof/>
                <w:color w:val="000000"/>
              </w:rPr>
            </w:pPr>
            <w:r>
              <w:rPr>
                <w:rFonts w:ascii="Times New Roman" w:hAnsi="Times New Roman"/>
                <w:b/>
                <w:bCs/>
                <w:noProof/>
              </w:rPr>
              <w:t>264 231</w:t>
            </w:r>
          </w:p>
        </w:tc>
        <w:tc>
          <w:tcPr>
            <w:tcW w:w="1096" w:type="dxa"/>
            <w:tcBorders>
              <w:top w:val="nil"/>
              <w:left w:val="nil"/>
              <w:bottom w:val="single" w:sz="4" w:space="0" w:color="auto"/>
              <w:right w:val="single" w:sz="4" w:space="0" w:color="auto"/>
            </w:tcBorders>
            <w:shd w:val="clear" w:color="000000" w:fill="BFBFBF"/>
            <w:noWrap/>
            <w:vAlign w:val="bottom"/>
            <w:hideMark/>
          </w:tcPr>
          <w:p>
            <w:pPr>
              <w:spacing w:after="0" w:line="240" w:lineRule="auto"/>
              <w:jc w:val="right"/>
              <w:rPr>
                <w:rFonts w:ascii="Times New Roman" w:eastAsia="Times New Roman" w:hAnsi="Times New Roman" w:cs="Times New Roman"/>
                <w:b/>
                <w:bCs/>
                <w:noProof/>
                <w:color w:val="000000"/>
              </w:rPr>
            </w:pPr>
            <w:r>
              <w:rPr>
                <w:rFonts w:ascii="Times New Roman" w:hAnsi="Times New Roman"/>
                <w:b/>
                <w:bCs/>
                <w:noProof/>
              </w:rPr>
              <w:t>5 029 667</w:t>
            </w:r>
          </w:p>
        </w:tc>
        <w:tc>
          <w:tcPr>
            <w:tcW w:w="1240" w:type="dxa"/>
            <w:tcBorders>
              <w:top w:val="nil"/>
              <w:left w:val="nil"/>
              <w:bottom w:val="single" w:sz="4" w:space="0" w:color="auto"/>
              <w:right w:val="single" w:sz="8" w:space="0" w:color="auto"/>
            </w:tcBorders>
            <w:shd w:val="clear" w:color="000000" w:fill="BFBFBF"/>
            <w:noWrap/>
            <w:vAlign w:val="bottom"/>
            <w:hideMark/>
          </w:tcPr>
          <w:p>
            <w:pPr>
              <w:spacing w:after="0" w:line="240" w:lineRule="auto"/>
              <w:jc w:val="right"/>
              <w:rPr>
                <w:rFonts w:ascii="Times New Roman" w:eastAsia="Times New Roman" w:hAnsi="Times New Roman" w:cs="Times New Roman"/>
                <w:b/>
                <w:bCs/>
                <w:noProof/>
                <w:color w:val="000000"/>
              </w:rPr>
            </w:pPr>
            <w:r>
              <w:rPr>
                <w:rFonts w:ascii="Times New Roman" w:hAnsi="Times New Roman"/>
                <w:b/>
                <w:bCs/>
                <w:noProof/>
              </w:rPr>
              <w:t>62 %</w:t>
            </w:r>
          </w:p>
        </w:tc>
      </w:tr>
      <w:tr>
        <w:trPr>
          <w:trHeight w:val="315"/>
          <w:jc w:val="center"/>
        </w:trPr>
        <w:tc>
          <w:tcPr>
            <w:tcW w:w="1800" w:type="dxa"/>
            <w:tcBorders>
              <w:top w:val="single" w:sz="4" w:space="0" w:color="auto"/>
              <w:left w:val="single" w:sz="4" w:space="0" w:color="auto"/>
              <w:bottom w:val="single" w:sz="4" w:space="0" w:color="auto"/>
              <w:right w:val="single" w:sz="4" w:space="0" w:color="auto"/>
            </w:tcBorders>
            <w:shd w:val="clear" w:color="000000" w:fill="BFBFBF"/>
            <w:noWrap/>
            <w:vAlign w:val="bottom"/>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Suisse</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bCs/>
                <w:noProof/>
                <w:color w:val="000000"/>
              </w:rPr>
            </w:pPr>
            <w:r>
              <w:rPr>
                <w:rFonts w:ascii="Times New Roman" w:hAnsi="Times New Roman"/>
                <w:bCs/>
                <w:noProof/>
              </w:rPr>
              <w:t>39 813</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bCs/>
                <w:noProof/>
                <w:color w:val="000000"/>
              </w:rPr>
            </w:pPr>
            <w:r>
              <w:rPr>
                <w:rFonts w:ascii="Times New Roman" w:hAnsi="Times New Roman"/>
                <w:bCs/>
                <w:noProof/>
              </w:rPr>
              <w:t>20 034</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bCs/>
                <w:noProof/>
                <w:color w:val="000000"/>
              </w:rPr>
            </w:pPr>
            <w:r>
              <w:rPr>
                <w:rFonts w:ascii="Times New Roman" w:hAnsi="Times New Roman"/>
                <w:bCs/>
                <w:noProof/>
              </w:rPr>
              <w:t>4 492</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bCs/>
                <w:noProof/>
                <w:color w:val="000000"/>
              </w:rPr>
            </w:pPr>
            <w:r>
              <w:rPr>
                <w:rFonts w:ascii="Times New Roman" w:hAnsi="Times New Roman"/>
                <w:bCs/>
                <w:noProof/>
              </w:rPr>
              <w:t>64 339</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bCs/>
                <w:noProof/>
                <w:color w:val="000000"/>
              </w:rPr>
            </w:pPr>
            <w:r>
              <w:rPr>
                <w:rFonts w:ascii="Times New Roman" w:hAnsi="Times New Roman"/>
                <w:bCs/>
                <w:noProof/>
              </w:rPr>
              <w:t>61,9 %</w:t>
            </w:r>
          </w:p>
        </w:tc>
      </w:tr>
      <w:tr>
        <w:trPr>
          <w:trHeight w:val="315"/>
          <w:jc w:val="center"/>
        </w:trPr>
        <w:tc>
          <w:tcPr>
            <w:tcW w:w="1800" w:type="dxa"/>
            <w:tcBorders>
              <w:top w:val="single" w:sz="4" w:space="0" w:color="auto"/>
              <w:left w:val="single" w:sz="8" w:space="0" w:color="auto"/>
              <w:bottom w:val="single" w:sz="8" w:space="0" w:color="auto"/>
              <w:right w:val="single" w:sz="8" w:space="0" w:color="auto"/>
            </w:tcBorders>
            <w:shd w:val="clear" w:color="000000" w:fill="BFBFBF"/>
            <w:noWrap/>
            <w:vAlign w:val="bottom"/>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Totaux</w:t>
            </w:r>
          </w:p>
        </w:tc>
        <w:tc>
          <w:tcPr>
            <w:tcW w:w="1280" w:type="dxa"/>
            <w:tcBorders>
              <w:top w:val="single" w:sz="4" w:space="0" w:color="auto"/>
              <w:left w:val="nil"/>
              <w:bottom w:val="single" w:sz="8" w:space="0" w:color="auto"/>
              <w:right w:val="single" w:sz="4" w:space="0" w:color="auto"/>
            </w:tcBorders>
            <w:shd w:val="clear" w:color="000000" w:fill="BFBFBF"/>
            <w:noWrap/>
            <w:vAlign w:val="bottom"/>
          </w:tcPr>
          <w:p>
            <w:pPr>
              <w:spacing w:after="0" w:line="240" w:lineRule="auto"/>
              <w:jc w:val="right"/>
              <w:rPr>
                <w:rFonts w:ascii="Times New Roman" w:eastAsia="Times New Roman" w:hAnsi="Times New Roman" w:cs="Times New Roman"/>
                <w:b/>
                <w:bCs/>
                <w:noProof/>
                <w:color w:val="000000"/>
              </w:rPr>
            </w:pPr>
            <w:r>
              <w:rPr>
                <w:rFonts w:ascii="Times New Roman" w:hAnsi="Times New Roman"/>
                <w:b/>
                <w:bCs/>
                <w:noProof/>
              </w:rPr>
              <w:t>3 155 804</w:t>
            </w:r>
          </w:p>
        </w:tc>
        <w:tc>
          <w:tcPr>
            <w:tcW w:w="1360" w:type="dxa"/>
            <w:tcBorders>
              <w:top w:val="single" w:sz="4" w:space="0" w:color="auto"/>
              <w:left w:val="nil"/>
              <w:bottom w:val="single" w:sz="8" w:space="0" w:color="auto"/>
              <w:right w:val="single" w:sz="4" w:space="0" w:color="auto"/>
            </w:tcBorders>
            <w:shd w:val="clear" w:color="000000" w:fill="BFBFBF"/>
            <w:noWrap/>
            <w:vAlign w:val="bottom"/>
          </w:tcPr>
          <w:p>
            <w:pPr>
              <w:spacing w:after="0" w:line="240" w:lineRule="auto"/>
              <w:jc w:val="right"/>
              <w:rPr>
                <w:rFonts w:ascii="Times New Roman" w:eastAsia="Times New Roman" w:hAnsi="Times New Roman" w:cs="Times New Roman"/>
                <w:b/>
                <w:bCs/>
                <w:noProof/>
                <w:color w:val="000000"/>
              </w:rPr>
            </w:pPr>
            <w:r>
              <w:rPr>
                <w:rFonts w:ascii="Times New Roman" w:hAnsi="Times New Roman"/>
                <w:b/>
                <w:bCs/>
                <w:noProof/>
              </w:rPr>
              <w:t>1 669 480</w:t>
            </w:r>
          </w:p>
        </w:tc>
        <w:tc>
          <w:tcPr>
            <w:tcW w:w="1500" w:type="dxa"/>
            <w:tcBorders>
              <w:top w:val="single" w:sz="4" w:space="0" w:color="auto"/>
              <w:left w:val="nil"/>
              <w:bottom w:val="single" w:sz="8" w:space="0" w:color="auto"/>
              <w:right w:val="single" w:sz="4" w:space="0" w:color="auto"/>
            </w:tcBorders>
            <w:shd w:val="clear" w:color="000000" w:fill="BFBFBF"/>
            <w:noWrap/>
            <w:vAlign w:val="bottom"/>
          </w:tcPr>
          <w:p>
            <w:pPr>
              <w:spacing w:after="0" w:line="240" w:lineRule="auto"/>
              <w:jc w:val="right"/>
              <w:rPr>
                <w:rFonts w:ascii="Times New Roman" w:eastAsia="Times New Roman" w:hAnsi="Times New Roman" w:cs="Times New Roman"/>
                <w:b/>
                <w:bCs/>
                <w:noProof/>
                <w:color w:val="000000"/>
              </w:rPr>
            </w:pPr>
            <w:r>
              <w:rPr>
                <w:rFonts w:ascii="Times New Roman" w:hAnsi="Times New Roman"/>
                <w:b/>
                <w:bCs/>
                <w:noProof/>
              </w:rPr>
              <w:t>268 423</w:t>
            </w:r>
          </w:p>
        </w:tc>
        <w:tc>
          <w:tcPr>
            <w:tcW w:w="1096" w:type="dxa"/>
            <w:tcBorders>
              <w:top w:val="single" w:sz="4" w:space="0" w:color="auto"/>
              <w:left w:val="nil"/>
              <w:bottom w:val="single" w:sz="8" w:space="0" w:color="auto"/>
              <w:right w:val="single" w:sz="4" w:space="0" w:color="auto"/>
            </w:tcBorders>
            <w:shd w:val="clear" w:color="000000" w:fill="BFBFBF"/>
            <w:noWrap/>
            <w:vAlign w:val="bottom"/>
          </w:tcPr>
          <w:p>
            <w:pPr>
              <w:spacing w:after="0" w:line="240" w:lineRule="auto"/>
              <w:jc w:val="right"/>
              <w:rPr>
                <w:rFonts w:ascii="Times New Roman" w:eastAsia="Times New Roman" w:hAnsi="Times New Roman" w:cs="Times New Roman"/>
                <w:b/>
                <w:bCs/>
                <w:noProof/>
                <w:color w:val="000000"/>
              </w:rPr>
            </w:pPr>
            <w:r>
              <w:rPr>
                <w:rFonts w:ascii="Times New Roman" w:hAnsi="Times New Roman"/>
                <w:b/>
                <w:bCs/>
                <w:noProof/>
              </w:rPr>
              <w:t>5 094 017</w:t>
            </w:r>
          </w:p>
        </w:tc>
        <w:tc>
          <w:tcPr>
            <w:tcW w:w="1240" w:type="dxa"/>
            <w:tcBorders>
              <w:top w:val="single" w:sz="4" w:space="0" w:color="auto"/>
              <w:left w:val="nil"/>
              <w:bottom w:val="single" w:sz="8" w:space="0" w:color="auto"/>
              <w:right w:val="single" w:sz="8" w:space="0" w:color="auto"/>
            </w:tcBorders>
            <w:shd w:val="clear" w:color="000000" w:fill="BFBFBF"/>
            <w:noWrap/>
            <w:vAlign w:val="bottom"/>
          </w:tcPr>
          <w:p>
            <w:pPr>
              <w:spacing w:after="0" w:line="240" w:lineRule="auto"/>
              <w:jc w:val="right"/>
              <w:rPr>
                <w:rFonts w:ascii="Times New Roman" w:eastAsia="Times New Roman" w:hAnsi="Times New Roman" w:cs="Times New Roman"/>
                <w:b/>
                <w:bCs/>
                <w:noProof/>
                <w:color w:val="000000"/>
              </w:rPr>
            </w:pPr>
            <w:r>
              <w:rPr>
                <w:rFonts w:ascii="Times New Roman" w:hAnsi="Times New Roman"/>
                <w:b/>
                <w:bCs/>
                <w:noProof/>
              </w:rPr>
              <w:t>62 %</w:t>
            </w:r>
          </w:p>
        </w:tc>
      </w:tr>
    </w:tbl>
    <w:p>
      <w:pPr>
        <w:spacing w:before="120" w:after="120" w:line="240" w:lineRule="auto"/>
        <w:jc w:val="both"/>
        <w:rPr>
          <w:rFonts w:ascii="Times New Roman" w:eastAsia="Times New Roman" w:hAnsi="Times New Roman"/>
          <w:noProof/>
          <w:sz w:val="20"/>
          <w:szCs w:val="20"/>
        </w:rPr>
      </w:pPr>
      <w:r>
        <w:rPr>
          <w:rFonts w:ascii="Times New Roman" w:hAnsi="Times New Roman"/>
          <w:noProof/>
          <w:sz w:val="20"/>
          <w:szCs w:val="20"/>
        </w:rPr>
        <w:t xml:space="preserve">   </w:t>
      </w:r>
    </w:p>
    <w:p>
      <w:pPr>
        <w:pStyle w:val="Heading2"/>
        <w:rPr>
          <w:noProof/>
        </w:rPr>
      </w:pPr>
      <w:bookmarkStart w:id="9" w:name="_Toc33174487"/>
      <w:r>
        <w:rPr>
          <w:noProof/>
        </w:rPr>
        <w:t>5.3.</w:t>
      </w:r>
      <w:r>
        <w:rPr>
          <w:noProof/>
        </w:rPr>
        <w:tab/>
        <w:t>Ampleur des suspensions</w:t>
      </w:r>
      <w:bookmarkEnd w:id="9"/>
    </w:p>
    <w:p>
      <w:pPr>
        <w:spacing w:before="120" w:after="120" w:line="240" w:lineRule="auto"/>
        <w:jc w:val="both"/>
        <w:rPr>
          <w:rFonts w:ascii="Times New Roman" w:eastAsia="Times New Roman" w:hAnsi="Times New Roman"/>
          <w:noProof/>
          <w:sz w:val="24"/>
          <w:szCs w:val="24"/>
        </w:rPr>
      </w:pPr>
      <w:r>
        <w:rPr>
          <w:rFonts w:ascii="Times New Roman" w:hAnsi="Times New Roman"/>
          <w:noProof/>
        </w:rPr>
        <w:t xml:space="preserve">Pour la période 2015-2016, on enregistre </w:t>
      </w:r>
      <w:r>
        <w:rPr>
          <w:rFonts w:ascii="Times New Roman" w:hAnsi="Times New Roman"/>
          <w:b/>
          <w:noProof/>
        </w:rPr>
        <w:t>60 112 suspensions d’utilisation en plus</w:t>
      </w:r>
      <w:r>
        <w:rPr>
          <w:rFonts w:ascii="Times New Roman" w:hAnsi="Times New Roman"/>
          <w:noProof/>
        </w:rPr>
        <w:t xml:space="preserve"> par rapport à la période 2013-2014, ce qui représente une </w:t>
      </w:r>
      <w:r>
        <w:rPr>
          <w:rFonts w:ascii="Times New Roman" w:hAnsi="Times New Roman"/>
          <w:b/>
          <w:noProof/>
        </w:rPr>
        <w:t>augmentation de 17,5 %</w:t>
      </w:r>
      <w:r>
        <w:rPr>
          <w:rFonts w:ascii="Times New Roman" w:hAnsi="Times New Roman"/>
          <w:noProof/>
        </w:rPr>
        <w:t xml:space="preserve">. Le tableau 3 ci-dessous présente une ventilation de ces données par État membre. Compte tenu du fait que, dans le même temps, le nombre de véhicules contrôlés a diminué de 9,6 % par rapport à la période 2013-2014, on peut supposer qu’une approche plus ciblée a été employée lors des contrôles routiers dans la plupart des États membres ou que, dans certains cas, un régime de contrôle plus strict a été appliqué.    </w:t>
      </w:r>
    </w:p>
    <w:p>
      <w:pPr>
        <w:spacing w:before="120" w:after="120" w:line="240" w:lineRule="auto"/>
        <w:jc w:val="both"/>
        <w:rPr>
          <w:rFonts w:ascii="Times New Roman" w:eastAsia="Times New Roman" w:hAnsi="Times New Roman"/>
          <w:noProof/>
          <w:sz w:val="24"/>
          <w:szCs w:val="24"/>
        </w:rPr>
      </w:pPr>
    </w:p>
    <w:p>
      <w:pPr>
        <w:spacing w:after="0" w:line="240" w:lineRule="auto"/>
        <w:jc w:val="center"/>
        <w:rPr>
          <w:rFonts w:ascii="Times New Roman" w:eastAsia="Times New Roman" w:hAnsi="Times New Roman"/>
          <w:b/>
          <w:noProof/>
        </w:rPr>
      </w:pPr>
      <w:r>
        <w:rPr>
          <w:rFonts w:ascii="Times New Roman" w:hAnsi="Times New Roman"/>
          <w:b/>
          <w:noProof/>
        </w:rPr>
        <w:t>Tableau 3: Suspensions d’utilisation – comparaison entre 2013-2014 et 2015-2016</w:t>
      </w:r>
    </w:p>
    <w:p>
      <w:pPr>
        <w:spacing w:after="0" w:line="240" w:lineRule="auto"/>
        <w:jc w:val="center"/>
        <w:rPr>
          <w:rFonts w:ascii="Times New Roman" w:eastAsia="Times New Roman" w:hAnsi="Times New Roman"/>
          <w:b/>
          <w:noProof/>
        </w:rPr>
      </w:pPr>
    </w:p>
    <w:tbl>
      <w:tblPr>
        <w:tblW w:w="8259" w:type="dxa"/>
        <w:jc w:val="center"/>
        <w:tblLook w:val="04A0" w:firstRow="1" w:lastRow="0" w:firstColumn="1" w:lastColumn="0" w:noHBand="0" w:noVBand="1"/>
      </w:tblPr>
      <w:tblGrid>
        <w:gridCol w:w="1939"/>
        <w:gridCol w:w="1494"/>
        <w:gridCol w:w="1494"/>
        <w:gridCol w:w="1677"/>
        <w:gridCol w:w="1701"/>
      </w:tblGrid>
      <w:tr>
        <w:trPr>
          <w:trHeight w:val="1170"/>
          <w:jc w:val="center"/>
        </w:trPr>
        <w:tc>
          <w:tcPr>
            <w:tcW w:w="1939" w:type="dxa"/>
            <w:tcBorders>
              <w:top w:val="single" w:sz="8" w:space="0" w:color="auto"/>
              <w:left w:val="single" w:sz="8" w:space="0" w:color="auto"/>
              <w:bottom w:val="single" w:sz="8" w:space="0" w:color="auto"/>
              <w:right w:val="single" w:sz="8" w:space="0" w:color="auto"/>
            </w:tcBorders>
            <w:shd w:val="clear" w:color="000000" w:fill="BFBFBF"/>
            <w:hideMark/>
          </w:tcPr>
          <w:p>
            <w:pPr>
              <w:spacing w:after="0" w:line="240" w:lineRule="auto"/>
              <w:jc w:val="center"/>
              <w:rPr>
                <w:rFonts w:ascii="Times New Roman" w:eastAsia="Times New Roman" w:hAnsi="Times New Roman" w:cs="Times New Roman"/>
                <w:b/>
                <w:bCs/>
                <w:noProof/>
                <w:color w:val="000000"/>
              </w:rPr>
            </w:pPr>
            <w:r>
              <w:rPr>
                <w:rFonts w:ascii="Times New Roman" w:hAnsi="Times New Roman"/>
                <w:b/>
                <w:bCs/>
                <w:noProof/>
              </w:rPr>
              <w:t>État membre (EM) déclarant</w:t>
            </w:r>
          </w:p>
        </w:tc>
        <w:tc>
          <w:tcPr>
            <w:tcW w:w="1476" w:type="dxa"/>
            <w:tcBorders>
              <w:top w:val="single" w:sz="8" w:space="0" w:color="auto"/>
              <w:left w:val="nil"/>
              <w:bottom w:val="single" w:sz="8" w:space="0" w:color="auto"/>
              <w:right w:val="single" w:sz="4" w:space="0" w:color="auto"/>
            </w:tcBorders>
            <w:shd w:val="clear" w:color="000000" w:fill="BFBFBF"/>
            <w:hideMark/>
          </w:tcPr>
          <w:p>
            <w:pPr>
              <w:spacing w:after="0" w:line="240" w:lineRule="auto"/>
              <w:jc w:val="center"/>
              <w:rPr>
                <w:rFonts w:ascii="Times New Roman" w:eastAsia="Times New Roman" w:hAnsi="Times New Roman" w:cs="Times New Roman"/>
                <w:b/>
                <w:bCs/>
                <w:noProof/>
                <w:color w:val="000000"/>
              </w:rPr>
            </w:pPr>
            <w:r>
              <w:rPr>
                <w:rFonts w:ascii="Times New Roman" w:hAnsi="Times New Roman"/>
                <w:b/>
                <w:bCs/>
                <w:noProof/>
              </w:rPr>
              <w:t>Suspensions d’utilisation sur la période 2013-2014</w:t>
            </w:r>
          </w:p>
        </w:tc>
        <w:tc>
          <w:tcPr>
            <w:tcW w:w="1466" w:type="dxa"/>
            <w:tcBorders>
              <w:top w:val="single" w:sz="8" w:space="0" w:color="auto"/>
              <w:left w:val="nil"/>
              <w:bottom w:val="single" w:sz="8" w:space="0" w:color="auto"/>
              <w:right w:val="single" w:sz="4" w:space="0" w:color="auto"/>
            </w:tcBorders>
            <w:shd w:val="clear" w:color="000000" w:fill="BFBFBF"/>
            <w:hideMark/>
          </w:tcPr>
          <w:p>
            <w:pPr>
              <w:spacing w:after="0" w:line="240" w:lineRule="auto"/>
              <w:jc w:val="center"/>
              <w:rPr>
                <w:rFonts w:ascii="Times New Roman" w:eastAsia="Times New Roman" w:hAnsi="Times New Roman" w:cs="Times New Roman"/>
                <w:b/>
                <w:bCs/>
                <w:noProof/>
                <w:color w:val="000000"/>
              </w:rPr>
            </w:pPr>
            <w:r>
              <w:rPr>
                <w:rFonts w:ascii="Times New Roman" w:hAnsi="Times New Roman"/>
                <w:b/>
                <w:bCs/>
                <w:noProof/>
              </w:rPr>
              <w:t>Suspensions d’utilisation sur la période 2015-2016</w:t>
            </w:r>
          </w:p>
        </w:tc>
        <w:tc>
          <w:tcPr>
            <w:tcW w:w="1677" w:type="dxa"/>
            <w:tcBorders>
              <w:top w:val="single" w:sz="8" w:space="0" w:color="auto"/>
              <w:left w:val="nil"/>
              <w:bottom w:val="single" w:sz="8" w:space="0" w:color="auto"/>
              <w:right w:val="single" w:sz="4" w:space="0" w:color="auto"/>
            </w:tcBorders>
            <w:shd w:val="clear" w:color="000000" w:fill="BFBFBF"/>
            <w:hideMark/>
          </w:tcPr>
          <w:p>
            <w:pPr>
              <w:spacing w:after="0" w:line="240" w:lineRule="auto"/>
              <w:jc w:val="center"/>
              <w:rPr>
                <w:rFonts w:ascii="Times New Roman" w:eastAsia="Times New Roman" w:hAnsi="Times New Roman" w:cs="Times New Roman"/>
                <w:b/>
                <w:bCs/>
                <w:noProof/>
                <w:color w:val="000000"/>
              </w:rPr>
            </w:pPr>
            <w:r>
              <w:rPr>
                <w:rFonts w:ascii="Times New Roman" w:hAnsi="Times New Roman"/>
                <w:b/>
                <w:bCs/>
                <w:noProof/>
              </w:rPr>
              <w:t>Différence entre les périodes 2013-2014 et 2015-2016</w:t>
            </w:r>
          </w:p>
        </w:tc>
        <w:tc>
          <w:tcPr>
            <w:tcW w:w="1701" w:type="dxa"/>
            <w:tcBorders>
              <w:top w:val="single" w:sz="8" w:space="0" w:color="auto"/>
              <w:left w:val="nil"/>
              <w:bottom w:val="single" w:sz="8" w:space="0" w:color="auto"/>
              <w:right w:val="single" w:sz="8" w:space="0" w:color="auto"/>
            </w:tcBorders>
            <w:shd w:val="clear" w:color="000000" w:fill="BFBFBF"/>
            <w:hideMark/>
          </w:tcPr>
          <w:p>
            <w:pPr>
              <w:spacing w:after="0" w:line="240" w:lineRule="auto"/>
              <w:jc w:val="center"/>
              <w:rPr>
                <w:rFonts w:ascii="Times New Roman" w:eastAsia="Times New Roman" w:hAnsi="Times New Roman" w:cs="Times New Roman"/>
                <w:b/>
                <w:bCs/>
                <w:noProof/>
                <w:color w:val="000000"/>
              </w:rPr>
            </w:pPr>
            <w:r>
              <w:rPr>
                <w:rFonts w:ascii="Times New Roman" w:hAnsi="Times New Roman"/>
                <w:b/>
                <w:bCs/>
                <w:noProof/>
              </w:rPr>
              <w:t>Différence entre les périodes 2013-2014 et 2015-2016 en %</w:t>
            </w:r>
          </w:p>
        </w:tc>
      </w:tr>
      <w:tr>
        <w:trPr>
          <w:trHeight w:val="300"/>
          <w:jc w:val="center"/>
        </w:trPr>
        <w:tc>
          <w:tcPr>
            <w:tcW w:w="1939"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Autriche</w:t>
            </w:r>
          </w:p>
        </w:tc>
        <w:tc>
          <w:tcPr>
            <w:tcW w:w="147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28 088</w:t>
            </w:r>
          </w:p>
        </w:tc>
        <w:tc>
          <w:tcPr>
            <w:tcW w:w="146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24 194</w:t>
            </w:r>
          </w:p>
        </w:tc>
        <w:tc>
          <w:tcPr>
            <w:tcW w:w="1677"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-3 894</w:t>
            </w:r>
          </w:p>
        </w:tc>
        <w:tc>
          <w:tcPr>
            <w:tcW w:w="1701"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-13,9 %</w:t>
            </w:r>
          </w:p>
        </w:tc>
      </w:tr>
      <w:tr>
        <w:trPr>
          <w:trHeight w:val="300"/>
          <w:jc w:val="center"/>
        </w:trPr>
        <w:tc>
          <w:tcPr>
            <w:tcW w:w="1939"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Belgique</w:t>
            </w:r>
          </w:p>
        </w:tc>
        <w:tc>
          <w:tcPr>
            <w:tcW w:w="147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997</w:t>
            </w:r>
          </w:p>
        </w:tc>
        <w:tc>
          <w:tcPr>
            <w:tcW w:w="146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691</w:t>
            </w:r>
          </w:p>
        </w:tc>
        <w:tc>
          <w:tcPr>
            <w:tcW w:w="1677"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-306</w:t>
            </w:r>
          </w:p>
        </w:tc>
        <w:tc>
          <w:tcPr>
            <w:tcW w:w="1701"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-30,7 %</w:t>
            </w:r>
          </w:p>
        </w:tc>
      </w:tr>
      <w:tr>
        <w:trPr>
          <w:trHeight w:val="300"/>
          <w:jc w:val="center"/>
        </w:trPr>
        <w:tc>
          <w:tcPr>
            <w:tcW w:w="1939"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Bulgarie</w:t>
            </w:r>
          </w:p>
        </w:tc>
        <w:tc>
          <w:tcPr>
            <w:tcW w:w="147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5 798</w:t>
            </w:r>
          </w:p>
        </w:tc>
        <w:tc>
          <w:tcPr>
            <w:tcW w:w="146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1 646</w:t>
            </w:r>
          </w:p>
        </w:tc>
        <w:tc>
          <w:tcPr>
            <w:tcW w:w="1677"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-4 152</w:t>
            </w:r>
          </w:p>
        </w:tc>
        <w:tc>
          <w:tcPr>
            <w:tcW w:w="1701"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-71,6 %</w:t>
            </w:r>
          </w:p>
        </w:tc>
      </w:tr>
      <w:tr>
        <w:trPr>
          <w:trHeight w:val="300"/>
          <w:jc w:val="center"/>
        </w:trPr>
        <w:tc>
          <w:tcPr>
            <w:tcW w:w="1939"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 xml:space="preserve">Croatie </w:t>
            </w:r>
          </w:p>
        </w:tc>
        <w:tc>
          <w:tcPr>
            <w:tcW w:w="147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1 643</w:t>
            </w:r>
          </w:p>
        </w:tc>
        <w:tc>
          <w:tcPr>
            <w:tcW w:w="146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2 548</w:t>
            </w:r>
          </w:p>
        </w:tc>
        <w:tc>
          <w:tcPr>
            <w:tcW w:w="1677"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905</w:t>
            </w:r>
          </w:p>
        </w:tc>
        <w:tc>
          <w:tcPr>
            <w:tcW w:w="1701"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55,1 %</w:t>
            </w:r>
          </w:p>
        </w:tc>
      </w:tr>
      <w:tr>
        <w:trPr>
          <w:trHeight w:val="300"/>
          <w:jc w:val="center"/>
        </w:trPr>
        <w:tc>
          <w:tcPr>
            <w:tcW w:w="1939"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Chypre</w:t>
            </w:r>
          </w:p>
        </w:tc>
        <w:tc>
          <w:tcPr>
            <w:tcW w:w="147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1 719</w:t>
            </w:r>
          </w:p>
        </w:tc>
        <w:tc>
          <w:tcPr>
            <w:tcW w:w="146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1 232</w:t>
            </w:r>
          </w:p>
        </w:tc>
        <w:tc>
          <w:tcPr>
            <w:tcW w:w="1677"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-487</w:t>
            </w:r>
          </w:p>
        </w:tc>
        <w:tc>
          <w:tcPr>
            <w:tcW w:w="1701"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-28,3 %</w:t>
            </w:r>
          </w:p>
        </w:tc>
      </w:tr>
      <w:tr>
        <w:trPr>
          <w:trHeight w:val="300"/>
          <w:jc w:val="center"/>
        </w:trPr>
        <w:tc>
          <w:tcPr>
            <w:tcW w:w="1939"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Tchéquie</w:t>
            </w:r>
          </w:p>
        </w:tc>
        <w:tc>
          <w:tcPr>
            <w:tcW w:w="147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514</w:t>
            </w:r>
          </w:p>
        </w:tc>
        <w:tc>
          <w:tcPr>
            <w:tcW w:w="146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375</w:t>
            </w:r>
          </w:p>
        </w:tc>
        <w:tc>
          <w:tcPr>
            <w:tcW w:w="1677"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-139</w:t>
            </w:r>
          </w:p>
        </w:tc>
        <w:tc>
          <w:tcPr>
            <w:tcW w:w="1701"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-27 %</w:t>
            </w:r>
          </w:p>
        </w:tc>
      </w:tr>
      <w:tr>
        <w:trPr>
          <w:trHeight w:val="300"/>
          <w:jc w:val="center"/>
        </w:trPr>
        <w:tc>
          <w:tcPr>
            <w:tcW w:w="1939"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Danemark</w:t>
            </w:r>
          </w:p>
        </w:tc>
        <w:tc>
          <w:tcPr>
            <w:tcW w:w="147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532</w:t>
            </w:r>
          </w:p>
        </w:tc>
        <w:tc>
          <w:tcPr>
            <w:tcW w:w="146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1 192</w:t>
            </w:r>
          </w:p>
        </w:tc>
        <w:tc>
          <w:tcPr>
            <w:tcW w:w="1677"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660</w:t>
            </w:r>
          </w:p>
        </w:tc>
        <w:tc>
          <w:tcPr>
            <w:tcW w:w="1701"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124,1 %</w:t>
            </w:r>
          </w:p>
        </w:tc>
      </w:tr>
      <w:tr>
        <w:trPr>
          <w:trHeight w:val="300"/>
          <w:jc w:val="center"/>
        </w:trPr>
        <w:tc>
          <w:tcPr>
            <w:tcW w:w="1939"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Estonie</w:t>
            </w:r>
          </w:p>
        </w:tc>
        <w:tc>
          <w:tcPr>
            <w:tcW w:w="147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1 513</w:t>
            </w:r>
          </w:p>
        </w:tc>
        <w:tc>
          <w:tcPr>
            <w:tcW w:w="146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2 636</w:t>
            </w:r>
          </w:p>
        </w:tc>
        <w:tc>
          <w:tcPr>
            <w:tcW w:w="1677"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1 123</w:t>
            </w:r>
          </w:p>
        </w:tc>
        <w:tc>
          <w:tcPr>
            <w:tcW w:w="1701"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74,2 %</w:t>
            </w:r>
          </w:p>
        </w:tc>
      </w:tr>
      <w:tr>
        <w:trPr>
          <w:trHeight w:val="300"/>
          <w:jc w:val="center"/>
        </w:trPr>
        <w:tc>
          <w:tcPr>
            <w:tcW w:w="1939"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Finlande</w:t>
            </w:r>
          </w:p>
        </w:tc>
        <w:tc>
          <w:tcPr>
            <w:tcW w:w="147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i/>
                <w:noProof/>
                <w:color w:val="000000"/>
              </w:rPr>
            </w:pPr>
            <w:r>
              <w:rPr>
                <w:rFonts w:ascii="Times New Roman" w:hAnsi="Times New Roman"/>
                <w:i/>
                <w:noProof/>
              </w:rPr>
              <w:t>5 840</w:t>
            </w:r>
          </w:p>
        </w:tc>
        <w:tc>
          <w:tcPr>
            <w:tcW w:w="146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i/>
                <w:noProof/>
                <w:color w:val="000000"/>
              </w:rPr>
            </w:pPr>
            <w:r>
              <w:rPr>
                <w:rFonts w:ascii="Times New Roman" w:hAnsi="Times New Roman"/>
                <w:i/>
                <w:noProof/>
              </w:rPr>
              <w:t>163</w:t>
            </w:r>
          </w:p>
        </w:tc>
        <w:tc>
          <w:tcPr>
            <w:tcW w:w="1677"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i/>
                <w:noProof/>
                <w:color w:val="000000"/>
              </w:rPr>
            </w:pPr>
            <w:r>
              <w:rPr>
                <w:rFonts w:ascii="Times New Roman" w:hAnsi="Times New Roman"/>
                <w:i/>
                <w:noProof/>
              </w:rPr>
              <w:t>-5 677</w:t>
            </w:r>
          </w:p>
        </w:tc>
        <w:tc>
          <w:tcPr>
            <w:tcW w:w="1701"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i/>
                <w:noProof/>
                <w:color w:val="000000"/>
              </w:rPr>
            </w:pPr>
            <w:r>
              <w:rPr>
                <w:rFonts w:ascii="Times New Roman" w:hAnsi="Times New Roman"/>
                <w:i/>
                <w:noProof/>
              </w:rPr>
              <w:t>-97,2 %</w:t>
            </w:r>
          </w:p>
        </w:tc>
      </w:tr>
      <w:tr>
        <w:trPr>
          <w:trHeight w:val="300"/>
          <w:jc w:val="center"/>
        </w:trPr>
        <w:tc>
          <w:tcPr>
            <w:tcW w:w="1939"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France</w:t>
            </w:r>
          </w:p>
        </w:tc>
        <w:tc>
          <w:tcPr>
            <w:tcW w:w="147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2 714</w:t>
            </w:r>
          </w:p>
        </w:tc>
        <w:tc>
          <w:tcPr>
            <w:tcW w:w="146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103 720</w:t>
            </w:r>
          </w:p>
        </w:tc>
        <w:tc>
          <w:tcPr>
            <w:tcW w:w="1677"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101 006</w:t>
            </w:r>
          </w:p>
        </w:tc>
        <w:tc>
          <w:tcPr>
            <w:tcW w:w="1701"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3 721,7 %</w:t>
            </w:r>
          </w:p>
        </w:tc>
      </w:tr>
      <w:tr>
        <w:trPr>
          <w:trHeight w:val="300"/>
          <w:jc w:val="center"/>
        </w:trPr>
        <w:tc>
          <w:tcPr>
            <w:tcW w:w="1939"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Allemagne</w:t>
            </w:r>
          </w:p>
        </w:tc>
        <w:tc>
          <w:tcPr>
            <w:tcW w:w="147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34 269</w:t>
            </w:r>
          </w:p>
        </w:tc>
        <w:tc>
          <w:tcPr>
            <w:tcW w:w="146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26 768</w:t>
            </w:r>
          </w:p>
        </w:tc>
        <w:tc>
          <w:tcPr>
            <w:tcW w:w="1677"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-7 501</w:t>
            </w:r>
          </w:p>
        </w:tc>
        <w:tc>
          <w:tcPr>
            <w:tcW w:w="1701"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-21,9 %</w:t>
            </w:r>
          </w:p>
        </w:tc>
      </w:tr>
      <w:tr>
        <w:trPr>
          <w:trHeight w:val="300"/>
          <w:jc w:val="center"/>
        </w:trPr>
        <w:tc>
          <w:tcPr>
            <w:tcW w:w="1939"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Grèce</w:t>
            </w:r>
          </w:p>
        </w:tc>
        <w:tc>
          <w:tcPr>
            <w:tcW w:w="147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252</w:t>
            </w:r>
          </w:p>
        </w:tc>
        <w:tc>
          <w:tcPr>
            <w:tcW w:w="146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71</w:t>
            </w:r>
          </w:p>
        </w:tc>
        <w:tc>
          <w:tcPr>
            <w:tcW w:w="1677"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-181</w:t>
            </w:r>
          </w:p>
        </w:tc>
        <w:tc>
          <w:tcPr>
            <w:tcW w:w="1701"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-71,8 %</w:t>
            </w:r>
          </w:p>
        </w:tc>
      </w:tr>
      <w:tr>
        <w:trPr>
          <w:trHeight w:val="300"/>
          <w:jc w:val="center"/>
        </w:trPr>
        <w:tc>
          <w:tcPr>
            <w:tcW w:w="1939"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Hongrie</w:t>
            </w:r>
          </w:p>
        </w:tc>
        <w:tc>
          <w:tcPr>
            <w:tcW w:w="147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5 651</w:t>
            </w:r>
          </w:p>
        </w:tc>
        <w:tc>
          <w:tcPr>
            <w:tcW w:w="146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8 388</w:t>
            </w:r>
          </w:p>
        </w:tc>
        <w:tc>
          <w:tcPr>
            <w:tcW w:w="1677"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2 737</w:t>
            </w:r>
          </w:p>
        </w:tc>
        <w:tc>
          <w:tcPr>
            <w:tcW w:w="1701"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48,4 %</w:t>
            </w:r>
          </w:p>
        </w:tc>
      </w:tr>
      <w:tr>
        <w:trPr>
          <w:trHeight w:val="300"/>
          <w:jc w:val="center"/>
        </w:trPr>
        <w:tc>
          <w:tcPr>
            <w:tcW w:w="1939"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Irlande</w:t>
            </w:r>
          </w:p>
        </w:tc>
        <w:tc>
          <w:tcPr>
            <w:tcW w:w="147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779</w:t>
            </w:r>
          </w:p>
        </w:tc>
        <w:tc>
          <w:tcPr>
            <w:tcW w:w="146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1 909</w:t>
            </w:r>
          </w:p>
        </w:tc>
        <w:tc>
          <w:tcPr>
            <w:tcW w:w="1677"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1 130</w:t>
            </w:r>
          </w:p>
        </w:tc>
        <w:tc>
          <w:tcPr>
            <w:tcW w:w="1701"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145,1 %</w:t>
            </w:r>
          </w:p>
        </w:tc>
      </w:tr>
      <w:tr>
        <w:trPr>
          <w:trHeight w:val="300"/>
          <w:jc w:val="center"/>
        </w:trPr>
        <w:tc>
          <w:tcPr>
            <w:tcW w:w="1939"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Italie</w:t>
            </w:r>
          </w:p>
        </w:tc>
        <w:tc>
          <w:tcPr>
            <w:tcW w:w="147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6 090</w:t>
            </w:r>
          </w:p>
        </w:tc>
        <w:tc>
          <w:tcPr>
            <w:tcW w:w="146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2 923</w:t>
            </w:r>
          </w:p>
        </w:tc>
        <w:tc>
          <w:tcPr>
            <w:tcW w:w="1677"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-3 167</w:t>
            </w:r>
          </w:p>
        </w:tc>
        <w:tc>
          <w:tcPr>
            <w:tcW w:w="1701"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-52,%</w:t>
            </w:r>
          </w:p>
        </w:tc>
      </w:tr>
      <w:tr>
        <w:trPr>
          <w:trHeight w:val="300"/>
          <w:jc w:val="center"/>
        </w:trPr>
        <w:tc>
          <w:tcPr>
            <w:tcW w:w="1939"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Lettonie</w:t>
            </w:r>
          </w:p>
        </w:tc>
        <w:tc>
          <w:tcPr>
            <w:tcW w:w="147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45</w:t>
            </w:r>
          </w:p>
        </w:tc>
        <w:tc>
          <w:tcPr>
            <w:tcW w:w="146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61</w:t>
            </w:r>
          </w:p>
        </w:tc>
        <w:tc>
          <w:tcPr>
            <w:tcW w:w="1677"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16</w:t>
            </w:r>
          </w:p>
        </w:tc>
        <w:tc>
          <w:tcPr>
            <w:tcW w:w="1701"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35,6 %</w:t>
            </w:r>
          </w:p>
        </w:tc>
      </w:tr>
      <w:tr>
        <w:trPr>
          <w:trHeight w:val="300"/>
          <w:jc w:val="center"/>
        </w:trPr>
        <w:tc>
          <w:tcPr>
            <w:tcW w:w="1939"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Lituanie</w:t>
            </w:r>
          </w:p>
        </w:tc>
        <w:tc>
          <w:tcPr>
            <w:tcW w:w="147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931</w:t>
            </w:r>
          </w:p>
        </w:tc>
        <w:tc>
          <w:tcPr>
            <w:tcW w:w="146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311</w:t>
            </w:r>
          </w:p>
        </w:tc>
        <w:tc>
          <w:tcPr>
            <w:tcW w:w="1677"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-620</w:t>
            </w:r>
          </w:p>
        </w:tc>
        <w:tc>
          <w:tcPr>
            <w:tcW w:w="1701"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-66,6 %</w:t>
            </w:r>
          </w:p>
        </w:tc>
      </w:tr>
      <w:tr>
        <w:trPr>
          <w:trHeight w:val="300"/>
          <w:jc w:val="center"/>
        </w:trPr>
        <w:tc>
          <w:tcPr>
            <w:tcW w:w="1939"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Luxembourg</w:t>
            </w:r>
          </w:p>
        </w:tc>
        <w:tc>
          <w:tcPr>
            <w:tcW w:w="147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31</w:t>
            </w:r>
          </w:p>
        </w:tc>
        <w:tc>
          <w:tcPr>
            <w:tcW w:w="146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12</w:t>
            </w:r>
          </w:p>
        </w:tc>
        <w:tc>
          <w:tcPr>
            <w:tcW w:w="1677"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-19</w:t>
            </w:r>
          </w:p>
        </w:tc>
        <w:tc>
          <w:tcPr>
            <w:tcW w:w="1701"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-61,3 %</w:t>
            </w:r>
          </w:p>
        </w:tc>
      </w:tr>
      <w:tr>
        <w:trPr>
          <w:trHeight w:val="300"/>
          <w:jc w:val="center"/>
        </w:trPr>
        <w:tc>
          <w:tcPr>
            <w:tcW w:w="1939"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Malte</w:t>
            </w:r>
          </w:p>
        </w:tc>
        <w:tc>
          <w:tcPr>
            <w:tcW w:w="147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1 937</w:t>
            </w:r>
          </w:p>
        </w:tc>
        <w:tc>
          <w:tcPr>
            <w:tcW w:w="146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3 674</w:t>
            </w:r>
          </w:p>
        </w:tc>
        <w:tc>
          <w:tcPr>
            <w:tcW w:w="1677"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1 737</w:t>
            </w:r>
          </w:p>
        </w:tc>
        <w:tc>
          <w:tcPr>
            <w:tcW w:w="1701"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89,7 %</w:t>
            </w:r>
          </w:p>
        </w:tc>
      </w:tr>
      <w:tr>
        <w:trPr>
          <w:trHeight w:val="300"/>
          <w:jc w:val="center"/>
        </w:trPr>
        <w:tc>
          <w:tcPr>
            <w:tcW w:w="1939"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Pays-Bas</w:t>
            </w:r>
          </w:p>
        </w:tc>
        <w:tc>
          <w:tcPr>
            <w:tcW w:w="147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111</w:t>
            </w:r>
          </w:p>
        </w:tc>
        <w:tc>
          <w:tcPr>
            <w:tcW w:w="146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172</w:t>
            </w:r>
          </w:p>
        </w:tc>
        <w:tc>
          <w:tcPr>
            <w:tcW w:w="1677"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61</w:t>
            </w:r>
          </w:p>
        </w:tc>
        <w:tc>
          <w:tcPr>
            <w:tcW w:w="1701"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55 %</w:t>
            </w:r>
          </w:p>
        </w:tc>
      </w:tr>
      <w:tr>
        <w:trPr>
          <w:trHeight w:val="300"/>
          <w:jc w:val="center"/>
        </w:trPr>
        <w:tc>
          <w:tcPr>
            <w:tcW w:w="1939"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Pologne</w:t>
            </w:r>
          </w:p>
        </w:tc>
        <w:tc>
          <w:tcPr>
            <w:tcW w:w="147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32 969</w:t>
            </w:r>
          </w:p>
        </w:tc>
        <w:tc>
          <w:tcPr>
            <w:tcW w:w="146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38 374</w:t>
            </w:r>
          </w:p>
        </w:tc>
        <w:tc>
          <w:tcPr>
            <w:tcW w:w="1677"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5 405</w:t>
            </w:r>
          </w:p>
        </w:tc>
        <w:tc>
          <w:tcPr>
            <w:tcW w:w="1701"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16,4 %</w:t>
            </w:r>
          </w:p>
        </w:tc>
      </w:tr>
      <w:tr>
        <w:trPr>
          <w:trHeight w:val="300"/>
          <w:jc w:val="center"/>
        </w:trPr>
        <w:tc>
          <w:tcPr>
            <w:tcW w:w="1939"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Portugal</w:t>
            </w:r>
          </w:p>
        </w:tc>
        <w:tc>
          <w:tcPr>
            <w:tcW w:w="147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11</w:t>
            </w:r>
          </w:p>
        </w:tc>
        <w:tc>
          <w:tcPr>
            <w:tcW w:w="146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776</w:t>
            </w:r>
          </w:p>
        </w:tc>
        <w:tc>
          <w:tcPr>
            <w:tcW w:w="1677"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765</w:t>
            </w:r>
          </w:p>
        </w:tc>
        <w:tc>
          <w:tcPr>
            <w:tcW w:w="1701"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6 954,5 %</w:t>
            </w:r>
          </w:p>
        </w:tc>
      </w:tr>
      <w:tr>
        <w:trPr>
          <w:trHeight w:val="300"/>
          <w:jc w:val="center"/>
        </w:trPr>
        <w:tc>
          <w:tcPr>
            <w:tcW w:w="1939"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Roumanie</w:t>
            </w:r>
          </w:p>
        </w:tc>
        <w:tc>
          <w:tcPr>
            <w:tcW w:w="147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357</w:t>
            </w:r>
          </w:p>
        </w:tc>
        <w:tc>
          <w:tcPr>
            <w:tcW w:w="146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3 035</w:t>
            </w:r>
          </w:p>
        </w:tc>
        <w:tc>
          <w:tcPr>
            <w:tcW w:w="1677"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2 678</w:t>
            </w:r>
          </w:p>
        </w:tc>
        <w:tc>
          <w:tcPr>
            <w:tcW w:w="1701"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850 %</w:t>
            </w:r>
          </w:p>
        </w:tc>
      </w:tr>
      <w:tr>
        <w:trPr>
          <w:trHeight w:val="300"/>
          <w:jc w:val="center"/>
        </w:trPr>
        <w:tc>
          <w:tcPr>
            <w:tcW w:w="1939"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Slovaquie</w:t>
            </w:r>
          </w:p>
        </w:tc>
        <w:tc>
          <w:tcPr>
            <w:tcW w:w="147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6 123</w:t>
            </w:r>
          </w:p>
        </w:tc>
        <w:tc>
          <w:tcPr>
            <w:tcW w:w="146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5 955</w:t>
            </w:r>
          </w:p>
        </w:tc>
        <w:tc>
          <w:tcPr>
            <w:tcW w:w="1677"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-168</w:t>
            </w:r>
          </w:p>
        </w:tc>
        <w:tc>
          <w:tcPr>
            <w:tcW w:w="1701"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-2,7 %</w:t>
            </w:r>
          </w:p>
        </w:tc>
      </w:tr>
      <w:tr>
        <w:trPr>
          <w:trHeight w:val="300"/>
          <w:jc w:val="center"/>
        </w:trPr>
        <w:tc>
          <w:tcPr>
            <w:tcW w:w="1939"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Slovénie</w:t>
            </w:r>
          </w:p>
        </w:tc>
        <w:tc>
          <w:tcPr>
            <w:tcW w:w="147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477</w:t>
            </w:r>
          </w:p>
        </w:tc>
        <w:tc>
          <w:tcPr>
            <w:tcW w:w="146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109</w:t>
            </w:r>
          </w:p>
        </w:tc>
        <w:tc>
          <w:tcPr>
            <w:tcW w:w="1677"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-368</w:t>
            </w:r>
          </w:p>
        </w:tc>
        <w:tc>
          <w:tcPr>
            <w:tcW w:w="1701"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-77,1 %</w:t>
            </w:r>
          </w:p>
        </w:tc>
      </w:tr>
      <w:tr>
        <w:trPr>
          <w:trHeight w:val="300"/>
          <w:jc w:val="center"/>
        </w:trPr>
        <w:tc>
          <w:tcPr>
            <w:tcW w:w="1939"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Espagne</w:t>
            </w:r>
          </w:p>
        </w:tc>
        <w:tc>
          <w:tcPr>
            <w:tcW w:w="147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83 280</w:t>
            </w:r>
          </w:p>
        </w:tc>
        <w:tc>
          <w:tcPr>
            <w:tcW w:w="146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57 239</w:t>
            </w:r>
          </w:p>
        </w:tc>
        <w:tc>
          <w:tcPr>
            <w:tcW w:w="1677"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-26 041</w:t>
            </w:r>
          </w:p>
        </w:tc>
        <w:tc>
          <w:tcPr>
            <w:tcW w:w="1701"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-31,3 %</w:t>
            </w:r>
          </w:p>
        </w:tc>
      </w:tr>
      <w:tr>
        <w:trPr>
          <w:trHeight w:val="300"/>
          <w:jc w:val="center"/>
        </w:trPr>
        <w:tc>
          <w:tcPr>
            <w:tcW w:w="1939"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Suède</w:t>
            </w:r>
          </w:p>
        </w:tc>
        <w:tc>
          <w:tcPr>
            <w:tcW w:w="147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40 871</w:t>
            </w:r>
          </w:p>
        </w:tc>
        <w:tc>
          <w:tcPr>
            <w:tcW w:w="146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i/>
                <w:noProof/>
                <w:color w:val="000000"/>
              </w:rPr>
            </w:pPr>
            <w:r>
              <w:rPr>
                <w:rFonts w:ascii="Times New Roman" w:hAnsi="Times New Roman"/>
                <w:i/>
                <w:noProof/>
              </w:rPr>
              <w:t>42 087</w:t>
            </w:r>
          </w:p>
        </w:tc>
        <w:tc>
          <w:tcPr>
            <w:tcW w:w="1677"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i/>
                <w:noProof/>
                <w:color w:val="000000"/>
              </w:rPr>
            </w:pPr>
            <w:r>
              <w:rPr>
                <w:rFonts w:ascii="Times New Roman" w:hAnsi="Times New Roman"/>
                <w:i/>
                <w:noProof/>
              </w:rPr>
              <w:t>1 216</w:t>
            </w:r>
          </w:p>
        </w:tc>
        <w:tc>
          <w:tcPr>
            <w:tcW w:w="1701"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i/>
                <w:noProof/>
                <w:color w:val="000000"/>
              </w:rPr>
            </w:pPr>
            <w:r>
              <w:rPr>
                <w:rFonts w:ascii="Times New Roman" w:hAnsi="Times New Roman"/>
                <w:i/>
                <w:noProof/>
              </w:rPr>
              <w:t>3 %</w:t>
            </w:r>
          </w:p>
        </w:tc>
      </w:tr>
      <w:tr>
        <w:trPr>
          <w:trHeight w:val="315"/>
          <w:jc w:val="center"/>
        </w:trPr>
        <w:tc>
          <w:tcPr>
            <w:tcW w:w="1939" w:type="dxa"/>
            <w:tcBorders>
              <w:top w:val="nil"/>
              <w:left w:val="single" w:sz="8" w:space="0" w:color="auto"/>
              <w:bottom w:val="nil"/>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Royaume-Uni</w:t>
            </w:r>
          </w:p>
        </w:tc>
        <w:tc>
          <w:tcPr>
            <w:tcW w:w="1476" w:type="dxa"/>
            <w:tcBorders>
              <w:top w:val="nil"/>
              <w:left w:val="nil"/>
              <w:bottom w:val="nil"/>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80 283</w:t>
            </w:r>
          </w:p>
        </w:tc>
        <w:tc>
          <w:tcPr>
            <w:tcW w:w="1466" w:type="dxa"/>
            <w:tcBorders>
              <w:top w:val="nil"/>
              <w:left w:val="nil"/>
              <w:bottom w:val="nil"/>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72 886</w:t>
            </w:r>
          </w:p>
        </w:tc>
        <w:tc>
          <w:tcPr>
            <w:tcW w:w="1677" w:type="dxa"/>
            <w:tcBorders>
              <w:top w:val="nil"/>
              <w:left w:val="nil"/>
              <w:bottom w:val="nil"/>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-7 397</w:t>
            </w:r>
          </w:p>
        </w:tc>
        <w:tc>
          <w:tcPr>
            <w:tcW w:w="1701" w:type="dxa"/>
            <w:tcBorders>
              <w:top w:val="nil"/>
              <w:left w:val="nil"/>
              <w:bottom w:val="nil"/>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-9,2 %</w:t>
            </w:r>
          </w:p>
        </w:tc>
      </w:tr>
      <w:tr>
        <w:trPr>
          <w:trHeight w:val="315"/>
          <w:jc w:val="center"/>
        </w:trPr>
        <w:tc>
          <w:tcPr>
            <w:tcW w:w="1939" w:type="dxa"/>
            <w:tcBorders>
              <w:top w:val="single" w:sz="8" w:space="0" w:color="auto"/>
              <w:left w:val="single" w:sz="8" w:space="0" w:color="auto"/>
              <w:bottom w:val="single" w:sz="8"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Totaux</w:t>
            </w:r>
          </w:p>
        </w:tc>
        <w:tc>
          <w:tcPr>
            <w:tcW w:w="1476" w:type="dxa"/>
            <w:tcBorders>
              <w:top w:val="single" w:sz="8" w:space="0" w:color="auto"/>
              <w:left w:val="nil"/>
              <w:bottom w:val="single" w:sz="8" w:space="0" w:color="auto"/>
              <w:right w:val="single" w:sz="4" w:space="0" w:color="auto"/>
            </w:tcBorders>
            <w:shd w:val="clear" w:color="000000" w:fill="BFBFBF"/>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343 825</w:t>
            </w:r>
          </w:p>
        </w:tc>
        <w:tc>
          <w:tcPr>
            <w:tcW w:w="1466" w:type="dxa"/>
            <w:tcBorders>
              <w:top w:val="single" w:sz="8" w:space="0" w:color="auto"/>
              <w:left w:val="nil"/>
              <w:bottom w:val="single" w:sz="8" w:space="0" w:color="auto"/>
              <w:right w:val="single" w:sz="4" w:space="0" w:color="auto"/>
            </w:tcBorders>
            <w:shd w:val="clear" w:color="000000" w:fill="BFBFBF"/>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403 937</w:t>
            </w:r>
          </w:p>
        </w:tc>
        <w:tc>
          <w:tcPr>
            <w:tcW w:w="1677" w:type="dxa"/>
            <w:tcBorders>
              <w:top w:val="single" w:sz="8" w:space="0" w:color="auto"/>
              <w:left w:val="nil"/>
              <w:bottom w:val="single" w:sz="8" w:space="0" w:color="auto"/>
              <w:right w:val="single" w:sz="4" w:space="0" w:color="auto"/>
            </w:tcBorders>
            <w:shd w:val="clear" w:color="000000" w:fill="BFBFBF"/>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60 112</w:t>
            </w:r>
          </w:p>
        </w:tc>
        <w:tc>
          <w:tcPr>
            <w:tcW w:w="1701" w:type="dxa"/>
            <w:tcBorders>
              <w:top w:val="single" w:sz="8" w:space="0" w:color="auto"/>
              <w:left w:val="nil"/>
              <w:bottom w:val="single" w:sz="8" w:space="0" w:color="auto"/>
              <w:right w:val="single" w:sz="8" w:space="0" w:color="auto"/>
            </w:tcBorders>
            <w:shd w:val="clear" w:color="000000" w:fill="BFBFBF"/>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17,5 %</w:t>
            </w:r>
          </w:p>
        </w:tc>
      </w:tr>
    </w:tbl>
    <w:p>
      <w:pPr>
        <w:spacing w:before="120" w:after="120" w:line="240" w:lineRule="auto"/>
        <w:jc w:val="both"/>
        <w:rPr>
          <w:rFonts w:ascii="Times New Roman" w:eastAsia="Times New Roman" w:hAnsi="Times New Roman"/>
          <w:noProof/>
          <w:sz w:val="20"/>
          <w:szCs w:val="20"/>
        </w:rPr>
      </w:pPr>
      <w:r>
        <w:rPr>
          <w:rFonts w:ascii="Times New Roman" w:hAnsi="Times New Roman"/>
          <w:noProof/>
          <w:sz w:val="20"/>
          <w:szCs w:val="20"/>
        </w:rPr>
        <w:t xml:space="preserve">   </w:t>
      </w:r>
    </w:p>
    <w:p>
      <w:pPr>
        <w:spacing w:before="120" w:after="120" w:line="240" w:lineRule="auto"/>
        <w:jc w:val="both"/>
        <w:rPr>
          <w:rFonts w:ascii="Times New Roman" w:eastAsia="Times New Roman" w:hAnsi="Times New Roman"/>
          <w:noProof/>
          <w:sz w:val="24"/>
          <w:szCs w:val="24"/>
        </w:rPr>
      </w:pPr>
      <w:r>
        <w:rPr>
          <w:rFonts w:ascii="Times New Roman" w:hAnsi="Times New Roman"/>
          <w:noProof/>
        </w:rPr>
        <w:t xml:space="preserve">Au cours de la période 2015-16, douze États membres ont enregistré une augmentation du nombre de suspensions par rapport à la période 2013-2014. Les hausses constatées s’échelonnent de 3 %, pour la Suède, à environ 6 955 % dans le cas du Portugal, ce dernier étant parti d’une base de référence peu élevée, puisque 11 suspensions d’utilisation seulement avaient été signalées pour la période 2013-2014. Les autres États membres affichant un accroissement significatif du nombre de suspensions sont la Roumanie (850 %), le Danemark (124 %) et Malte (90 %). L’augmentation spectaculaire de 3 722 % enregistrée par la France est due au fait que, pour la période 2013-2014, le pays n’a pas fourni de données concernant les remorques (catégories O3 et O4), et que le rapport correspondant ne prenait pas en compte de l’ensemble des autorités participant aux activités de contrôle routier. Dans certains cas, la progression remarquable du nombre de suspensions peut s’expliquer par les modifications apportées à la législation nationale et aux méthodes utilisées pour la collecte et la communication des données.    </w:t>
      </w:r>
    </w:p>
    <w:p>
      <w:pPr>
        <w:spacing w:before="120" w:after="120" w:line="240" w:lineRule="auto"/>
        <w:jc w:val="both"/>
        <w:rPr>
          <w:rFonts w:ascii="Times New Roman" w:eastAsia="Times New Roman" w:hAnsi="Times New Roman"/>
          <w:noProof/>
          <w:sz w:val="24"/>
          <w:szCs w:val="24"/>
        </w:rPr>
      </w:pPr>
      <w:r>
        <w:rPr>
          <w:rFonts w:ascii="Times New Roman" w:hAnsi="Times New Roman"/>
          <w:noProof/>
        </w:rPr>
        <w:t xml:space="preserve">Lorsqu’on compare ces augmentations à l’évolution concomitante du nombre de contrôles réalisés dans les États membres concernés, on constate qu’à l’exception de la France (qui enregistre une baisse de 3,6 %), la Roumanie, Malte, le Danemark et le Portugal affichent des hausses du nombre de contrôles respectives de 61,6 %, 73,1 %, 80,3 % et 141 %. </w:t>
      </w:r>
    </w:p>
    <w:p>
      <w:pPr>
        <w:spacing w:before="120" w:after="120" w:line="240" w:lineRule="auto"/>
        <w:jc w:val="both"/>
        <w:rPr>
          <w:rFonts w:ascii="Times New Roman" w:eastAsia="Times New Roman" w:hAnsi="Times New Roman"/>
          <w:noProof/>
          <w:sz w:val="24"/>
          <w:szCs w:val="24"/>
        </w:rPr>
      </w:pPr>
      <w:r>
        <w:rPr>
          <w:rFonts w:ascii="Times New Roman" w:hAnsi="Times New Roman"/>
          <w:noProof/>
        </w:rPr>
        <w:t xml:space="preserve">Seize États membres ont au contraire signalé une diminution du nombre de suspensions. Les baisses enregistrées vont de 2,7 % pour la Slovaquie à 97,2 % pour la Finlande. En ce qui concerne ce pays, la diminution du nombre de suspensions s’explique par des erreurs dans la méthode utilisée pour l’élaboration du rapport relatif à la période 2013-2014. Il est intéressant de constater que, parallèlement à la baisse des suspensions enregistrées, on constate une hausse du nombre de contrôles égale à 15,7 % pour la Slovaquie et une diminution des contrôles égale à 24,8 % pour la Finlande. Là encore, cela semble indiquer une évolution des politiques en matière de contrôle, qui s’accompagne probablement d’une amélioration de la conformité des véhicules à la réglementation technique. </w:t>
      </w:r>
    </w:p>
    <w:p>
      <w:pPr>
        <w:pStyle w:val="Heading2"/>
        <w:rPr>
          <w:noProof/>
        </w:rPr>
      </w:pPr>
      <w:bookmarkStart w:id="10" w:name="_Toc33174488"/>
      <w:r>
        <w:rPr>
          <w:noProof/>
        </w:rPr>
        <w:t>5.4.</w:t>
      </w:r>
      <w:r>
        <w:rPr>
          <w:noProof/>
        </w:rPr>
        <w:tab/>
        <w:t>Origine des véhicules dont l’utilisation a été suspendue</w:t>
      </w:r>
      <w:bookmarkEnd w:id="10"/>
    </w:p>
    <w:p>
      <w:pPr>
        <w:spacing w:before="120" w:after="120" w:line="240" w:lineRule="auto"/>
        <w:jc w:val="both"/>
        <w:rPr>
          <w:rFonts w:ascii="Times New Roman" w:eastAsia="Times New Roman" w:hAnsi="Times New Roman"/>
          <w:noProof/>
          <w:sz w:val="24"/>
          <w:szCs w:val="24"/>
        </w:rPr>
      </w:pPr>
      <w:r>
        <w:rPr>
          <w:rFonts w:ascii="Times New Roman" w:hAnsi="Times New Roman"/>
          <w:noProof/>
        </w:rPr>
        <w:t xml:space="preserve">Le tableau 4 ci-dessous présente une synthèse des informations communiquées par les États membres et indique que la proportion de véhicules nationaux dont l’utilisation a été suspendue varie de moins de 1 % (Bulgarie, Lettonie, Lituanie, Tchéquie) à plus de 50 % (Autriche, Estonie, Italie, Malte, Portugal, Suède). L’Estonie affiche un pourcentage de suspensions supérieur à 90 % pour les véhicules nationaux, imputable à la méthode utilisée pour collecter les données, alors qu’à l’échelle de l’Union, le pourcentage global de suspensions concernant les véhicules nationaux s’élève à 7,9 %. Dans le cas de la Suède, il convient de noter qu’un réexamen des données transmises a permis de déceler une erreur dans les méthodes employées pour collecter et communiquer les données; cette erreur a perduré dans le temps et a eu une incidence sur les résultats communiqués pour les périodes 2013-2014 et 2015-2016.         </w:t>
      </w:r>
    </w:p>
    <w:p>
      <w:pPr>
        <w:spacing w:before="120" w:after="120" w:line="240" w:lineRule="auto"/>
        <w:jc w:val="both"/>
        <w:rPr>
          <w:rFonts w:ascii="Times New Roman" w:eastAsia="Times New Roman" w:hAnsi="Times New Roman"/>
          <w:noProof/>
          <w:sz w:val="24"/>
          <w:szCs w:val="24"/>
        </w:rPr>
      </w:pPr>
      <w:r>
        <w:rPr>
          <w:rFonts w:ascii="Times New Roman" w:hAnsi="Times New Roman"/>
          <w:noProof/>
        </w:rPr>
        <w:t>Si l’on compare les pourcentages de suspensions pour les véhicules nationaux et pour les véhicules étrangers, on constate que dans six États membres, les données du rapport suggèrent que les véhicules étrangers satisfont à des normes plus élevées en matière de réglementation technique puisque dans ces pays, le pourcentage de suspensions est plus élevé pour les véhicules nationaux. Les États membres présentant une différence supérieure à 10 % en faveur des véhicules étrangers sont la Slovaquie, l’Italie, le Danemark, la Roumanie, Malte et le Portugal.</w:t>
      </w:r>
    </w:p>
    <w:p>
      <w:pPr>
        <w:spacing w:before="120" w:after="120" w:line="240" w:lineRule="auto"/>
        <w:jc w:val="both"/>
        <w:rPr>
          <w:rFonts w:ascii="Times New Roman" w:eastAsia="Times New Roman" w:hAnsi="Times New Roman"/>
          <w:noProof/>
          <w:sz w:val="24"/>
          <w:szCs w:val="24"/>
        </w:rPr>
      </w:pPr>
      <w:r>
        <w:rPr>
          <w:rFonts w:ascii="Times New Roman" w:hAnsi="Times New Roman"/>
          <w:noProof/>
        </w:rPr>
        <w:t xml:space="preserve">Dans deux autres États membres (le Royaume-Uni et l’Irlande), on constate au contraire que le pourcentage de suspensions des véhicules étrangers est supérieur de plus de 10 % à celui des véhicules nationaux.  </w:t>
      </w:r>
    </w:p>
    <w:p>
      <w:pPr>
        <w:spacing w:before="120" w:after="120" w:line="240" w:lineRule="auto"/>
        <w:jc w:val="both"/>
        <w:rPr>
          <w:rFonts w:ascii="Times New Roman" w:eastAsia="Times New Roman" w:hAnsi="Times New Roman"/>
          <w:noProof/>
          <w:sz w:val="24"/>
          <w:szCs w:val="24"/>
        </w:rPr>
      </w:pPr>
      <w:r>
        <w:rPr>
          <w:rFonts w:ascii="Times New Roman" w:hAnsi="Times New Roman"/>
          <w:noProof/>
        </w:rPr>
        <w:t>À l’échelle des 28 États membres, le pourcentage moyen correspondant aux suspensions d’utilisation de véhicules de l’Union non nationaux est de 9 %; cela représente une légère baisse par rapport aux 10,4 % relevés pour la période 2013-2014.</w:t>
      </w:r>
    </w:p>
    <w:p>
      <w:pPr>
        <w:spacing w:before="120" w:after="120" w:line="240" w:lineRule="auto"/>
        <w:jc w:val="both"/>
        <w:rPr>
          <w:rFonts w:ascii="Times New Roman" w:eastAsia="Times New Roman" w:hAnsi="Times New Roman"/>
          <w:noProof/>
          <w:sz w:val="24"/>
          <w:szCs w:val="24"/>
        </w:rPr>
      </w:pPr>
      <w:r>
        <w:rPr>
          <w:rFonts w:ascii="Times New Roman" w:hAnsi="Times New Roman"/>
          <w:noProof/>
        </w:rPr>
        <w:t>Par ailleurs, Chypre n’ayant pas fourni les données relatives aux contrôles réalisés sur les véhicules étrangers, ces informations ne sont pas prises en considération dans la présente analyse. On peut supposer que cette situation, qui s’est déjà présentée pour la période de rapport 2013-2014, est imputable à la situation géographique du pays.</w:t>
      </w:r>
    </w:p>
    <w:p>
      <w:pPr>
        <w:spacing w:before="120" w:after="120" w:line="240" w:lineRule="auto"/>
        <w:jc w:val="both"/>
        <w:rPr>
          <w:rFonts w:ascii="Times New Roman" w:eastAsia="Times New Roman" w:hAnsi="Times New Roman"/>
          <w:noProof/>
          <w:sz w:val="24"/>
          <w:szCs w:val="24"/>
        </w:rPr>
      </w:pPr>
    </w:p>
    <w:p>
      <w:pPr>
        <w:spacing w:before="120" w:after="120" w:line="240" w:lineRule="auto"/>
        <w:jc w:val="center"/>
        <w:rPr>
          <w:rFonts w:ascii="Times New Roman" w:eastAsia="Times New Roman" w:hAnsi="Times New Roman"/>
          <w:b/>
          <w:noProof/>
        </w:rPr>
      </w:pPr>
      <w:r>
        <w:rPr>
          <w:rFonts w:ascii="Times New Roman" w:hAnsi="Times New Roman"/>
          <w:b/>
          <w:noProof/>
        </w:rPr>
        <w:t>Tableau 4: Répartition des suspensions entre les véhicules nationaux et les véhicules d'autres pays de l’Union</w:t>
      </w:r>
    </w:p>
    <w:p>
      <w:pPr>
        <w:spacing w:before="120" w:after="120" w:line="240" w:lineRule="auto"/>
        <w:jc w:val="center"/>
        <w:rPr>
          <w:rFonts w:ascii="Times New Roman" w:eastAsia="Times New Roman" w:hAnsi="Times New Roman"/>
          <w:noProof/>
        </w:rPr>
      </w:pPr>
    </w:p>
    <w:tbl>
      <w:tblPr>
        <w:tblW w:w="9555" w:type="dxa"/>
        <w:jc w:val="center"/>
        <w:tblLook w:val="04A0" w:firstRow="1" w:lastRow="0" w:firstColumn="1" w:lastColumn="0" w:noHBand="0" w:noVBand="1"/>
      </w:tblPr>
      <w:tblGrid>
        <w:gridCol w:w="1843"/>
        <w:gridCol w:w="1276"/>
        <w:gridCol w:w="1378"/>
        <w:gridCol w:w="1292"/>
        <w:gridCol w:w="1096"/>
        <w:gridCol w:w="1378"/>
        <w:gridCol w:w="1292"/>
      </w:tblGrid>
      <w:tr>
        <w:trPr>
          <w:trHeight w:val="315"/>
          <w:jc w:val="center"/>
        </w:trPr>
        <w:tc>
          <w:tcPr>
            <w:tcW w:w="1843" w:type="dxa"/>
            <w:tcBorders>
              <w:top w:val="nil"/>
              <w:left w:val="nil"/>
              <w:bottom w:val="nil"/>
              <w:right w:val="nil"/>
            </w:tcBorders>
            <w:shd w:val="clear" w:color="auto" w:fill="auto"/>
            <w:noWrap/>
            <w:vAlign w:val="bottom"/>
            <w:hideMark/>
          </w:tcPr>
          <w:p>
            <w:pPr>
              <w:spacing w:after="0" w:line="240" w:lineRule="auto"/>
              <w:rPr>
                <w:rFonts w:ascii="Times New Roman" w:eastAsia="Times New Roman" w:hAnsi="Times New Roman" w:cs="Times New Roman"/>
                <w:noProof/>
                <w:sz w:val="24"/>
                <w:szCs w:val="24"/>
              </w:rPr>
            </w:pPr>
          </w:p>
        </w:tc>
        <w:tc>
          <w:tcPr>
            <w:tcW w:w="3946" w:type="dxa"/>
            <w:gridSpan w:val="3"/>
            <w:tcBorders>
              <w:top w:val="single" w:sz="8" w:space="0" w:color="auto"/>
              <w:left w:val="single" w:sz="8" w:space="0" w:color="auto"/>
              <w:bottom w:val="single" w:sz="8" w:space="0" w:color="auto"/>
              <w:right w:val="single" w:sz="8" w:space="0" w:color="000000"/>
            </w:tcBorders>
            <w:shd w:val="clear" w:color="000000" w:fill="BFBFBF"/>
            <w:noWrap/>
            <w:vAlign w:val="bottom"/>
            <w:hideMark/>
          </w:tcPr>
          <w:p>
            <w:pPr>
              <w:spacing w:after="0" w:line="240" w:lineRule="auto"/>
              <w:jc w:val="center"/>
              <w:rPr>
                <w:rFonts w:ascii="Times New Roman" w:eastAsia="Times New Roman" w:hAnsi="Times New Roman" w:cs="Times New Roman"/>
                <w:b/>
                <w:bCs/>
                <w:noProof/>
                <w:color w:val="000000"/>
              </w:rPr>
            </w:pPr>
            <w:r>
              <w:rPr>
                <w:rFonts w:ascii="Times New Roman" w:hAnsi="Times New Roman"/>
                <w:b/>
                <w:bCs/>
                <w:noProof/>
              </w:rPr>
              <w:t xml:space="preserve">Véhicules immatriculés dans l’EM déclarant </w:t>
            </w:r>
          </w:p>
        </w:tc>
        <w:tc>
          <w:tcPr>
            <w:tcW w:w="3766" w:type="dxa"/>
            <w:gridSpan w:val="3"/>
            <w:tcBorders>
              <w:top w:val="single" w:sz="8" w:space="0" w:color="auto"/>
              <w:left w:val="nil"/>
              <w:bottom w:val="single" w:sz="8" w:space="0" w:color="auto"/>
              <w:right w:val="single" w:sz="8" w:space="0" w:color="000000"/>
            </w:tcBorders>
            <w:shd w:val="clear" w:color="000000" w:fill="BFBFBF"/>
            <w:noWrap/>
            <w:vAlign w:val="bottom"/>
            <w:hideMark/>
          </w:tcPr>
          <w:p>
            <w:pPr>
              <w:spacing w:after="0" w:line="240" w:lineRule="auto"/>
              <w:jc w:val="center"/>
              <w:rPr>
                <w:rFonts w:ascii="Times New Roman" w:eastAsia="Times New Roman" w:hAnsi="Times New Roman" w:cs="Times New Roman"/>
                <w:b/>
                <w:bCs/>
                <w:noProof/>
                <w:color w:val="000000"/>
              </w:rPr>
            </w:pPr>
            <w:r>
              <w:rPr>
                <w:rFonts w:ascii="Times New Roman" w:hAnsi="Times New Roman"/>
                <w:b/>
                <w:bCs/>
                <w:noProof/>
              </w:rPr>
              <w:t xml:space="preserve">Véhicules immatriculés dans l’UE </w:t>
            </w:r>
          </w:p>
          <w:p>
            <w:pPr>
              <w:spacing w:after="0" w:line="240" w:lineRule="auto"/>
              <w:jc w:val="center"/>
              <w:rPr>
                <w:rFonts w:ascii="Times New Roman" w:eastAsia="Times New Roman" w:hAnsi="Times New Roman" w:cs="Times New Roman"/>
                <w:b/>
                <w:bCs/>
                <w:noProof/>
                <w:color w:val="000000"/>
              </w:rPr>
            </w:pPr>
            <w:r>
              <w:rPr>
                <w:rFonts w:ascii="Times New Roman" w:hAnsi="Times New Roman"/>
                <w:b/>
                <w:bCs/>
                <w:noProof/>
              </w:rPr>
              <w:t>(dans un EM autre que l’EM déclarant)</w:t>
            </w:r>
          </w:p>
        </w:tc>
      </w:tr>
      <w:tr>
        <w:trPr>
          <w:trHeight w:val="615"/>
          <w:jc w:val="center"/>
        </w:trPr>
        <w:tc>
          <w:tcPr>
            <w:tcW w:w="1843" w:type="dxa"/>
            <w:tcBorders>
              <w:top w:val="single" w:sz="8" w:space="0" w:color="auto"/>
              <w:left w:val="single" w:sz="8" w:space="0" w:color="auto"/>
              <w:bottom w:val="single" w:sz="8" w:space="0" w:color="auto"/>
              <w:right w:val="single" w:sz="8" w:space="0" w:color="auto"/>
            </w:tcBorders>
            <w:shd w:val="clear" w:color="000000" w:fill="BFBFBF"/>
            <w:vAlign w:val="center"/>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État membre déclarant</w:t>
            </w:r>
          </w:p>
        </w:tc>
        <w:tc>
          <w:tcPr>
            <w:tcW w:w="1276" w:type="dxa"/>
            <w:tcBorders>
              <w:top w:val="nil"/>
              <w:left w:val="nil"/>
              <w:bottom w:val="single" w:sz="8" w:space="0" w:color="auto"/>
              <w:right w:val="single" w:sz="4" w:space="0" w:color="auto"/>
            </w:tcBorders>
            <w:shd w:val="clear" w:color="000000" w:fill="BFBFBF"/>
            <w:hideMark/>
          </w:tcPr>
          <w:p>
            <w:pPr>
              <w:spacing w:after="0" w:line="240" w:lineRule="auto"/>
              <w:jc w:val="center"/>
              <w:rPr>
                <w:rFonts w:ascii="Times New Roman" w:eastAsia="Times New Roman" w:hAnsi="Times New Roman" w:cs="Times New Roman"/>
                <w:b/>
                <w:bCs/>
                <w:noProof/>
                <w:color w:val="000000"/>
              </w:rPr>
            </w:pPr>
            <w:r>
              <w:rPr>
                <w:rFonts w:ascii="Times New Roman" w:hAnsi="Times New Roman"/>
                <w:b/>
                <w:bCs/>
                <w:noProof/>
              </w:rPr>
              <w:t>Nombre de véhicules contrôlés</w:t>
            </w:r>
          </w:p>
        </w:tc>
        <w:tc>
          <w:tcPr>
            <w:tcW w:w="1378" w:type="dxa"/>
            <w:tcBorders>
              <w:top w:val="nil"/>
              <w:left w:val="nil"/>
              <w:bottom w:val="single" w:sz="8" w:space="0" w:color="auto"/>
              <w:right w:val="single" w:sz="4" w:space="0" w:color="auto"/>
            </w:tcBorders>
            <w:shd w:val="clear" w:color="000000" w:fill="BFBFBF"/>
            <w:hideMark/>
          </w:tcPr>
          <w:p>
            <w:pPr>
              <w:spacing w:after="0" w:line="240" w:lineRule="auto"/>
              <w:jc w:val="center"/>
              <w:rPr>
                <w:rFonts w:ascii="Times New Roman" w:eastAsia="Times New Roman" w:hAnsi="Times New Roman" w:cs="Times New Roman"/>
                <w:b/>
                <w:bCs/>
                <w:noProof/>
                <w:color w:val="000000"/>
              </w:rPr>
            </w:pPr>
            <w:r>
              <w:rPr>
                <w:rFonts w:ascii="Times New Roman" w:hAnsi="Times New Roman"/>
                <w:b/>
                <w:bCs/>
                <w:noProof/>
              </w:rPr>
              <w:t>Nombre de suspensions</w:t>
            </w:r>
          </w:p>
        </w:tc>
        <w:tc>
          <w:tcPr>
            <w:tcW w:w="1292" w:type="dxa"/>
            <w:tcBorders>
              <w:top w:val="nil"/>
              <w:left w:val="nil"/>
              <w:bottom w:val="single" w:sz="8" w:space="0" w:color="auto"/>
              <w:right w:val="single" w:sz="8" w:space="0" w:color="auto"/>
            </w:tcBorders>
            <w:shd w:val="clear" w:color="000000" w:fill="BFBFBF"/>
            <w:hideMark/>
          </w:tcPr>
          <w:p>
            <w:pPr>
              <w:spacing w:after="0" w:line="240" w:lineRule="auto"/>
              <w:jc w:val="center"/>
              <w:rPr>
                <w:rFonts w:ascii="Times New Roman" w:eastAsia="Times New Roman" w:hAnsi="Times New Roman" w:cs="Times New Roman"/>
                <w:b/>
                <w:bCs/>
                <w:noProof/>
                <w:color w:val="000000"/>
              </w:rPr>
            </w:pPr>
            <w:r>
              <w:rPr>
                <w:rFonts w:ascii="Times New Roman" w:hAnsi="Times New Roman"/>
                <w:b/>
                <w:bCs/>
                <w:noProof/>
              </w:rPr>
              <w:t>Taux de suspension (%)</w:t>
            </w:r>
          </w:p>
        </w:tc>
        <w:tc>
          <w:tcPr>
            <w:tcW w:w="1096" w:type="dxa"/>
            <w:tcBorders>
              <w:top w:val="nil"/>
              <w:left w:val="nil"/>
              <w:bottom w:val="nil"/>
              <w:right w:val="single" w:sz="4" w:space="0" w:color="auto"/>
            </w:tcBorders>
            <w:shd w:val="clear" w:color="000000" w:fill="BFBFBF"/>
            <w:hideMark/>
          </w:tcPr>
          <w:p>
            <w:pPr>
              <w:spacing w:after="0" w:line="240" w:lineRule="auto"/>
              <w:jc w:val="center"/>
              <w:rPr>
                <w:rFonts w:ascii="Times New Roman" w:eastAsia="Times New Roman" w:hAnsi="Times New Roman" w:cs="Times New Roman"/>
                <w:b/>
                <w:bCs/>
                <w:noProof/>
                <w:color w:val="000000"/>
              </w:rPr>
            </w:pPr>
            <w:r>
              <w:rPr>
                <w:rFonts w:ascii="Times New Roman" w:hAnsi="Times New Roman"/>
                <w:b/>
                <w:bCs/>
                <w:noProof/>
              </w:rPr>
              <w:t>Nombre de véhicules contrôlés</w:t>
            </w:r>
          </w:p>
        </w:tc>
        <w:tc>
          <w:tcPr>
            <w:tcW w:w="1378" w:type="dxa"/>
            <w:tcBorders>
              <w:top w:val="nil"/>
              <w:left w:val="nil"/>
              <w:bottom w:val="nil"/>
              <w:right w:val="single" w:sz="4" w:space="0" w:color="auto"/>
            </w:tcBorders>
            <w:shd w:val="clear" w:color="000000" w:fill="BFBFBF"/>
            <w:hideMark/>
          </w:tcPr>
          <w:p>
            <w:pPr>
              <w:spacing w:after="0" w:line="240" w:lineRule="auto"/>
              <w:jc w:val="center"/>
              <w:rPr>
                <w:rFonts w:ascii="Times New Roman" w:eastAsia="Times New Roman" w:hAnsi="Times New Roman" w:cs="Times New Roman"/>
                <w:b/>
                <w:bCs/>
                <w:noProof/>
                <w:color w:val="000000"/>
              </w:rPr>
            </w:pPr>
            <w:r>
              <w:rPr>
                <w:rFonts w:ascii="Times New Roman" w:hAnsi="Times New Roman"/>
                <w:b/>
                <w:bCs/>
                <w:noProof/>
              </w:rPr>
              <w:t>Nombre de suspensions</w:t>
            </w:r>
          </w:p>
        </w:tc>
        <w:tc>
          <w:tcPr>
            <w:tcW w:w="1292" w:type="dxa"/>
            <w:tcBorders>
              <w:top w:val="nil"/>
              <w:left w:val="nil"/>
              <w:bottom w:val="nil"/>
              <w:right w:val="single" w:sz="8" w:space="0" w:color="auto"/>
            </w:tcBorders>
            <w:shd w:val="clear" w:color="000000" w:fill="BFBFBF"/>
            <w:hideMark/>
          </w:tcPr>
          <w:p>
            <w:pPr>
              <w:spacing w:after="0" w:line="240" w:lineRule="auto"/>
              <w:jc w:val="center"/>
              <w:rPr>
                <w:rFonts w:ascii="Times New Roman" w:eastAsia="Times New Roman" w:hAnsi="Times New Roman" w:cs="Times New Roman"/>
                <w:b/>
                <w:bCs/>
                <w:noProof/>
                <w:color w:val="000000"/>
              </w:rPr>
            </w:pPr>
            <w:r>
              <w:rPr>
                <w:rFonts w:ascii="Times New Roman" w:hAnsi="Times New Roman"/>
                <w:b/>
                <w:bCs/>
                <w:noProof/>
              </w:rPr>
              <w:t>Taux de suspension (%)</w:t>
            </w:r>
          </w:p>
        </w:tc>
      </w:tr>
      <w:tr>
        <w:trPr>
          <w:trHeight w:val="300"/>
          <w:jc w:val="center"/>
        </w:trPr>
        <w:tc>
          <w:tcPr>
            <w:tcW w:w="1843"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Autriche</w:t>
            </w:r>
          </w:p>
        </w:tc>
        <w:tc>
          <w:tcPr>
            <w:tcW w:w="127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18 672</w:t>
            </w:r>
          </w:p>
        </w:tc>
        <w:tc>
          <w:tcPr>
            <w:tcW w:w="1378"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10 315</w:t>
            </w:r>
          </w:p>
        </w:tc>
        <w:tc>
          <w:tcPr>
            <w:tcW w:w="1292"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55,2 %</w:t>
            </w:r>
          </w:p>
        </w:tc>
        <w:tc>
          <w:tcPr>
            <w:tcW w:w="1096" w:type="dxa"/>
            <w:tcBorders>
              <w:top w:val="single" w:sz="8" w:space="0" w:color="auto"/>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22 188</w:t>
            </w:r>
          </w:p>
        </w:tc>
        <w:tc>
          <w:tcPr>
            <w:tcW w:w="1378" w:type="dxa"/>
            <w:tcBorders>
              <w:top w:val="single" w:sz="8" w:space="0" w:color="auto"/>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12 882</w:t>
            </w:r>
          </w:p>
        </w:tc>
        <w:tc>
          <w:tcPr>
            <w:tcW w:w="1292" w:type="dxa"/>
            <w:tcBorders>
              <w:top w:val="single" w:sz="8" w:space="0" w:color="auto"/>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58,1 %</w:t>
            </w:r>
          </w:p>
        </w:tc>
      </w:tr>
      <w:tr>
        <w:trPr>
          <w:trHeight w:val="300"/>
          <w:jc w:val="center"/>
        </w:trPr>
        <w:tc>
          <w:tcPr>
            <w:tcW w:w="1843"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Belgique</w:t>
            </w:r>
          </w:p>
        </w:tc>
        <w:tc>
          <w:tcPr>
            <w:tcW w:w="127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2 918</w:t>
            </w:r>
          </w:p>
        </w:tc>
        <w:tc>
          <w:tcPr>
            <w:tcW w:w="1378"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269</w:t>
            </w:r>
          </w:p>
        </w:tc>
        <w:tc>
          <w:tcPr>
            <w:tcW w:w="1292"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9,2 %</w:t>
            </w:r>
          </w:p>
        </w:tc>
        <w:tc>
          <w:tcPr>
            <w:tcW w:w="109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6 509</w:t>
            </w:r>
          </w:p>
        </w:tc>
        <w:tc>
          <w:tcPr>
            <w:tcW w:w="1378"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404</w:t>
            </w:r>
          </w:p>
        </w:tc>
        <w:tc>
          <w:tcPr>
            <w:tcW w:w="1292"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6,2 %</w:t>
            </w:r>
          </w:p>
        </w:tc>
      </w:tr>
      <w:tr>
        <w:trPr>
          <w:trHeight w:val="300"/>
          <w:jc w:val="center"/>
        </w:trPr>
        <w:tc>
          <w:tcPr>
            <w:tcW w:w="1843"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Bulgarie</w:t>
            </w:r>
          </w:p>
        </w:tc>
        <w:tc>
          <w:tcPr>
            <w:tcW w:w="127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209 717</w:t>
            </w:r>
          </w:p>
        </w:tc>
        <w:tc>
          <w:tcPr>
            <w:tcW w:w="1378"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1 144</w:t>
            </w:r>
          </w:p>
        </w:tc>
        <w:tc>
          <w:tcPr>
            <w:tcW w:w="1292"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0,5 %</w:t>
            </w:r>
          </w:p>
        </w:tc>
        <w:tc>
          <w:tcPr>
            <w:tcW w:w="109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40 016</w:t>
            </w:r>
          </w:p>
        </w:tc>
        <w:tc>
          <w:tcPr>
            <w:tcW w:w="1378"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500</w:t>
            </w:r>
          </w:p>
        </w:tc>
        <w:tc>
          <w:tcPr>
            <w:tcW w:w="1292"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1,2 %</w:t>
            </w:r>
          </w:p>
        </w:tc>
      </w:tr>
      <w:tr>
        <w:trPr>
          <w:trHeight w:val="300"/>
          <w:jc w:val="center"/>
        </w:trPr>
        <w:tc>
          <w:tcPr>
            <w:tcW w:w="1843"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Croatie</w:t>
            </w:r>
          </w:p>
        </w:tc>
        <w:tc>
          <w:tcPr>
            <w:tcW w:w="127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24 511</w:t>
            </w:r>
          </w:p>
        </w:tc>
        <w:tc>
          <w:tcPr>
            <w:tcW w:w="1378"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1 655</w:t>
            </w:r>
          </w:p>
        </w:tc>
        <w:tc>
          <w:tcPr>
            <w:tcW w:w="1292"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6,8 %</w:t>
            </w:r>
          </w:p>
        </w:tc>
        <w:tc>
          <w:tcPr>
            <w:tcW w:w="109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4 729</w:t>
            </w:r>
          </w:p>
        </w:tc>
        <w:tc>
          <w:tcPr>
            <w:tcW w:w="1378"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301</w:t>
            </w:r>
          </w:p>
        </w:tc>
        <w:tc>
          <w:tcPr>
            <w:tcW w:w="1292"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6,4 %</w:t>
            </w:r>
          </w:p>
        </w:tc>
      </w:tr>
      <w:tr>
        <w:trPr>
          <w:trHeight w:val="300"/>
          <w:jc w:val="center"/>
        </w:trPr>
        <w:tc>
          <w:tcPr>
            <w:tcW w:w="1843"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Chypre</w:t>
            </w:r>
          </w:p>
        </w:tc>
        <w:tc>
          <w:tcPr>
            <w:tcW w:w="127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6 214</w:t>
            </w:r>
          </w:p>
        </w:tc>
        <w:tc>
          <w:tcPr>
            <w:tcW w:w="1378"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1 232</w:t>
            </w:r>
          </w:p>
        </w:tc>
        <w:tc>
          <w:tcPr>
            <w:tcW w:w="1292"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19,8 %</w:t>
            </w:r>
          </w:p>
        </w:tc>
        <w:tc>
          <w:tcPr>
            <w:tcW w:w="109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0</w:t>
            </w:r>
          </w:p>
        </w:tc>
        <w:tc>
          <w:tcPr>
            <w:tcW w:w="1378"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0</w:t>
            </w:r>
          </w:p>
        </w:tc>
        <w:tc>
          <w:tcPr>
            <w:tcW w:w="1292"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s.o.</w:t>
            </w:r>
          </w:p>
        </w:tc>
      </w:tr>
      <w:tr>
        <w:trPr>
          <w:trHeight w:val="300"/>
          <w:jc w:val="center"/>
        </w:trPr>
        <w:tc>
          <w:tcPr>
            <w:tcW w:w="1843"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Tchéquie</w:t>
            </w:r>
          </w:p>
        </w:tc>
        <w:tc>
          <w:tcPr>
            <w:tcW w:w="127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53 949</w:t>
            </w:r>
          </w:p>
        </w:tc>
        <w:tc>
          <w:tcPr>
            <w:tcW w:w="1378"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285</w:t>
            </w:r>
          </w:p>
        </w:tc>
        <w:tc>
          <w:tcPr>
            <w:tcW w:w="1292"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0,5 %</w:t>
            </w:r>
          </w:p>
        </w:tc>
        <w:tc>
          <w:tcPr>
            <w:tcW w:w="109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32 370</w:t>
            </w:r>
          </w:p>
        </w:tc>
        <w:tc>
          <w:tcPr>
            <w:tcW w:w="1378"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85</w:t>
            </w:r>
          </w:p>
        </w:tc>
        <w:tc>
          <w:tcPr>
            <w:tcW w:w="1292"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0,3 %</w:t>
            </w:r>
          </w:p>
        </w:tc>
      </w:tr>
      <w:tr>
        <w:trPr>
          <w:trHeight w:val="300"/>
          <w:jc w:val="center"/>
        </w:trPr>
        <w:tc>
          <w:tcPr>
            <w:tcW w:w="1843"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Danemark</w:t>
            </w:r>
          </w:p>
        </w:tc>
        <w:tc>
          <w:tcPr>
            <w:tcW w:w="127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3 175</w:t>
            </w:r>
          </w:p>
        </w:tc>
        <w:tc>
          <w:tcPr>
            <w:tcW w:w="1378"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1 091</w:t>
            </w:r>
          </w:p>
        </w:tc>
        <w:tc>
          <w:tcPr>
            <w:tcW w:w="1292"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34,4 %</w:t>
            </w:r>
          </w:p>
        </w:tc>
        <w:tc>
          <w:tcPr>
            <w:tcW w:w="109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553</w:t>
            </w:r>
          </w:p>
        </w:tc>
        <w:tc>
          <w:tcPr>
            <w:tcW w:w="1378"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95</w:t>
            </w:r>
          </w:p>
        </w:tc>
        <w:tc>
          <w:tcPr>
            <w:tcW w:w="1292"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17,2 %</w:t>
            </w:r>
          </w:p>
        </w:tc>
      </w:tr>
      <w:tr>
        <w:trPr>
          <w:trHeight w:val="300"/>
          <w:jc w:val="center"/>
        </w:trPr>
        <w:tc>
          <w:tcPr>
            <w:tcW w:w="1843"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Estonie</w:t>
            </w:r>
          </w:p>
        </w:tc>
        <w:tc>
          <w:tcPr>
            <w:tcW w:w="127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2 581</w:t>
            </w:r>
          </w:p>
        </w:tc>
        <w:tc>
          <w:tcPr>
            <w:tcW w:w="1378"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2 465</w:t>
            </w:r>
          </w:p>
        </w:tc>
        <w:tc>
          <w:tcPr>
            <w:tcW w:w="1292"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95,5 %</w:t>
            </w:r>
          </w:p>
        </w:tc>
        <w:tc>
          <w:tcPr>
            <w:tcW w:w="109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92</w:t>
            </w:r>
          </w:p>
        </w:tc>
        <w:tc>
          <w:tcPr>
            <w:tcW w:w="1378"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79</w:t>
            </w:r>
          </w:p>
        </w:tc>
        <w:tc>
          <w:tcPr>
            <w:tcW w:w="1292"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85,9 %</w:t>
            </w:r>
          </w:p>
        </w:tc>
      </w:tr>
      <w:tr>
        <w:trPr>
          <w:trHeight w:val="300"/>
          <w:jc w:val="center"/>
        </w:trPr>
        <w:tc>
          <w:tcPr>
            <w:tcW w:w="1843"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Finlande*</w:t>
            </w:r>
          </w:p>
        </w:tc>
        <w:tc>
          <w:tcPr>
            <w:tcW w:w="127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i/>
                <w:noProof/>
                <w:color w:val="000000"/>
              </w:rPr>
            </w:pPr>
            <w:r>
              <w:rPr>
                <w:rFonts w:ascii="Times New Roman" w:hAnsi="Times New Roman"/>
                <w:i/>
                <w:noProof/>
              </w:rPr>
              <w:t>6 646</w:t>
            </w:r>
          </w:p>
        </w:tc>
        <w:tc>
          <w:tcPr>
            <w:tcW w:w="1378"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i/>
                <w:noProof/>
                <w:color w:val="000000"/>
              </w:rPr>
            </w:pPr>
            <w:r>
              <w:rPr>
                <w:rFonts w:ascii="Times New Roman" w:hAnsi="Times New Roman"/>
                <w:i/>
                <w:noProof/>
              </w:rPr>
              <w:t>130</w:t>
            </w:r>
          </w:p>
        </w:tc>
        <w:tc>
          <w:tcPr>
            <w:tcW w:w="1292"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i/>
                <w:noProof/>
                <w:color w:val="000000"/>
              </w:rPr>
            </w:pPr>
            <w:r>
              <w:rPr>
                <w:rFonts w:ascii="Times New Roman" w:hAnsi="Times New Roman"/>
                <w:i/>
                <w:noProof/>
              </w:rPr>
              <w:t>2 %</w:t>
            </w:r>
          </w:p>
        </w:tc>
        <w:tc>
          <w:tcPr>
            <w:tcW w:w="109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i/>
                <w:noProof/>
                <w:color w:val="000000"/>
              </w:rPr>
            </w:pPr>
            <w:r>
              <w:rPr>
                <w:rFonts w:ascii="Times New Roman" w:hAnsi="Times New Roman"/>
                <w:i/>
                <w:noProof/>
              </w:rPr>
              <w:t>1 744</w:t>
            </w:r>
          </w:p>
        </w:tc>
        <w:tc>
          <w:tcPr>
            <w:tcW w:w="1378"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i/>
                <w:noProof/>
                <w:color w:val="000000"/>
              </w:rPr>
            </w:pPr>
            <w:r>
              <w:rPr>
                <w:rFonts w:ascii="Times New Roman" w:hAnsi="Times New Roman"/>
                <w:i/>
                <w:noProof/>
              </w:rPr>
              <w:t>33</w:t>
            </w:r>
          </w:p>
        </w:tc>
        <w:tc>
          <w:tcPr>
            <w:tcW w:w="1292"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i/>
                <w:noProof/>
                <w:color w:val="000000"/>
              </w:rPr>
            </w:pPr>
            <w:r>
              <w:rPr>
                <w:rFonts w:ascii="Times New Roman" w:hAnsi="Times New Roman"/>
                <w:i/>
                <w:noProof/>
              </w:rPr>
              <w:t>1,9 %</w:t>
            </w:r>
          </w:p>
        </w:tc>
      </w:tr>
      <w:tr>
        <w:trPr>
          <w:trHeight w:val="300"/>
          <w:jc w:val="center"/>
        </w:trPr>
        <w:tc>
          <w:tcPr>
            <w:tcW w:w="1843"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France</w:t>
            </w:r>
          </w:p>
        </w:tc>
        <w:tc>
          <w:tcPr>
            <w:tcW w:w="127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369 857</w:t>
            </w:r>
          </w:p>
        </w:tc>
        <w:tc>
          <w:tcPr>
            <w:tcW w:w="1378"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44 383</w:t>
            </w:r>
          </w:p>
        </w:tc>
        <w:tc>
          <w:tcPr>
            <w:tcW w:w="1292"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12 %</w:t>
            </w:r>
          </w:p>
        </w:tc>
        <w:tc>
          <w:tcPr>
            <w:tcW w:w="109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627 035</w:t>
            </w:r>
          </w:p>
        </w:tc>
        <w:tc>
          <w:tcPr>
            <w:tcW w:w="1378"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59 337</w:t>
            </w:r>
          </w:p>
        </w:tc>
        <w:tc>
          <w:tcPr>
            <w:tcW w:w="1292"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9,5 %</w:t>
            </w:r>
          </w:p>
        </w:tc>
      </w:tr>
      <w:tr>
        <w:trPr>
          <w:trHeight w:val="300"/>
          <w:jc w:val="center"/>
        </w:trPr>
        <w:tc>
          <w:tcPr>
            <w:tcW w:w="1843"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Allemagne</w:t>
            </w:r>
          </w:p>
        </w:tc>
        <w:tc>
          <w:tcPr>
            <w:tcW w:w="127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1 055 997</w:t>
            </w:r>
          </w:p>
        </w:tc>
        <w:tc>
          <w:tcPr>
            <w:tcW w:w="1378"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11 278</w:t>
            </w:r>
          </w:p>
        </w:tc>
        <w:tc>
          <w:tcPr>
            <w:tcW w:w="1292"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1,1 %</w:t>
            </w:r>
          </w:p>
        </w:tc>
        <w:tc>
          <w:tcPr>
            <w:tcW w:w="109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525 616</w:t>
            </w:r>
          </w:p>
        </w:tc>
        <w:tc>
          <w:tcPr>
            <w:tcW w:w="1378"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14 497</w:t>
            </w:r>
          </w:p>
        </w:tc>
        <w:tc>
          <w:tcPr>
            <w:tcW w:w="1292"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2,8 %</w:t>
            </w:r>
          </w:p>
        </w:tc>
      </w:tr>
      <w:tr>
        <w:trPr>
          <w:trHeight w:val="300"/>
          <w:jc w:val="center"/>
        </w:trPr>
        <w:tc>
          <w:tcPr>
            <w:tcW w:w="1843"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Grèce</w:t>
            </w:r>
          </w:p>
        </w:tc>
        <w:tc>
          <w:tcPr>
            <w:tcW w:w="127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4 465</w:t>
            </w:r>
          </w:p>
        </w:tc>
        <w:tc>
          <w:tcPr>
            <w:tcW w:w="1378"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55</w:t>
            </w:r>
          </w:p>
        </w:tc>
        <w:tc>
          <w:tcPr>
            <w:tcW w:w="1292"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1,2 %</w:t>
            </w:r>
          </w:p>
        </w:tc>
        <w:tc>
          <w:tcPr>
            <w:tcW w:w="109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930</w:t>
            </w:r>
          </w:p>
        </w:tc>
        <w:tc>
          <w:tcPr>
            <w:tcW w:w="1378"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16</w:t>
            </w:r>
          </w:p>
        </w:tc>
        <w:tc>
          <w:tcPr>
            <w:tcW w:w="1292"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1,7 %</w:t>
            </w:r>
          </w:p>
        </w:tc>
      </w:tr>
      <w:tr>
        <w:trPr>
          <w:trHeight w:val="300"/>
          <w:jc w:val="center"/>
        </w:trPr>
        <w:tc>
          <w:tcPr>
            <w:tcW w:w="1843"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Hongrie</w:t>
            </w:r>
          </w:p>
        </w:tc>
        <w:tc>
          <w:tcPr>
            <w:tcW w:w="127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145 921</w:t>
            </w:r>
          </w:p>
        </w:tc>
        <w:tc>
          <w:tcPr>
            <w:tcW w:w="1378"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6 884</w:t>
            </w:r>
          </w:p>
        </w:tc>
        <w:tc>
          <w:tcPr>
            <w:tcW w:w="1292"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4,7 %</w:t>
            </w:r>
          </w:p>
        </w:tc>
        <w:tc>
          <w:tcPr>
            <w:tcW w:w="109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49 984</w:t>
            </w:r>
          </w:p>
        </w:tc>
        <w:tc>
          <w:tcPr>
            <w:tcW w:w="1378"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1 504</w:t>
            </w:r>
          </w:p>
        </w:tc>
        <w:tc>
          <w:tcPr>
            <w:tcW w:w="1292"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3 %</w:t>
            </w:r>
          </w:p>
        </w:tc>
      </w:tr>
      <w:tr>
        <w:trPr>
          <w:trHeight w:val="300"/>
          <w:jc w:val="center"/>
        </w:trPr>
        <w:tc>
          <w:tcPr>
            <w:tcW w:w="1843"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Irlande</w:t>
            </w:r>
          </w:p>
        </w:tc>
        <w:tc>
          <w:tcPr>
            <w:tcW w:w="127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28 754</w:t>
            </w:r>
          </w:p>
        </w:tc>
        <w:tc>
          <w:tcPr>
            <w:tcW w:w="1378"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1 716</w:t>
            </w:r>
          </w:p>
        </w:tc>
        <w:tc>
          <w:tcPr>
            <w:tcW w:w="1292"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6 %</w:t>
            </w:r>
          </w:p>
        </w:tc>
        <w:tc>
          <w:tcPr>
            <w:tcW w:w="109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1 086</w:t>
            </w:r>
          </w:p>
        </w:tc>
        <w:tc>
          <w:tcPr>
            <w:tcW w:w="1378"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193</w:t>
            </w:r>
          </w:p>
        </w:tc>
        <w:tc>
          <w:tcPr>
            <w:tcW w:w="1292"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17,8 %</w:t>
            </w:r>
          </w:p>
        </w:tc>
      </w:tr>
      <w:tr>
        <w:trPr>
          <w:trHeight w:val="300"/>
          <w:jc w:val="center"/>
        </w:trPr>
        <w:tc>
          <w:tcPr>
            <w:tcW w:w="1843"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Italie</w:t>
            </w:r>
          </w:p>
        </w:tc>
        <w:tc>
          <w:tcPr>
            <w:tcW w:w="127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4 740</w:t>
            </w:r>
          </w:p>
        </w:tc>
        <w:tc>
          <w:tcPr>
            <w:tcW w:w="1378"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2 616</w:t>
            </w:r>
          </w:p>
        </w:tc>
        <w:tc>
          <w:tcPr>
            <w:tcW w:w="1292"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55,2 %</w:t>
            </w:r>
          </w:p>
        </w:tc>
        <w:tc>
          <w:tcPr>
            <w:tcW w:w="109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756</w:t>
            </w:r>
          </w:p>
        </w:tc>
        <w:tc>
          <w:tcPr>
            <w:tcW w:w="1378"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297</w:t>
            </w:r>
          </w:p>
        </w:tc>
        <w:tc>
          <w:tcPr>
            <w:tcW w:w="1292"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39,3 %</w:t>
            </w:r>
          </w:p>
        </w:tc>
      </w:tr>
      <w:tr>
        <w:trPr>
          <w:trHeight w:val="300"/>
          <w:jc w:val="center"/>
        </w:trPr>
        <w:tc>
          <w:tcPr>
            <w:tcW w:w="1843"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Lettonie</w:t>
            </w:r>
          </w:p>
        </w:tc>
        <w:tc>
          <w:tcPr>
            <w:tcW w:w="127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5 739</w:t>
            </w:r>
          </w:p>
        </w:tc>
        <w:tc>
          <w:tcPr>
            <w:tcW w:w="1378"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32</w:t>
            </w:r>
          </w:p>
        </w:tc>
        <w:tc>
          <w:tcPr>
            <w:tcW w:w="1292"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0,6 %</w:t>
            </w:r>
          </w:p>
        </w:tc>
        <w:tc>
          <w:tcPr>
            <w:tcW w:w="109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2 913</w:t>
            </w:r>
          </w:p>
        </w:tc>
        <w:tc>
          <w:tcPr>
            <w:tcW w:w="1378"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29</w:t>
            </w:r>
          </w:p>
        </w:tc>
        <w:tc>
          <w:tcPr>
            <w:tcW w:w="1292"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1 %</w:t>
            </w:r>
          </w:p>
        </w:tc>
      </w:tr>
      <w:tr>
        <w:trPr>
          <w:trHeight w:val="300"/>
          <w:jc w:val="center"/>
        </w:trPr>
        <w:tc>
          <w:tcPr>
            <w:tcW w:w="1843"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Lituanie</w:t>
            </w:r>
          </w:p>
        </w:tc>
        <w:tc>
          <w:tcPr>
            <w:tcW w:w="127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56 237</w:t>
            </w:r>
          </w:p>
        </w:tc>
        <w:tc>
          <w:tcPr>
            <w:tcW w:w="1378"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211</w:t>
            </w:r>
          </w:p>
        </w:tc>
        <w:tc>
          <w:tcPr>
            <w:tcW w:w="1292"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0,4 %</w:t>
            </w:r>
          </w:p>
        </w:tc>
        <w:tc>
          <w:tcPr>
            <w:tcW w:w="109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14 349</w:t>
            </w:r>
          </w:p>
        </w:tc>
        <w:tc>
          <w:tcPr>
            <w:tcW w:w="1378"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100</w:t>
            </w:r>
          </w:p>
        </w:tc>
        <w:tc>
          <w:tcPr>
            <w:tcW w:w="1292"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0,7 %</w:t>
            </w:r>
          </w:p>
        </w:tc>
      </w:tr>
      <w:tr>
        <w:trPr>
          <w:trHeight w:val="300"/>
          <w:jc w:val="center"/>
        </w:trPr>
        <w:tc>
          <w:tcPr>
            <w:tcW w:w="1843"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Luxembourg</w:t>
            </w:r>
          </w:p>
        </w:tc>
        <w:tc>
          <w:tcPr>
            <w:tcW w:w="127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63</w:t>
            </w:r>
          </w:p>
        </w:tc>
        <w:tc>
          <w:tcPr>
            <w:tcW w:w="1378"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3</w:t>
            </w:r>
          </w:p>
        </w:tc>
        <w:tc>
          <w:tcPr>
            <w:tcW w:w="1292"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4,8 %</w:t>
            </w:r>
          </w:p>
        </w:tc>
        <w:tc>
          <w:tcPr>
            <w:tcW w:w="109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311</w:t>
            </w:r>
          </w:p>
        </w:tc>
        <w:tc>
          <w:tcPr>
            <w:tcW w:w="1378"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9</w:t>
            </w:r>
          </w:p>
        </w:tc>
        <w:tc>
          <w:tcPr>
            <w:tcW w:w="1292"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2,9 %</w:t>
            </w:r>
          </w:p>
        </w:tc>
      </w:tr>
      <w:tr>
        <w:trPr>
          <w:trHeight w:val="300"/>
          <w:jc w:val="center"/>
        </w:trPr>
        <w:tc>
          <w:tcPr>
            <w:tcW w:w="1843"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Malte</w:t>
            </w:r>
          </w:p>
        </w:tc>
        <w:tc>
          <w:tcPr>
            <w:tcW w:w="127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6 924</w:t>
            </w:r>
          </w:p>
        </w:tc>
        <w:tc>
          <w:tcPr>
            <w:tcW w:w="1378"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3 673</w:t>
            </w:r>
          </w:p>
        </w:tc>
        <w:tc>
          <w:tcPr>
            <w:tcW w:w="1292"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53 %</w:t>
            </w:r>
          </w:p>
        </w:tc>
        <w:tc>
          <w:tcPr>
            <w:tcW w:w="109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19</w:t>
            </w:r>
          </w:p>
        </w:tc>
        <w:tc>
          <w:tcPr>
            <w:tcW w:w="1378"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w:t>
            </w:r>
          </w:p>
        </w:tc>
        <w:tc>
          <w:tcPr>
            <w:tcW w:w="1292"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5,3 %</w:t>
            </w:r>
          </w:p>
        </w:tc>
      </w:tr>
      <w:tr>
        <w:trPr>
          <w:trHeight w:val="300"/>
          <w:jc w:val="center"/>
        </w:trPr>
        <w:tc>
          <w:tcPr>
            <w:tcW w:w="1843"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Pays-Bas</w:t>
            </w:r>
          </w:p>
        </w:tc>
        <w:tc>
          <w:tcPr>
            <w:tcW w:w="127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2 845</w:t>
            </w:r>
          </w:p>
        </w:tc>
        <w:tc>
          <w:tcPr>
            <w:tcW w:w="1378"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41</w:t>
            </w:r>
          </w:p>
        </w:tc>
        <w:tc>
          <w:tcPr>
            <w:tcW w:w="1292"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1,4 %</w:t>
            </w:r>
          </w:p>
        </w:tc>
        <w:tc>
          <w:tcPr>
            <w:tcW w:w="109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3 612</w:t>
            </w:r>
          </w:p>
        </w:tc>
        <w:tc>
          <w:tcPr>
            <w:tcW w:w="1378"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127</w:t>
            </w:r>
          </w:p>
        </w:tc>
        <w:tc>
          <w:tcPr>
            <w:tcW w:w="1292"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3,5 %</w:t>
            </w:r>
          </w:p>
        </w:tc>
      </w:tr>
      <w:tr>
        <w:trPr>
          <w:trHeight w:val="300"/>
          <w:jc w:val="center"/>
        </w:trPr>
        <w:tc>
          <w:tcPr>
            <w:tcW w:w="1843"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Pologne</w:t>
            </w:r>
          </w:p>
        </w:tc>
        <w:tc>
          <w:tcPr>
            <w:tcW w:w="127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317 270</w:t>
            </w:r>
          </w:p>
        </w:tc>
        <w:tc>
          <w:tcPr>
            <w:tcW w:w="1378"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30 026</w:t>
            </w:r>
          </w:p>
        </w:tc>
        <w:tc>
          <w:tcPr>
            <w:tcW w:w="1292"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9,5 %</w:t>
            </w:r>
          </w:p>
        </w:tc>
        <w:tc>
          <w:tcPr>
            <w:tcW w:w="109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100 168</w:t>
            </w:r>
          </w:p>
        </w:tc>
        <w:tc>
          <w:tcPr>
            <w:tcW w:w="1378"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2 728</w:t>
            </w:r>
          </w:p>
        </w:tc>
        <w:tc>
          <w:tcPr>
            <w:tcW w:w="1292"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2,7 %</w:t>
            </w:r>
          </w:p>
        </w:tc>
      </w:tr>
      <w:tr>
        <w:trPr>
          <w:trHeight w:val="300"/>
          <w:jc w:val="center"/>
        </w:trPr>
        <w:tc>
          <w:tcPr>
            <w:tcW w:w="1843"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Portugal</w:t>
            </w:r>
          </w:p>
        </w:tc>
        <w:tc>
          <w:tcPr>
            <w:tcW w:w="127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1 435</w:t>
            </w:r>
          </w:p>
        </w:tc>
        <w:tc>
          <w:tcPr>
            <w:tcW w:w="1378"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776</w:t>
            </w:r>
          </w:p>
        </w:tc>
        <w:tc>
          <w:tcPr>
            <w:tcW w:w="1292"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54,1 %</w:t>
            </w:r>
          </w:p>
        </w:tc>
        <w:tc>
          <w:tcPr>
            <w:tcW w:w="109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87</w:t>
            </w:r>
          </w:p>
        </w:tc>
        <w:tc>
          <w:tcPr>
            <w:tcW w:w="1378"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0</w:t>
            </w:r>
          </w:p>
        </w:tc>
        <w:tc>
          <w:tcPr>
            <w:tcW w:w="1292"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0 %</w:t>
            </w:r>
          </w:p>
        </w:tc>
      </w:tr>
      <w:tr>
        <w:trPr>
          <w:trHeight w:val="300"/>
          <w:jc w:val="center"/>
        </w:trPr>
        <w:tc>
          <w:tcPr>
            <w:tcW w:w="1843"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Roumanie</w:t>
            </w:r>
          </w:p>
        </w:tc>
        <w:tc>
          <w:tcPr>
            <w:tcW w:w="127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12 018</w:t>
            </w:r>
          </w:p>
        </w:tc>
        <w:tc>
          <w:tcPr>
            <w:tcW w:w="1378"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3 741</w:t>
            </w:r>
          </w:p>
        </w:tc>
        <w:tc>
          <w:tcPr>
            <w:tcW w:w="1292"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31,1 %</w:t>
            </w:r>
          </w:p>
        </w:tc>
        <w:tc>
          <w:tcPr>
            <w:tcW w:w="109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768</w:t>
            </w:r>
          </w:p>
        </w:tc>
        <w:tc>
          <w:tcPr>
            <w:tcW w:w="1378"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31</w:t>
            </w:r>
          </w:p>
        </w:tc>
        <w:tc>
          <w:tcPr>
            <w:tcW w:w="1292"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4 %</w:t>
            </w:r>
          </w:p>
        </w:tc>
      </w:tr>
      <w:tr>
        <w:trPr>
          <w:trHeight w:val="300"/>
          <w:jc w:val="center"/>
        </w:trPr>
        <w:tc>
          <w:tcPr>
            <w:tcW w:w="1843"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Slovaquie</w:t>
            </w:r>
          </w:p>
        </w:tc>
        <w:tc>
          <w:tcPr>
            <w:tcW w:w="127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9 761</w:t>
            </w:r>
          </w:p>
        </w:tc>
        <w:tc>
          <w:tcPr>
            <w:tcW w:w="1378"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3 667</w:t>
            </w:r>
          </w:p>
        </w:tc>
        <w:tc>
          <w:tcPr>
            <w:tcW w:w="1292"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37,6 %</w:t>
            </w:r>
          </w:p>
        </w:tc>
        <w:tc>
          <w:tcPr>
            <w:tcW w:w="109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8 999</w:t>
            </w:r>
          </w:p>
        </w:tc>
        <w:tc>
          <w:tcPr>
            <w:tcW w:w="1378"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2 288</w:t>
            </w:r>
          </w:p>
        </w:tc>
        <w:tc>
          <w:tcPr>
            <w:tcW w:w="1292"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25,4 %</w:t>
            </w:r>
          </w:p>
        </w:tc>
      </w:tr>
      <w:tr>
        <w:trPr>
          <w:trHeight w:val="300"/>
          <w:jc w:val="center"/>
        </w:trPr>
        <w:tc>
          <w:tcPr>
            <w:tcW w:w="1843"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Slovénie</w:t>
            </w:r>
          </w:p>
        </w:tc>
        <w:tc>
          <w:tcPr>
            <w:tcW w:w="127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4 048</w:t>
            </w:r>
          </w:p>
        </w:tc>
        <w:tc>
          <w:tcPr>
            <w:tcW w:w="1378"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53</w:t>
            </w:r>
          </w:p>
        </w:tc>
        <w:tc>
          <w:tcPr>
            <w:tcW w:w="1292"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1,3 %</w:t>
            </w:r>
          </w:p>
        </w:tc>
        <w:tc>
          <w:tcPr>
            <w:tcW w:w="109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897</w:t>
            </w:r>
          </w:p>
        </w:tc>
        <w:tc>
          <w:tcPr>
            <w:tcW w:w="1378"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56</w:t>
            </w:r>
          </w:p>
        </w:tc>
        <w:tc>
          <w:tcPr>
            <w:tcW w:w="1292"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6,2 %</w:t>
            </w:r>
          </w:p>
        </w:tc>
      </w:tr>
      <w:tr>
        <w:trPr>
          <w:trHeight w:val="300"/>
          <w:jc w:val="center"/>
        </w:trPr>
        <w:tc>
          <w:tcPr>
            <w:tcW w:w="1843"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Espagne</w:t>
            </w:r>
          </w:p>
        </w:tc>
        <w:tc>
          <w:tcPr>
            <w:tcW w:w="127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592 537</w:t>
            </w:r>
          </w:p>
        </w:tc>
        <w:tc>
          <w:tcPr>
            <w:tcW w:w="1378"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54 802</w:t>
            </w:r>
          </w:p>
        </w:tc>
        <w:tc>
          <w:tcPr>
            <w:tcW w:w="1292"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9,2 %</w:t>
            </w:r>
          </w:p>
        </w:tc>
        <w:tc>
          <w:tcPr>
            <w:tcW w:w="109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61 855</w:t>
            </w:r>
          </w:p>
        </w:tc>
        <w:tc>
          <w:tcPr>
            <w:tcW w:w="1378"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2 437</w:t>
            </w:r>
          </w:p>
        </w:tc>
        <w:tc>
          <w:tcPr>
            <w:tcW w:w="1292"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3,9 %</w:t>
            </w:r>
          </w:p>
        </w:tc>
      </w:tr>
      <w:tr>
        <w:trPr>
          <w:trHeight w:val="300"/>
          <w:jc w:val="center"/>
        </w:trPr>
        <w:tc>
          <w:tcPr>
            <w:tcW w:w="1843"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i/>
                <w:noProof/>
                <w:color w:val="000000"/>
              </w:rPr>
            </w:pPr>
            <w:r>
              <w:rPr>
                <w:rFonts w:ascii="Times New Roman" w:hAnsi="Times New Roman"/>
                <w:b/>
                <w:bCs/>
                <w:i/>
                <w:noProof/>
              </w:rPr>
              <w:t>Suède*</w:t>
            </w:r>
          </w:p>
        </w:tc>
        <w:tc>
          <w:tcPr>
            <w:tcW w:w="127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rPr>
            </w:pPr>
            <w:r>
              <w:rPr>
                <w:rFonts w:ascii="Times New Roman" w:hAnsi="Times New Roman"/>
                <w:noProof/>
              </w:rPr>
              <w:t>38 336</w:t>
            </w:r>
          </w:p>
        </w:tc>
        <w:tc>
          <w:tcPr>
            <w:tcW w:w="1378"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rPr>
            </w:pPr>
            <w:r>
              <w:rPr>
                <w:rFonts w:ascii="Times New Roman" w:hAnsi="Times New Roman"/>
                <w:noProof/>
              </w:rPr>
              <w:t>1 671</w:t>
            </w:r>
          </w:p>
        </w:tc>
        <w:tc>
          <w:tcPr>
            <w:tcW w:w="1292"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rPr>
            </w:pPr>
            <w:r>
              <w:rPr>
                <w:rFonts w:ascii="Times New Roman" w:hAnsi="Times New Roman"/>
                <w:noProof/>
              </w:rPr>
              <w:t>4,36 %</w:t>
            </w:r>
          </w:p>
        </w:tc>
        <w:tc>
          <w:tcPr>
            <w:tcW w:w="109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i/>
                <w:noProof/>
                <w:color w:val="000000"/>
              </w:rPr>
            </w:pPr>
            <w:r>
              <w:rPr>
                <w:rFonts w:ascii="Times New Roman" w:hAnsi="Times New Roman"/>
                <w:i/>
                <w:noProof/>
              </w:rPr>
              <w:t>6 986</w:t>
            </w:r>
          </w:p>
        </w:tc>
        <w:tc>
          <w:tcPr>
            <w:tcW w:w="1378"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i/>
                <w:noProof/>
                <w:color w:val="000000"/>
              </w:rPr>
            </w:pPr>
            <w:r>
              <w:rPr>
                <w:rFonts w:ascii="Times New Roman" w:hAnsi="Times New Roman"/>
                <w:i/>
                <w:noProof/>
              </w:rPr>
              <w:t>5 962</w:t>
            </w:r>
          </w:p>
        </w:tc>
        <w:tc>
          <w:tcPr>
            <w:tcW w:w="1292"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i/>
                <w:noProof/>
                <w:color w:val="000000"/>
              </w:rPr>
            </w:pPr>
            <w:r>
              <w:rPr>
                <w:rFonts w:ascii="Times New Roman" w:hAnsi="Times New Roman"/>
                <w:i/>
                <w:noProof/>
              </w:rPr>
              <w:t>85,3 %</w:t>
            </w:r>
          </w:p>
        </w:tc>
      </w:tr>
      <w:tr>
        <w:trPr>
          <w:trHeight w:val="300"/>
          <w:jc w:val="center"/>
        </w:trPr>
        <w:tc>
          <w:tcPr>
            <w:tcW w:w="1843"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Royaume-Uni</w:t>
            </w:r>
          </w:p>
        </w:tc>
        <w:tc>
          <w:tcPr>
            <w:tcW w:w="127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130 661</w:t>
            </w:r>
          </w:p>
        </w:tc>
        <w:tc>
          <w:tcPr>
            <w:tcW w:w="1378"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28 735</w:t>
            </w:r>
          </w:p>
        </w:tc>
        <w:tc>
          <w:tcPr>
            <w:tcW w:w="1292"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22 %</w:t>
            </w:r>
          </w:p>
        </w:tc>
        <w:tc>
          <w:tcPr>
            <w:tcW w:w="109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134 874</w:t>
            </w:r>
          </w:p>
        </w:tc>
        <w:tc>
          <w:tcPr>
            <w:tcW w:w="1378"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44 151</w:t>
            </w:r>
          </w:p>
        </w:tc>
        <w:tc>
          <w:tcPr>
            <w:tcW w:w="1292"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32,7 %</w:t>
            </w:r>
          </w:p>
        </w:tc>
      </w:tr>
      <w:tr>
        <w:trPr>
          <w:trHeight w:val="315"/>
          <w:jc w:val="center"/>
        </w:trPr>
        <w:tc>
          <w:tcPr>
            <w:tcW w:w="1843"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Totaux</w:t>
            </w:r>
          </w:p>
        </w:tc>
        <w:tc>
          <w:tcPr>
            <w:tcW w:w="1276" w:type="dxa"/>
            <w:tcBorders>
              <w:top w:val="nil"/>
              <w:left w:val="nil"/>
              <w:bottom w:val="single" w:sz="4" w:space="0" w:color="auto"/>
              <w:right w:val="single" w:sz="4" w:space="0" w:color="auto"/>
            </w:tcBorders>
            <w:shd w:val="clear" w:color="000000" w:fill="BFBFBF"/>
            <w:noWrap/>
            <w:vAlign w:val="bottom"/>
            <w:hideMark/>
          </w:tcPr>
          <w:p>
            <w:pPr>
              <w:spacing w:after="0" w:line="240" w:lineRule="auto"/>
              <w:jc w:val="right"/>
              <w:rPr>
                <w:rFonts w:ascii="Times New Roman" w:eastAsia="Times New Roman" w:hAnsi="Times New Roman" w:cs="Times New Roman"/>
                <w:b/>
                <w:bCs/>
                <w:noProof/>
                <w:color w:val="000000"/>
              </w:rPr>
            </w:pPr>
            <w:r>
              <w:rPr>
                <w:rFonts w:ascii="Times New Roman" w:hAnsi="Times New Roman"/>
                <w:b/>
                <w:bCs/>
                <w:noProof/>
              </w:rPr>
              <w:t>3 116 086</w:t>
            </w:r>
          </w:p>
        </w:tc>
        <w:tc>
          <w:tcPr>
            <w:tcW w:w="1378" w:type="dxa"/>
            <w:tcBorders>
              <w:top w:val="nil"/>
              <w:left w:val="single" w:sz="8" w:space="0" w:color="auto"/>
              <w:bottom w:val="single" w:sz="4" w:space="0" w:color="auto"/>
              <w:right w:val="single" w:sz="4" w:space="0" w:color="auto"/>
            </w:tcBorders>
            <w:shd w:val="clear" w:color="000000" w:fill="BFBFBF"/>
            <w:noWrap/>
            <w:vAlign w:val="bottom"/>
            <w:hideMark/>
          </w:tcPr>
          <w:p>
            <w:pPr>
              <w:spacing w:after="0" w:line="240" w:lineRule="auto"/>
              <w:jc w:val="right"/>
              <w:rPr>
                <w:rFonts w:ascii="Times New Roman" w:eastAsia="Times New Roman" w:hAnsi="Times New Roman" w:cs="Times New Roman"/>
                <w:b/>
                <w:bCs/>
                <w:noProof/>
                <w:color w:val="000000"/>
              </w:rPr>
            </w:pPr>
            <w:r>
              <w:rPr>
                <w:rFonts w:ascii="Times New Roman" w:hAnsi="Times New Roman"/>
                <w:b/>
                <w:bCs/>
                <w:noProof/>
              </w:rPr>
              <w:t>247 403</w:t>
            </w:r>
          </w:p>
        </w:tc>
        <w:tc>
          <w:tcPr>
            <w:tcW w:w="1292" w:type="dxa"/>
            <w:tcBorders>
              <w:top w:val="nil"/>
              <w:left w:val="nil"/>
              <w:bottom w:val="single" w:sz="4" w:space="0" w:color="auto"/>
              <w:right w:val="single" w:sz="8" w:space="0" w:color="auto"/>
            </w:tcBorders>
            <w:shd w:val="clear" w:color="000000" w:fill="BFBFBF"/>
            <w:noWrap/>
            <w:vAlign w:val="bottom"/>
            <w:hideMark/>
          </w:tcPr>
          <w:p>
            <w:pPr>
              <w:spacing w:after="0" w:line="240" w:lineRule="auto"/>
              <w:jc w:val="right"/>
              <w:rPr>
                <w:rFonts w:ascii="Times New Roman" w:eastAsia="Times New Roman" w:hAnsi="Times New Roman" w:cs="Times New Roman"/>
                <w:b/>
                <w:bCs/>
                <w:noProof/>
                <w:color w:val="000000"/>
              </w:rPr>
            </w:pPr>
            <w:r>
              <w:rPr>
                <w:rFonts w:ascii="Times New Roman" w:hAnsi="Times New Roman"/>
                <w:b/>
                <w:bCs/>
                <w:noProof/>
              </w:rPr>
              <w:t>7,9 %</w:t>
            </w:r>
          </w:p>
        </w:tc>
        <w:tc>
          <w:tcPr>
            <w:tcW w:w="1096" w:type="dxa"/>
            <w:tcBorders>
              <w:top w:val="nil"/>
              <w:left w:val="nil"/>
              <w:bottom w:val="single" w:sz="4" w:space="0" w:color="auto"/>
              <w:right w:val="single" w:sz="4" w:space="0" w:color="auto"/>
            </w:tcBorders>
            <w:shd w:val="clear" w:color="000000" w:fill="BFBFBF"/>
            <w:noWrap/>
            <w:vAlign w:val="bottom"/>
            <w:hideMark/>
          </w:tcPr>
          <w:p>
            <w:pPr>
              <w:spacing w:after="0" w:line="240" w:lineRule="auto"/>
              <w:jc w:val="right"/>
              <w:rPr>
                <w:rFonts w:ascii="Times New Roman" w:eastAsia="Times New Roman" w:hAnsi="Times New Roman" w:cs="Times New Roman"/>
                <w:b/>
                <w:bCs/>
                <w:noProof/>
                <w:color w:val="000000"/>
              </w:rPr>
            </w:pPr>
            <w:r>
              <w:rPr>
                <w:rFonts w:ascii="Times New Roman" w:hAnsi="Times New Roman"/>
                <w:b/>
                <w:bCs/>
                <w:noProof/>
              </w:rPr>
              <w:t>1 649 446</w:t>
            </w:r>
          </w:p>
        </w:tc>
        <w:tc>
          <w:tcPr>
            <w:tcW w:w="1378" w:type="dxa"/>
            <w:tcBorders>
              <w:top w:val="nil"/>
              <w:left w:val="nil"/>
              <w:bottom w:val="single" w:sz="4" w:space="0" w:color="auto"/>
              <w:right w:val="single" w:sz="4" w:space="0" w:color="auto"/>
            </w:tcBorders>
            <w:shd w:val="clear" w:color="000000" w:fill="BFBFBF"/>
            <w:noWrap/>
            <w:vAlign w:val="bottom"/>
            <w:hideMark/>
          </w:tcPr>
          <w:p>
            <w:pPr>
              <w:spacing w:after="0" w:line="240" w:lineRule="auto"/>
              <w:jc w:val="right"/>
              <w:rPr>
                <w:rFonts w:ascii="Times New Roman" w:eastAsia="Times New Roman" w:hAnsi="Times New Roman" w:cs="Times New Roman"/>
                <w:b/>
                <w:bCs/>
                <w:noProof/>
                <w:color w:val="000000"/>
              </w:rPr>
            </w:pPr>
            <w:r>
              <w:rPr>
                <w:rFonts w:ascii="Times New Roman" w:hAnsi="Times New Roman"/>
                <w:b/>
                <w:bCs/>
                <w:noProof/>
              </w:rPr>
              <w:t>148 142</w:t>
            </w:r>
          </w:p>
        </w:tc>
        <w:tc>
          <w:tcPr>
            <w:tcW w:w="1292" w:type="dxa"/>
            <w:tcBorders>
              <w:top w:val="nil"/>
              <w:left w:val="nil"/>
              <w:bottom w:val="single" w:sz="4" w:space="0" w:color="auto"/>
              <w:right w:val="single" w:sz="8" w:space="0" w:color="auto"/>
            </w:tcBorders>
            <w:shd w:val="clear" w:color="000000" w:fill="BFBFBF"/>
            <w:noWrap/>
            <w:vAlign w:val="bottom"/>
            <w:hideMark/>
          </w:tcPr>
          <w:p>
            <w:pPr>
              <w:spacing w:after="0" w:line="240" w:lineRule="auto"/>
              <w:jc w:val="right"/>
              <w:rPr>
                <w:rFonts w:ascii="Times New Roman" w:eastAsia="Times New Roman" w:hAnsi="Times New Roman" w:cs="Times New Roman"/>
                <w:b/>
                <w:bCs/>
                <w:noProof/>
                <w:color w:val="000000"/>
              </w:rPr>
            </w:pPr>
            <w:r>
              <w:rPr>
                <w:rFonts w:ascii="Times New Roman" w:hAnsi="Times New Roman"/>
                <w:b/>
                <w:bCs/>
                <w:noProof/>
              </w:rPr>
              <w:t>9 %</w:t>
            </w:r>
          </w:p>
        </w:tc>
      </w:tr>
      <w:tr>
        <w:trPr>
          <w:trHeight w:val="315"/>
          <w:jc w:val="center"/>
        </w:trPr>
        <w:tc>
          <w:tcPr>
            <w:tcW w:w="1843" w:type="dxa"/>
            <w:tcBorders>
              <w:top w:val="single" w:sz="4" w:space="0" w:color="auto"/>
              <w:left w:val="single" w:sz="4" w:space="0" w:color="auto"/>
              <w:bottom w:val="single" w:sz="4" w:space="0" w:color="auto"/>
              <w:right w:val="single" w:sz="4" w:space="0" w:color="auto"/>
            </w:tcBorders>
            <w:shd w:val="clear" w:color="000000" w:fill="BFBFBF"/>
            <w:noWrap/>
            <w:vAlign w:val="bottom"/>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Suisse</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bCs/>
                <w:noProof/>
                <w:color w:val="000000"/>
              </w:rPr>
            </w:pPr>
            <w:r>
              <w:rPr>
                <w:rFonts w:ascii="Times New Roman" w:hAnsi="Times New Roman"/>
                <w:bCs/>
                <w:noProof/>
              </w:rPr>
              <w:t>39 813</w:t>
            </w:r>
          </w:p>
        </w:tc>
        <w:tc>
          <w:tcPr>
            <w:tcW w:w="1378" w:type="dxa"/>
            <w:tcBorders>
              <w:top w:val="single" w:sz="4" w:space="0" w:color="auto"/>
              <w:left w:val="single" w:sz="4" w:space="0" w:color="auto"/>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bCs/>
                <w:noProof/>
                <w:color w:val="000000"/>
              </w:rPr>
            </w:pPr>
            <w:r>
              <w:rPr>
                <w:rFonts w:ascii="Times New Roman" w:hAnsi="Times New Roman"/>
                <w:bCs/>
                <w:noProof/>
              </w:rPr>
              <w:t>1 825</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bCs/>
                <w:noProof/>
                <w:color w:val="000000"/>
              </w:rPr>
            </w:pPr>
            <w:r>
              <w:rPr>
                <w:rFonts w:ascii="Times New Roman" w:hAnsi="Times New Roman"/>
                <w:bCs/>
                <w:noProof/>
              </w:rPr>
              <w:t>4,6 %</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bCs/>
                <w:noProof/>
                <w:color w:val="000000"/>
              </w:rPr>
            </w:pPr>
            <w:r>
              <w:rPr>
                <w:rFonts w:ascii="Times New Roman" w:hAnsi="Times New Roman"/>
                <w:bCs/>
                <w:noProof/>
              </w:rPr>
              <w:t>20 034</w:t>
            </w:r>
          </w:p>
        </w:tc>
        <w:tc>
          <w:tcPr>
            <w:tcW w:w="1378" w:type="dxa"/>
            <w:tcBorders>
              <w:top w:val="single" w:sz="4" w:space="0" w:color="auto"/>
              <w:left w:val="single" w:sz="4" w:space="0" w:color="auto"/>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bCs/>
                <w:noProof/>
                <w:color w:val="000000"/>
              </w:rPr>
            </w:pPr>
            <w:r>
              <w:rPr>
                <w:rFonts w:ascii="Times New Roman" w:hAnsi="Times New Roman"/>
                <w:bCs/>
                <w:noProof/>
              </w:rPr>
              <w:t>1 733</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bCs/>
                <w:noProof/>
                <w:color w:val="000000"/>
              </w:rPr>
            </w:pPr>
            <w:r>
              <w:rPr>
                <w:rFonts w:ascii="Times New Roman" w:hAnsi="Times New Roman"/>
                <w:bCs/>
                <w:noProof/>
              </w:rPr>
              <w:t>8,7 %</w:t>
            </w:r>
          </w:p>
        </w:tc>
      </w:tr>
      <w:tr>
        <w:trPr>
          <w:trHeight w:val="315"/>
          <w:jc w:val="center"/>
        </w:trPr>
        <w:tc>
          <w:tcPr>
            <w:tcW w:w="1843" w:type="dxa"/>
            <w:tcBorders>
              <w:top w:val="single" w:sz="4" w:space="0" w:color="auto"/>
              <w:left w:val="single" w:sz="4" w:space="0" w:color="auto"/>
              <w:bottom w:val="single" w:sz="4" w:space="0" w:color="auto"/>
              <w:right w:val="single" w:sz="4" w:space="0" w:color="auto"/>
            </w:tcBorders>
            <w:shd w:val="clear" w:color="000000" w:fill="BFBFBF"/>
            <w:noWrap/>
            <w:vAlign w:val="bottom"/>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Totaux</w:t>
            </w:r>
          </w:p>
        </w:tc>
        <w:tc>
          <w:tcPr>
            <w:tcW w:w="1276" w:type="dxa"/>
            <w:tcBorders>
              <w:top w:val="single" w:sz="4" w:space="0" w:color="auto"/>
              <w:left w:val="single" w:sz="4" w:space="0" w:color="auto"/>
              <w:bottom w:val="single" w:sz="4" w:space="0" w:color="auto"/>
              <w:right w:val="single" w:sz="4" w:space="0" w:color="auto"/>
            </w:tcBorders>
            <w:shd w:val="clear" w:color="000000" w:fill="BFBFBF"/>
            <w:noWrap/>
            <w:vAlign w:val="bottom"/>
          </w:tcPr>
          <w:p>
            <w:pPr>
              <w:spacing w:after="0" w:line="240" w:lineRule="auto"/>
              <w:jc w:val="right"/>
              <w:rPr>
                <w:rFonts w:ascii="Times New Roman" w:eastAsia="Times New Roman" w:hAnsi="Times New Roman" w:cs="Times New Roman"/>
                <w:b/>
                <w:bCs/>
                <w:noProof/>
                <w:color w:val="000000"/>
              </w:rPr>
            </w:pPr>
            <w:r>
              <w:rPr>
                <w:rFonts w:ascii="Times New Roman" w:hAnsi="Times New Roman"/>
                <w:b/>
                <w:bCs/>
                <w:noProof/>
              </w:rPr>
              <w:t>3 155 899</w:t>
            </w:r>
          </w:p>
        </w:tc>
        <w:tc>
          <w:tcPr>
            <w:tcW w:w="1378" w:type="dxa"/>
            <w:tcBorders>
              <w:top w:val="single" w:sz="4" w:space="0" w:color="auto"/>
              <w:left w:val="single" w:sz="4" w:space="0" w:color="auto"/>
              <w:bottom w:val="single" w:sz="4" w:space="0" w:color="auto"/>
              <w:right w:val="single" w:sz="4" w:space="0" w:color="auto"/>
            </w:tcBorders>
            <w:shd w:val="clear" w:color="000000" w:fill="BFBFBF"/>
            <w:noWrap/>
            <w:vAlign w:val="bottom"/>
          </w:tcPr>
          <w:p>
            <w:pPr>
              <w:spacing w:after="0" w:line="240" w:lineRule="auto"/>
              <w:jc w:val="right"/>
              <w:rPr>
                <w:rFonts w:ascii="Times New Roman" w:eastAsia="Times New Roman" w:hAnsi="Times New Roman" w:cs="Times New Roman"/>
                <w:b/>
                <w:bCs/>
                <w:noProof/>
                <w:color w:val="000000"/>
              </w:rPr>
            </w:pPr>
            <w:r>
              <w:rPr>
                <w:rFonts w:ascii="Times New Roman" w:hAnsi="Times New Roman"/>
                <w:b/>
                <w:bCs/>
                <w:noProof/>
              </w:rPr>
              <w:t>249 228</w:t>
            </w:r>
          </w:p>
        </w:tc>
        <w:tc>
          <w:tcPr>
            <w:tcW w:w="1292" w:type="dxa"/>
            <w:tcBorders>
              <w:top w:val="single" w:sz="4" w:space="0" w:color="auto"/>
              <w:left w:val="single" w:sz="4" w:space="0" w:color="auto"/>
              <w:bottom w:val="single" w:sz="4" w:space="0" w:color="auto"/>
              <w:right w:val="single" w:sz="4" w:space="0" w:color="auto"/>
            </w:tcBorders>
            <w:shd w:val="clear" w:color="000000" w:fill="BFBFBF"/>
            <w:noWrap/>
            <w:vAlign w:val="bottom"/>
          </w:tcPr>
          <w:p>
            <w:pPr>
              <w:spacing w:after="0" w:line="240" w:lineRule="auto"/>
              <w:jc w:val="right"/>
              <w:rPr>
                <w:rFonts w:ascii="Times New Roman" w:eastAsia="Times New Roman" w:hAnsi="Times New Roman" w:cs="Times New Roman"/>
                <w:b/>
                <w:bCs/>
                <w:noProof/>
                <w:color w:val="000000"/>
              </w:rPr>
            </w:pPr>
            <w:r>
              <w:rPr>
                <w:rFonts w:ascii="Times New Roman" w:hAnsi="Times New Roman"/>
                <w:b/>
                <w:bCs/>
                <w:noProof/>
              </w:rPr>
              <w:t>7,9 %</w:t>
            </w:r>
          </w:p>
        </w:tc>
        <w:tc>
          <w:tcPr>
            <w:tcW w:w="1096" w:type="dxa"/>
            <w:tcBorders>
              <w:top w:val="single" w:sz="4" w:space="0" w:color="auto"/>
              <w:left w:val="single" w:sz="4" w:space="0" w:color="auto"/>
              <w:bottom w:val="single" w:sz="4" w:space="0" w:color="auto"/>
              <w:right w:val="single" w:sz="4" w:space="0" w:color="auto"/>
            </w:tcBorders>
            <w:shd w:val="clear" w:color="000000" w:fill="BFBFBF"/>
            <w:noWrap/>
            <w:vAlign w:val="bottom"/>
          </w:tcPr>
          <w:p>
            <w:pPr>
              <w:spacing w:after="0" w:line="240" w:lineRule="auto"/>
              <w:jc w:val="right"/>
              <w:rPr>
                <w:rFonts w:ascii="Times New Roman" w:eastAsia="Times New Roman" w:hAnsi="Times New Roman" w:cs="Times New Roman"/>
                <w:b/>
                <w:bCs/>
                <w:noProof/>
                <w:color w:val="000000"/>
              </w:rPr>
            </w:pPr>
            <w:r>
              <w:rPr>
                <w:rFonts w:ascii="Times New Roman" w:hAnsi="Times New Roman"/>
                <w:b/>
                <w:bCs/>
                <w:noProof/>
              </w:rPr>
              <w:t>1 669 480</w:t>
            </w:r>
          </w:p>
        </w:tc>
        <w:tc>
          <w:tcPr>
            <w:tcW w:w="1378" w:type="dxa"/>
            <w:tcBorders>
              <w:top w:val="single" w:sz="4" w:space="0" w:color="auto"/>
              <w:left w:val="single" w:sz="4" w:space="0" w:color="auto"/>
              <w:bottom w:val="single" w:sz="4" w:space="0" w:color="auto"/>
              <w:right w:val="single" w:sz="4" w:space="0" w:color="auto"/>
            </w:tcBorders>
            <w:shd w:val="clear" w:color="000000" w:fill="BFBFBF"/>
            <w:noWrap/>
            <w:vAlign w:val="bottom"/>
          </w:tcPr>
          <w:p>
            <w:pPr>
              <w:spacing w:after="0" w:line="240" w:lineRule="auto"/>
              <w:jc w:val="right"/>
              <w:rPr>
                <w:rFonts w:ascii="Times New Roman" w:eastAsia="Times New Roman" w:hAnsi="Times New Roman" w:cs="Times New Roman"/>
                <w:b/>
                <w:bCs/>
                <w:noProof/>
                <w:color w:val="000000"/>
              </w:rPr>
            </w:pPr>
            <w:r>
              <w:rPr>
                <w:rFonts w:ascii="Times New Roman" w:hAnsi="Times New Roman"/>
                <w:b/>
                <w:bCs/>
                <w:noProof/>
              </w:rPr>
              <w:t>149 875</w:t>
            </w:r>
          </w:p>
        </w:tc>
        <w:tc>
          <w:tcPr>
            <w:tcW w:w="1292" w:type="dxa"/>
            <w:tcBorders>
              <w:top w:val="single" w:sz="4" w:space="0" w:color="auto"/>
              <w:left w:val="single" w:sz="4" w:space="0" w:color="auto"/>
              <w:bottom w:val="single" w:sz="4" w:space="0" w:color="auto"/>
              <w:right w:val="single" w:sz="4" w:space="0" w:color="auto"/>
            </w:tcBorders>
            <w:shd w:val="clear" w:color="000000" w:fill="BFBFBF"/>
            <w:noWrap/>
            <w:vAlign w:val="bottom"/>
          </w:tcPr>
          <w:p>
            <w:pPr>
              <w:spacing w:after="0" w:line="240" w:lineRule="auto"/>
              <w:jc w:val="right"/>
              <w:rPr>
                <w:rFonts w:ascii="Times New Roman" w:eastAsia="Times New Roman" w:hAnsi="Times New Roman" w:cs="Times New Roman"/>
                <w:b/>
                <w:bCs/>
                <w:noProof/>
                <w:color w:val="000000"/>
              </w:rPr>
            </w:pPr>
            <w:r>
              <w:rPr>
                <w:rFonts w:ascii="Times New Roman" w:hAnsi="Times New Roman"/>
                <w:b/>
                <w:bCs/>
                <w:noProof/>
              </w:rPr>
              <w:t>9 %</w:t>
            </w:r>
          </w:p>
        </w:tc>
      </w:tr>
    </w:tbl>
    <w:p>
      <w:pPr>
        <w:spacing w:before="120" w:after="120" w:line="240" w:lineRule="auto"/>
        <w:jc w:val="both"/>
        <w:rPr>
          <w:rFonts w:ascii="Times New Roman" w:eastAsia="Times New Roman" w:hAnsi="Times New Roman"/>
          <w:noProof/>
          <w:sz w:val="24"/>
          <w:szCs w:val="24"/>
        </w:rPr>
      </w:pPr>
      <w:r>
        <w:rPr>
          <w:rFonts w:ascii="Times New Roman" w:hAnsi="Times New Roman"/>
          <w:noProof/>
        </w:rPr>
        <w:t xml:space="preserve">Comme cela a été mentionné précédemment, treize États membres ont également transmis des données concernant les contrôles réalisés sur des véhicules immatriculés en dehors de l’Union. Des informations détaillées sont présentées dans le tableau 5 ci-dessous. Sur les 264 231 véhicules immatriculés en dehors de l’Union qui ont été contrôlés, 8 392 ont fait l’objet d’une suspension d’utilisation: </w:t>
      </w:r>
      <w:r>
        <w:rPr>
          <w:rFonts w:ascii="Times New Roman" w:hAnsi="Times New Roman"/>
          <w:b/>
          <w:noProof/>
        </w:rPr>
        <w:t>le taux de suspension s’élève donc à 3,2 %</w:t>
      </w:r>
      <w:r>
        <w:rPr>
          <w:rFonts w:ascii="Times New Roman" w:hAnsi="Times New Roman"/>
          <w:noProof/>
        </w:rPr>
        <w:t xml:space="preserve"> pour ces véhicules, alors qu’il est de 7,9 % pour les véhicules nationaux et de 9 % pour les véhicules immatriculés dans un État membre de l’Union autre que l’État déclarant. À l’exception de l’Autriche, du Danemark, de l’Estonie, de l’Italie et de la Roumanie, les taux de suspension des véhicules immatriculés en dehors de l’Union reflètent généralement ceux des véhicules immatriculés dans l’Union. Dans les pays susmentionnés, en revanche, les données communiquées indiquent que les taux de suspension des véhicules immatriculés en dehors de l’Union sont respectivement inférieurs de 5,1 %, 6,8 %, 11 %, 16,4 % et 10,8 % à ceux des véhicules immatriculés dans l’Union.</w:t>
      </w:r>
    </w:p>
    <w:p>
      <w:pPr>
        <w:spacing w:before="120" w:after="120" w:line="240" w:lineRule="auto"/>
        <w:jc w:val="center"/>
        <w:rPr>
          <w:rFonts w:ascii="Times New Roman" w:eastAsia="Times New Roman" w:hAnsi="Times New Roman"/>
          <w:noProof/>
        </w:rPr>
      </w:pPr>
      <w:r>
        <w:rPr>
          <w:rFonts w:ascii="Times New Roman" w:hAnsi="Times New Roman"/>
          <w:b/>
          <w:noProof/>
        </w:rPr>
        <w:t>Tableau 5: Répartition des suspensions – véhicules immatriculés en dehors de l’Union</w:t>
      </w:r>
    </w:p>
    <w:tbl>
      <w:tblPr>
        <w:tblW w:w="7720" w:type="dxa"/>
        <w:jc w:val="center"/>
        <w:tblLook w:val="04A0" w:firstRow="1" w:lastRow="0" w:firstColumn="1" w:lastColumn="0" w:noHBand="0" w:noVBand="1"/>
      </w:tblPr>
      <w:tblGrid>
        <w:gridCol w:w="2160"/>
        <w:gridCol w:w="1701"/>
        <w:gridCol w:w="1779"/>
        <w:gridCol w:w="2080"/>
      </w:tblGrid>
      <w:tr>
        <w:trPr>
          <w:trHeight w:val="315"/>
          <w:jc w:val="center"/>
        </w:trPr>
        <w:tc>
          <w:tcPr>
            <w:tcW w:w="2160" w:type="dxa"/>
            <w:tcBorders>
              <w:top w:val="nil"/>
              <w:left w:val="nil"/>
              <w:bottom w:val="nil"/>
              <w:right w:val="nil"/>
            </w:tcBorders>
            <w:shd w:val="clear" w:color="auto" w:fill="auto"/>
            <w:noWrap/>
            <w:vAlign w:val="bottom"/>
            <w:hideMark/>
          </w:tcPr>
          <w:p>
            <w:pPr>
              <w:spacing w:after="0" w:line="240" w:lineRule="auto"/>
              <w:rPr>
                <w:rFonts w:ascii="Times New Roman" w:eastAsia="Times New Roman" w:hAnsi="Times New Roman" w:cs="Times New Roman"/>
                <w:noProof/>
                <w:sz w:val="24"/>
                <w:szCs w:val="24"/>
              </w:rPr>
            </w:pPr>
          </w:p>
        </w:tc>
        <w:tc>
          <w:tcPr>
            <w:tcW w:w="5560" w:type="dxa"/>
            <w:gridSpan w:val="3"/>
            <w:tcBorders>
              <w:top w:val="single" w:sz="8" w:space="0" w:color="auto"/>
              <w:left w:val="single" w:sz="8" w:space="0" w:color="auto"/>
              <w:bottom w:val="single" w:sz="8" w:space="0" w:color="auto"/>
              <w:right w:val="single" w:sz="8" w:space="0" w:color="000000"/>
            </w:tcBorders>
            <w:shd w:val="clear" w:color="000000" w:fill="BFBFBF"/>
            <w:noWrap/>
            <w:vAlign w:val="bottom"/>
            <w:hideMark/>
          </w:tcPr>
          <w:p>
            <w:pPr>
              <w:spacing w:after="0" w:line="240" w:lineRule="auto"/>
              <w:jc w:val="center"/>
              <w:rPr>
                <w:rFonts w:ascii="Times New Roman" w:eastAsia="Times New Roman" w:hAnsi="Times New Roman" w:cs="Times New Roman"/>
                <w:b/>
                <w:bCs/>
                <w:noProof/>
                <w:color w:val="000000"/>
              </w:rPr>
            </w:pPr>
            <w:r>
              <w:rPr>
                <w:rFonts w:ascii="Times New Roman" w:hAnsi="Times New Roman"/>
                <w:b/>
                <w:bCs/>
                <w:noProof/>
              </w:rPr>
              <w:t>Suspensions (véhicules immatriculés en dehors de l’UE)</w:t>
            </w:r>
          </w:p>
        </w:tc>
      </w:tr>
      <w:tr>
        <w:trPr>
          <w:trHeight w:val="615"/>
          <w:jc w:val="center"/>
        </w:trPr>
        <w:tc>
          <w:tcPr>
            <w:tcW w:w="2160" w:type="dxa"/>
            <w:tcBorders>
              <w:top w:val="single" w:sz="8" w:space="0" w:color="auto"/>
              <w:left w:val="single" w:sz="8" w:space="0" w:color="auto"/>
              <w:bottom w:val="single" w:sz="8" w:space="0" w:color="auto"/>
              <w:right w:val="single" w:sz="8" w:space="0" w:color="auto"/>
            </w:tcBorders>
            <w:shd w:val="clear" w:color="000000" w:fill="BFBFBF"/>
            <w:vAlign w:val="center"/>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État membre déclarant</w:t>
            </w:r>
          </w:p>
        </w:tc>
        <w:tc>
          <w:tcPr>
            <w:tcW w:w="1701" w:type="dxa"/>
            <w:tcBorders>
              <w:top w:val="nil"/>
              <w:left w:val="nil"/>
              <w:bottom w:val="single" w:sz="8" w:space="0" w:color="auto"/>
              <w:right w:val="single" w:sz="4" w:space="0" w:color="auto"/>
            </w:tcBorders>
            <w:shd w:val="clear" w:color="000000" w:fill="BFBFBF"/>
            <w:vAlign w:val="center"/>
            <w:hideMark/>
          </w:tcPr>
          <w:p>
            <w:pPr>
              <w:spacing w:after="0" w:line="240" w:lineRule="auto"/>
              <w:jc w:val="center"/>
              <w:rPr>
                <w:rFonts w:ascii="Times New Roman" w:eastAsia="Times New Roman" w:hAnsi="Times New Roman" w:cs="Times New Roman"/>
                <w:b/>
                <w:bCs/>
                <w:noProof/>
                <w:color w:val="000000"/>
              </w:rPr>
            </w:pPr>
            <w:r>
              <w:rPr>
                <w:rFonts w:ascii="Times New Roman" w:hAnsi="Times New Roman"/>
                <w:b/>
                <w:bCs/>
                <w:noProof/>
              </w:rPr>
              <w:t>Nombre de véhicules non UE contrôlés</w:t>
            </w:r>
          </w:p>
        </w:tc>
        <w:tc>
          <w:tcPr>
            <w:tcW w:w="1779" w:type="dxa"/>
            <w:tcBorders>
              <w:top w:val="nil"/>
              <w:left w:val="nil"/>
              <w:bottom w:val="single" w:sz="8" w:space="0" w:color="auto"/>
              <w:right w:val="single" w:sz="4" w:space="0" w:color="auto"/>
            </w:tcBorders>
            <w:shd w:val="clear" w:color="000000" w:fill="BFBFBF"/>
            <w:vAlign w:val="center"/>
            <w:hideMark/>
          </w:tcPr>
          <w:p>
            <w:pPr>
              <w:spacing w:after="0" w:line="240" w:lineRule="auto"/>
              <w:jc w:val="center"/>
              <w:rPr>
                <w:rFonts w:ascii="Times New Roman" w:eastAsia="Times New Roman" w:hAnsi="Times New Roman" w:cs="Times New Roman"/>
                <w:b/>
                <w:bCs/>
                <w:noProof/>
                <w:color w:val="000000"/>
              </w:rPr>
            </w:pPr>
            <w:r>
              <w:rPr>
                <w:rFonts w:ascii="Times New Roman" w:hAnsi="Times New Roman"/>
                <w:b/>
                <w:bCs/>
                <w:noProof/>
              </w:rPr>
              <w:t>Nombre de véhicules non UE dont l’utilisation a été suspendue</w:t>
            </w:r>
          </w:p>
        </w:tc>
        <w:tc>
          <w:tcPr>
            <w:tcW w:w="2080" w:type="dxa"/>
            <w:tcBorders>
              <w:top w:val="nil"/>
              <w:left w:val="nil"/>
              <w:bottom w:val="single" w:sz="8" w:space="0" w:color="auto"/>
              <w:right w:val="single" w:sz="8" w:space="0" w:color="auto"/>
            </w:tcBorders>
            <w:shd w:val="clear" w:color="000000" w:fill="BFBFBF"/>
            <w:vAlign w:val="center"/>
            <w:hideMark/>
          </w:tcPr>
          <w:p>
            <w:pPr>
              <w:spacing w:after="0" w:line="240" w:lineRule="auto"/>
              <w:jc w:val="center"/>
              <w:rPr>
                <w:rFonts w:ascii="Times New Roman" w:eastAsia="Times New Roman" w:hAnsi="Times New Roman" w:cs="Times New Roman"/>
                <w:b/>
                <w:bCs/>
                <w:noProof/>
                <w:color w:val="000000"/>
              </w:rPr>
            </w:pPr>
            <w:r>
              <w:rPr>
                <w:rFonts w:ascii="Times New Roman" w:hAnsi="Times New Roman"/>
                <w:b/>
                <w:bCs/>
                <w:noProof/>
              </w:rPr>
              <w:t>Taux de suspension pour les véhicules non UE (%)</w:t>
            </w:r>
          </w:p>
        </w:tc>
      </w:tr>
      <w:tr>
        <w:trPr>
          <w:trHeight w:val="300"/>
          <w:jc w:val="center"/>
        </w:trPr>
        <w:tc>
          <w:tcPr>
            <w:tcW w:w="2160"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Autriche</w:t>
            </w:r>
          </w:p>
        </w:tc>
        <w:tc>
          <w:tcPr>
            <w:tcW w:w="1701"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1 578</w:t>
            </w:r>
          </w:p>
        </w:tc>
        <w:tc>
          <w:tcPr>
            <w:tcW w:w="1779"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997</w:t>
            </w:r>
          </w:p>
        </w:tc>
        <w:tc>
          <w:tcPr>
            <w:tcW w:w="2080"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63,2 %</w:t>
            </w:r>
          </w:p>
        </w:tc>
      </w:tr>
      <w:tr>
        <w:trPr>
          <w:trHeight w:val="300"/>
          <w:jc w:val="center"/>
        </w:trPr>
        <w:tc>
          <w:tcPr>
            <w:tcW w:w="2160"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Belgique</w:t>
            </w:r>
          </w:p>
        </w:tc>
        <w:tc>
          <w:tcPr>
            <w:tcW w:w="1701"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266</w:t>
            </w:r>
          </w:p>
        </w:tc>
        <w:tc>
          <w:tcPr>
            <w:tcW w:w="1779"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18</w:t>
            </w:r>
          </w:p>
        </w:tc>
        <w:tc>
          <w:tcPr>
            <w:tcW w:w="2080"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6,8 %</w:t>
            </w:r>
          </w:p>
        </w:tc>
      </w:tr>
      <w:tr>
        <w:trPr>
          <w:trHeight w:val="300"/>
          <w:jc w:val="center"/>
        </w:trPr>
        <w:tc>
          <w:tcPr>
            <w:tcW w:w="2160"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Bulgarie</w:t>
            </w:r>
          </w:p>
        </w:tc>
        <w:tc>
          <w:tcPr>
            <w:tcW w:w="1701"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783</w:t>
            </w:r>
          </w:p>
        </w:tc>
        <w:tc>
          <w:tcPr>
            <w:tcW w:w="1779"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w:t>
            </w:r>
          </w:p>
        </w:tc>
        <w:tc>
          <w:tcPr>
            <w:tcW w:w="2080"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0,3 %</w:t>
            </w:r>
          </w:p>
        </w:tc>
      </w:tr>
      <w:tr>
        <w:trPr>
          <w:trHeight w:val="300"/>
          <w:jc w:val="center"/>
        </w:trPr>
        <w:tc>
          <w:tcPr>
            <w:tcW w:w="2160"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Croatie</w:t>
            </w:r>
          </w:p>
        </w:tc>
        <w:tc>
          <w:tcPr>
            <w:tcW w:w="1701"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9 964</w:t>
            </w:r>
          </w:p>
        </w:tc>
        <w:tc>
          <w:tcPr>
            <w:tcW w:w="1779"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592</w:t>
            </w:r>
          </w:p>
        </w:tc>
        <w:tc>
          <w:tcPr>
            <w:tcW w:w="2080"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5,9 %</w:t>
            </w:r>
          </w:p>
        </w:tc>
      </w:tr>
      <w:tr>
        <w:trPr>
          <w:trHeight w:val="300"/>
          <w:jc w:val="center"/>
        </w:trPr>
        <w:tc>
          <w:tcPr>
            <w:tcW w:w="2160"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Chypre</w:t>
            </w:r>
          </w:p>
        </w:tc>
        <w:tc>
          <w:tcPr>
            <w:tcW w:w="1701"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0</w:t>
            </w:r>
          </w:p>
        </w:tc>
        <w:tc>
          <w:tcPr>
            <w:tcW w:w="1779"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0</w:t>
            </w:r>
          </w:p>
        </w:tc>
        <w:tc>
          <w:tcPr>
            <w:tcW w:w="2080"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s.o.</w:t>
            </w:r>
          </w:p>
        </w:tc>
      </w:tr>
      <w:tr>
        <w:trPr>
          <w:trHeight w:val="300"/>
          <w:jc w:val="center"/>
        </w:trPr>
        <w:tc>
          <w:tcPr>
            <w:tcW w:w="2160"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Tchéquie</w:t>
            </w:r>
          </w:p>
        </w:tc>
        <w:tc>
          <w:tcPr>
            <w:tcW w:w="1701"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2 070</w:t>
            </w:r>
          </w:p>
        </w:tc>
        <w:tc>
          <w:tcPr>
            <w:tcW w:w="1779"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5</w:t>
            </w:r>
          </w:p>
        </w:tc>
        <w:tc>
          <w:tcPr>
            <w:tcW w:w="2080"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0,2 %</w:t>
            </w:r>
          </w:p>
        </w:tc>
      </w:tr>
      <w:tr>
        <w:trPr>
          <w:trHeight w:val="300"/>
          <w:jc w:val="center"/>
        </w:trPr>
        <w:tc>
          <w:tcPr>
            <w:tcW w:w="2160"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Danemark</w:t>
            </w:r>
          </w:p>
        </w:tc>
        <w:tc>
          <w:tcPr>
            <w:tcW w:w="1701"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25</w:t>
            </w:r>
          </w:p>
        </w:tc>
        <w:tc>
          <w:tcPr>
            <w:tcW w:w="1779"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6</w:t>
            </w:r>
          </w:p>
        </w:tc>
        <w:tc>
          <w:tcPr>
            <w:tcW w:w="2080"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24 %</w:t>
            </w:r>
          </w:p>
        </w:tc>
      </w:tr>
      <w:tr>
        <w:trPr>
          <w:trHeight w:val="300"/>
          <w:jc w:val="center"/>
        </w:trPr>
        <w:tc>
          <w:tcPr>
            <w:tcW w:w="2160"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Estonie</w:t>
            </w:r>
          </w:p>
        </w:tc>
        <w:tc>
          <w:tcPr>
            <w:tcW w:w="1701"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95</w:t>
            </w:r>
          </w:p>
        </w:tc>
        <w:tc>
          <w:tcPr>
            <w:tcW w:w="1779"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92</w:t>
            </w:r>
          </w:p>
        </w:tc>
        <w:tc>
          <w:tcPr>
            <w:tcW w:w="2080"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96,8 %</w:t>
            </w:r>
          </w:p>
        </w:tc>
      </w:tr>
      <w:tr>
        <w:trPr>
          <w:trHeight w:val="300"/>
          <w:jc w:val="center"/>
        </w:trPr>
        <w:tc>
          <w:tcPr>
            <w:tcW w:w="2160"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Finlande</w:t>
            </w:r>
          </w:p>
        </w:tc>
        <w:tc>
          <w:tcPr>
            <w:tcW w:w="1701"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0</w:t>
            </w:r>
          </w:p>
        </w:tc>
        <w:tc>
          <w:tcPr>
            <w:tcW w:w="1779"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0</w:t>
            </w:r>
          </w:p>
        </w:tc>
        <w:tc>
          <w:tcPr>
            <w:tcW w:w="2080"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s.o.</w:t>
            </w:r>
          </w:p>
        </w:tc>
      </w:tr>
      <w:tr>
        <w:trPr>
          <w:trHeight w:val="300"/>
          <w:jc w:val="center"/>
        </w:trPr>
        <w:tc>
          <w:tcPr>
            <w:tcW w:w="2160"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France</w:t>
            </w:r>
          </w:p>
        </w:tc>
        <w:tc>
          <w:tcPr>
            <w:tcW w:w="1701"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0</w:t>
            </w:r>
          </w:p>
        </w:tc>
        <w:tc>
          <w:tcPr>
            <w:tcW w:w="1779"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0</w:t>
            </w:r>
          </w:p>
        </w:tc>
        <w:tc>
          <w:tcPr>
            <w:tcW w:w="2080"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s.o.</w:t>
            </w:r>
          </w:p>
        </w:tc>
      </w:tr>
      <w:tr>
        <w:trPr>
          <w:trHeight w:val="300"/>
          <w:jc w:val="center"/>
        </w:trPr>
        <w:tc>
          <w:tcPr>
            <w:tcW w:w="2160"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Allemagne</w:t>
            </w:r>
          </w:p>
        </w:tc>
        <w:tc>
          <w:tcPr>
            <w:tcW w:w="1701"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38 852</w:t>
            </w:r>
          </w:p>
        </w:tc>
        <w:tc>
          <w:tcPr>
            <w:tcW w:w="1779"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993</w:t>
            </w:r>
          </w:p>
        </w:tc>
        <w:tc>
          <w:tcPr>
            <w:tcW w:w="2080"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2,6 %</w:t>
            </w:r>
          </w:p>
        </w:tc>
      </w:tr>
      <w:tr>
        <w:trPr>
          <w:trHeight w:val="300"/>
          <w:jc w:val="center"/>
        </w:trPr>
        <w:tc>
          <w:tcPr>
            <w:tcW w:w="2160"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Grèce</w:t>
            </w:r>
          </w:p>
        </w:tc>
        <w:tc>
          <w:tcPr>
            <w:tcW w:w="1701"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0</w:t>
            </w:r>
          </w:p>
        </w:tc>
        <w:tc>
          <w:tcPr>
            <w:tcW w:w="1779"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0</w:t>
            </w:r>
          </w:p>
        </w:tc>
        <w:tc>
          <w:tcPr>
            <w:tcW w:w="2080"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s.o.</w:t>
            </w:r>
          </w:p>
        </w:tc>
      </w:tr>
      <w:tr>
        <w:trPr>
          <w:trHeight w:val="300"/>
          <w:jc w:val="center"/>
        </w:trPr>
        <w:tc>
          <w:tcPr>
            <w:tcW w:w="2160"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Hongrie</w:t>
            </w:r>
          </w:p>
        </w:tc>
        <w:tc>
          <w:tcPr>
            <w:tcW w:w="1701"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0</w:t>
            </w:r>
          </w:p>
        </w:tc>
        <w:tc>
          <w:tcPr>
            <w:tcW w:w="1779"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0</w:t>
            </w:r>
          </w:p>
        </w:tc>
        <w:tc>
          <w:tcPr>
            <w:tcW w:w="2080"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s.o.</w:t>
            </w:r>
          </w:p>
        </w:tc>
      </w:tr>
      <w:tr>
        <w:trPr>
          <w:trHeight w:val="300"/>
          <w:jc w:val="center"/>
        </w:trPr>
        <w:tc>
          <w:tcPr>
            <w:tcW w:w="2160"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Irlande</w:t>
            </w:r>
          </w:p>
        </w:tc>
        <w:tc>
          <w:tcPr>
            <w:tcW w:w="1701"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0</w:t>
            </w:r>
          </w:p>
        </w:tc>
        <w:tc>
          <w:tcPr>
            <w:tcW w:w="1779"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0</w:t>
            </w:r>
          </w:p>
        </w:tc>
        <w:tc>
          <w:tcPr>
            <w:tcW w:w="2080"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s.o.</w:t>
            </w:r>
          </w:p>
        </w:tc>
      </w:tr>
      <w:tr>
        <w:trPr>
          <w:trHeight w:val="300"/>
          <w:jc w:val="center"/>
        </w:trPr>
        <w:tc>
          <w:tcPr>
            <w:tcW w:w="2160"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Italie</w:t>
            </w:r>
          </w:p>
        </w:tc>
        <w:tc>
          <w:tcPr>
            <w:tcW w:w="1701"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18</w:t>
            </w:r>
          </w:p>
        </w:tc>
        <w:tc>
          <w:tcPr>
            <w:tcW w:w="1779"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10</w:t>
            </w:r>
          </w:p>
        </w:tc>
        <w:tc>
          <w:tcPr>
            <w:tcW w:w="2080"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55,6 %</w:t>
            </w:r>
          </w:p>
        </w:tc>
      </w:tr>
      <w:tr>
        <w:trPr>
          <w:trHeight w:val="300"/>
          <w:jc w:val="center"/>
        </w:trPr>
        <w:tc>
          <w:tcPr>
            <w:tcW w:w="2160"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Lettonie</w:t>
            </w:r>
          </w:p>
        </w:tc>
        <w:tc>
          <w:tcPr>
            <w:tcW w:w="1701"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0</w:t>
            </w:r>
          </w:p>
        </w:tc>
        <w:tc>
          <w:tcPr>
            <w:tcW w:w="1779"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0</w:t>
            </w:r>
          </w:p>
        </w:tc>
        <w:tc>
          <w:tcPr>
            <w:tcW w:w="2080"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s.o.</w:t>
            </w:r>
          </w:p>
        </w:tc>
      </w:tr>
      <w:tr>
        <w:trPr>
          <w:trHeight w:val="300"/>
          <w:jc w:val="center"/>
        </w:trPr>
        <w:tc>
          <w:tcPr>
            <w:tcW w:w="2160"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Lituanie</w:t>
            </w:r>
          </w:p>
        </w:tc>
        <w:tc>
          <w:tcPr>
            <w:tcW w:w="1701"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0</w:t>
            </w:r>
          </w:p>
        </w:tc>
        <w:tc>
          <w:tcPr>
            <w:tcW w:w="1779"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0</w:t>
            </w:r>
          </w:p>
        </w:tc>
        <w:tc>
          <w:tcPr>
            <w:tcW w:w="2080"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s.o.</w:t>
            </w:r>
          </w:p>
        </w:tc>
      </w:tr>
      <w:tr>
        <w:trPr>
          <w:trHeight w:val="300"/>
          <w:jc w:val="center"/>
        </w:trPr>
        <w:tc>
          <w:tcPr>
            <w:tcW w:w="2160"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Luxembourg</w:t>
            </w:r>
          </w:p>
        </w:tc>
        <w:tc>
          <w:tcPr>
            <w:tcW w:w="1701"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24</w:t>
            </w:r>
          </w:p>
        </w:tc>
        <w:tc>
          <w:tcPr>
            <w:tcW w:w="1779"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0</w:t>
            </w:r>
          </w:p>
        </w:tc>
        <w:tc>
          <w:tcPr>
            <w:tcW w:w="2080"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0 %</w:t>
            </w:r>
          </w:p>
        </w:tc>
      </w:tr>
      <w:tr>
        <w:trPr>
          <w:trHeight w:val="300"/>
          <w:jc w:val="center"/>
        </w:trPr>
        <w:tc>
          <w:tcPr>
            <w:tcW w:w="2160"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Malte</w:t>
            </w:r>
          </w:p>
        </w:tc>
        <w:tc>
          <w:tcPr>
            <w:tcW w:w="1701"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0</w:t>
            </w:r>
          </w:p>
        </w:tc>
        <w:tc>
          <w:tcPr>
            <w:tcW w:w="1779"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0</w:t>
            </w:r>
          </w:p>
        </w:tc>
        <w:tc>
          <w:tcPr>
            <w:tcW w:w="2080"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s.o.</w:t>
            </w:r>
          </w:p>
        </w:tc>
      </w:tr>
      <w:tr>
        <w:trPr>
          <w:trHeight w:val="300"/>
          <w:jc w:val="center"/>
        </w:trPr>
        <w:tc>
          <w:tcPr>
            <w:tcW w:w="2160"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Pays-Bas</w:t>
            </w:r>
          </w:p>
        </w:tc>
        <w:tc>
          <w:tcPr>
            <w:tcW w:w="1701"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252</w:t>
            </w:r>
          </w:p>
        </w:tc>
        <w:tc>
          <w:tcPr>
            <w:tcW w:w="1779"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4</w:t>
            </w:r>
          </w:p>
        </w:tc>
        <w:tc>
          <w:tcPr>
            <w:tcW w:w="2080"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1,6 %</w:t>
            </w:r>
          </w:p>
        </w:tc>
      </w:tr>
      <w:tr>
        <w:trPr>
          <w:trHeight w:val="300"/>
          <w:jc w:val="center"/>
        </w:trPr>
        <w:tc>
          <w:tcPr>
            <w:tcW w:w="2160"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Pologne</w:t>
            </w:r>
          </w:p>
        </w:tc>
        <w:tc>
          <w:tcPr>
            <w:tcW w:w="1701"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209 946</w:t>
            </w:r>
          </w:p>
        </w:tc>
        <w:tc>
          <w:tcPr>
            <w:tcW w:w="1779"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5 620</w:t>
            </w:r>
          </w:p>
        </w:tc>
        <w:tc>
          <w:tcPr>
            <w:tcW w:w="2080"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2,7 %</w:t>
            </w:r>
          </w:p>
        </w:tc>
      </w:tr>
      <w:tr>
        <w:trPr>
          <w:trHeight w:val="300"/>
          <w:jc w:val="center"/>
        </w:trPr>
        <w:tc>
          <w:tcPr>
            <w:tcW w:w="2160"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Portugal</w:t>
            </w:r>
          </w:p>
        </w:tc>
        <w:tc>
          <w:tcPr>
            <w:tcW w:w="1701"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0</w:t>
            </w:r>
          </w:p>
        </w:tc>
        <w:tc>
          <w:tcPr>
            <w:tcW w:w="1779"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0</w:t>
            </w:r>
          </w:p>
        </w:tc>
        <w:tc>
          <w:tcPr>
            <w:tcW w:w="2080"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s.o.</w:t>
            </w:r>
          </w:p>
        </w:tc>
      </w:tr>
      <w:tr>
        <w:trPr>
          <w:trHeight w:val="300"/>
          <w:jc w:val="center"/>
        </w:trPr>
        <w:tc>
          <w:tcPr>
            <w:tcW w:w="2160"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Roumanie</w:t>
            </w:r>
          </w:p>
        </w:tc>
        <w:tc>
          <w:tcPr>
            <w:tcW w:w="1701"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358</w:t>
            </w:r>
          </w:p>
        </w:tc>
        <w:tc>
          <w:tcPr>
            <w:tcW w:w="1779"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53</w:t>
            </w:r>
          </w:p>
        </w:tc>
        <w:tc>
          <w:tcPr>
            <w:tcW w:w="2080"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14,8 %</w:t>
            </w:r>
          </w:p>
        </w:tc>
      </w:tr>
      <w:tr>
        <w:trPr>
          <w:trHeight w:val="300"/>
          <w:jc w:val="center"/>
        </w:trPr>
        <w:tc>
          <w:tcPr>
            <w:tcW w:w="2160"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Slovaquie</w:t>
            </w:r>
          </w:p>
        </w:tc>
        <w:tc>
          <w:tcPr>
            <w:tcW w:w="1701"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0</w:t>
            </w:r>
          </w:p>
        </w:tc>
        <w:tc>
          <w:tcPr>
            <w:tcW w:w="1779"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0</w:t>
            </w:r>
          </w:p>
        </w:tc>
        <w:tc>
          <w:tcPr>
            <w:tcW w:w="2080"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s.o.</w:t>
            </w:r>
          </w:p>
        </w:tc>
      </w:tr>
      <w:tr>
        <w:trPr>
          <w:trHeight w:val="300"/>
          <w:jc w:val="center"/>
        </w:trPr>
        <w:tc>
          <w:tcPr>
            <w:tcW w:w="2160"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Slovénie</w:t>
            </w:r>
          </w:p>
        </w:tc>
        <w:tc>
          <w:tcPr>
            <w:tcW w:w="1701"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0</w:t>
            </w:r>
          </w:p>
        </w:tc>
        <w:tc>
          <w:tcPr>
            <w:tcW w:w="1779"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0</w:t>
            </w:r>
          </w:p>
        </w:tc>
        <w:tc>
          <w:tcPr>
            <w:tcW w:w="2080"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s.o.</w:t>
            </w:r>
          </w:p>
        </w:tc>
      </w:tr>
      <w:tr>
        <w:trPr>
          <w:trHeight w:val="300"/>
          <w:jc w:val="center"/>
        </w:trPr>
        <w:tc>
          <w:tcPr>
            <w:tcW w:w="2160"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Espagne</w:t>
            </w:r>
          </w:p>
        </w:tc>
        <w:tc>
          <w:tcPr>
            <w:tcW w:w="1701"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0</w:t>
            </w:r>
          </w:p>
        </w:tc>
        <w:tc>
          <w:tcPr>
            <w:tcW w:w="1779"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0</w:t>
            </w:r>
          </w:p>
        </w:tc>
        <w:tc>
          <w:tcPr>
            <w:tcW w:w="2080"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s.o.</w:t>
            </w:r>
          </w:p>
        </w:tc>
      </w:tr>
      <w:tr>
        <w:trPr>
          <w:trHeight w:val="300"/>
          <w:jc w:val="center"/>
        </w:trPr>
        <w:tc>
          <w:tcPr>
            <w:tcW w:w="2160"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Suède</w:t>
            </w:r>
          </w:p>
        </w:tc>
        <w:tc>
          <w:tcPr>
            <w:tcW w:w="1701"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0</w:t>
            </w:r>
          </w:p>
        </w:tc>
        <w:tc>
          <w:tcPr>
            <w:tcW w:w="1779"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0</w:t>
            </w:r>
          </w:p>
        </w:tc>
        <w:tc>
          <w:tcPr>
            <w:tcW w:w="2080"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s.o.</w:t>
            </w:r>
          </w:p>
        </w:tc>
      </w:tr>
      <w:tr>
        <w:trPr>
          <w:trHeight w:val="300"/>
          <w:jc w:val="center"/>
        </w:trPr>
        <w:tc>
          <w:tcPr>
            <w:tcW w:w="2160"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Royaume-Uni</w:t>
            </w:r>
          </w:p>
        </w:tc>
        <w:tc>
          <w:tcPr>
            <w:tcW w:w="1701"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0</w:t>
            </w:r>
          </w:p>
        </w:tc>
        <w:tc>
          <w:tcPr>
            <w:tcW w:w="1779"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0</w:t>
            </w:r>
          </w:p>
        </w:tc>
        <w:tc>
          <w:tcPr>
            <w:tcW w:w="2080"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s.o.</w:t>
            </w:r>
          </w:p>
        </w:tc>
      </w:tr>
      <w:tr>
        <w:trPr>
          <w:trHeight w:val="315"/>
          <w:jc w:val="center"/>
        </w:trPr>
        <w:tc>
          <w:tcPr>
            <w:tcW w:w="2160"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Totaux</w:t>
            </w:r>
          </w:p>
        </w:tc>
        <w:tc>
          <w:tcPr>
            <w:tcW w:w="1701" w:type="dxa"/>
            <w:tcBorders>
              <w:top w:val="nil"/>
              <w:left w:val="nil"/>
              <w:bottom w:val="single" w:sz="4" w:space="0" w:color="auto"/>
              <w:right w:val="single" w:sz="4" w:space="0" w:color="auto"/>
            </w:tcBorders>
            <w:shd w:val="clear" w:color="000000" w:fill="BFBFBF"/>
            <w:noWrap/>
            <w:vAlign w:val="bottom"/>
            <w:hideMark/>
          </w:tcPr>
          <w:p>
            <w:pPr>
              <w:spacing w:after="0" w:line="240" w:lineRule="auto"/>
              <w:jc w:val="right"/>
              <w:rPr>
                <w:rFonts w:ascii="Times New Roman" w:eastAsia="Times New Roman" w:hAnsi="Times New Roman" w:cs="Times New Roman"/>
                <w:b/>
                <w:bCs/>
                <w:noProof/>
                <w:color w:val="000000"/>
              </w:rPr>
            </w:pPr>
            <w:r>
              <w:rPr>
                <w:rFonts w:ascii="Times New Roman" w:hAnsi="Times New Roman"/>
                <w:b/>
                <w:bCs/>
                <w:noProof/>
              </w:rPr>
              <w:t>264 231</w:t>
            </w:r>
          </w:p>
        </w:tc>
        <w:tc>
          <w:tcPr>
            <w:tcW w:w="1779" w:type="dxa"/>
            <w:tcBorders>
              <w:top w:val="nil"/>
              <w:left w:val="single" w:sz="8" w:space="0" w:color="auto"/>
              <w:bottom w:val="single" w:sz="4" w:space="0" w:color="auto"/>
              <w:right w:val="single" w:sz="4" w:space="0" w:color="auto"/>
            </w:tcBorders>
            <w:shd w:val="clear" w:color="000000" w:fill="BFBFBF"/>
            <w:noWrap/>
            <w:vAlign w:val="bottom"/>
            <w:hideMark/>
          </w:tcPr>
          <w:p>
            <w:pPr>
              <w:spacing w:after="0" w:line="240" w:lineRule="auto"/>
              <w:jc w:val="right"/>
              <w:rPr>
                <w:rFonts w:ascii="Times New Roman" w:eastAsia="Times New Roman" w:hAnsi="Times New Roman" w:cs="Times New Roman"/>
                <w:b/>
                <w:bCs/>
                <w:noProof/>
                <w:color w:val="000000"/>
              </w:rPr>
            </w:pPr>
            <w:r>
              <w:rPr>
                <w:rFonts w:ascii="Times New Roman" w:hAnsi="Times New Roman"/>
                <w:b/>
                <w:bCs/>
                <w:noProof/>
              </w:rPr>
              <w:t>8 392</w:t>
            </w:r>
          </w:p>
        </w:tc>
        <w:tc>
          <w:tcPr>
            <w:tcW w:w="2080" w:type="dxa"/>
            <w:tcBorders>
              <w:top w:val="nil"/>
              <w:left w:val="nil"/>
              <w:bottom w:val="single" w:sz="4" w:space="0" w:color="auto"/>
              <w:right w:val="single" w:sz="8" w:space="0" w:color="auto"/>
            </w:tcBorders>
            <w:shd w:val="clear" w:color="000000" w:fill="BFBFBF"/>
            <w:noWrap/>
            <w:vAlign w:val="bottom"/>
            <w:hideMark/>
          </w:tcPr>
          <w:p>
            <w:pPr>
              <w:spacing w:after="0" w:line="240" w:lineRule="auto"/>
              <w:jc w:val="right"/>
              <w:rPr>
                <w:rFonts w:ascii="Times New Roman" w:eastAsia="Times New Roman" w:hAnsi="Times New Roman" w:cs="Times New Roman"/>
                <w:b/>
                <w:bCs/>
                <w:noProof/>
                <w:color w:val="000000"/>
              </w:rPr>
            </w:pPr>
            <w:r>
              <w:rPr>
                <w:rFonts w:ascii="Times New Roman" w:hAnsi="Times New Roman"/>
                <w:b/>
                <w:bCs/>
                <w:noProof/>
              </w:rPr>
              <w:t>3,2 %</w:t>
            </w:r>
          </w:p>
        </w:tc>
      </w:tr>
      <w:tr>
        <w:trPr>
          <w:trHeight w:val="315"/>
          <w:jc w:val="center"/>
        </w:trPr>
        <w:tc>
          <w:tcPr>
            <w:tcW w:w="2160" w:type="dxa"/>
            <w:tcBorders>
              <w:top w:val="single" w:sz="4" w:space="0" w:color="auto"/>
              <w:left w:val="single" w:sz="4" w:space="0" w:color="auto"/>
              <w:bottom w:val="single" w:sz="4" w:space="0" w:color="auto"/>
              <w:right w:val="single" w:sz="4" w:space="0" w:color="auto"/>
            </w:tcBorders>
            <w:shd w:val="clear" w:color="000000" w:fill="BFBFBF"/>
            <w:noWrap/>
            <w:vAlign w:val="bottom"/>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Suisse</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bCs/>
                <w:noProof/>
                <w:color w:val="000000"/>
              </w:rPr>
            </w:pPr>
            <w:r>
              <w:rPr>
                <w:rFonts w:ascii="Times New Roman" w:hAnsi="Times New Roman"/>
                <w:bCs/>
                <w:noProof/>
              </w:rPr>
              <w:t>44 305</w:t>
            </w:r>
          </w:p>
        </w:tc>
        <w:tc>
          <w:tcPr>
            <w:tcW w:w="1779" w:type="dxa"/>
            <w:tcBorders>
              <w:top w:val="single" w:sz="4" w:space="0" w:color="auto"/>
              <w:left w:val="single" w:sz="4" w:space="0" w:color="auto"/>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bCs/>
                <w:noProof/>
                <w:color w:val="000000"/>
              </w:rPr>
            </w:pPr>
            <w:r>
              <w:rPr>
                <w:rFonts w:ascii="Times New Roman" w:hAnsi="Times New Roman"/>
                <w:bCs/>
                <w:noProof/>
              </w:rPr>
              <w:t>2 095</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bCs/>
                <w:noProof/>
                <w:color w:val="000000"/>
              </w:rPr>
            </w:pPr>
            <w:r>
              <w:rPr>
                <w:rFonts w:ascii="Times New Roman" w:hAnsi="Times New Roman"/>
                <w:bCs/>
                <w:noProof/>
              </w:rPr>
              <w:t>4,7 %</w:t>
            </w:r>
          </w:p>
        </w:tc>
      </w:tr>
      <w:tr>
        <w:trPr>
          <w:trHeight w:val="315"/>
          <w:jc w:val="center"/>
        </w:trPr>
        <w:tc>
          <w:tcPr>
            <w:tcW w:w="2160" w:type="dxa"/>
            <w:tcBorders>
              <w:top w:val="single" w:sz="4" w:space="0" w:color="auto"/>
              <w:left w:val="single" w:sz="8" w:space="0" w:color="auto"/>
              <w:bottom w:val="single" w:sz="8" w:space="0" w:color="auto"/>
              <w:right w:val="single" w:sz="8" w:space="0" w:color="auto"/>
            </w:tcBorders>
            <w:shd w:val="clear" w:color="000000" w:fill="BFBFBF"/>
            <w:noWrap/>
            <w:vAlign w:val="bottom"/>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Totaux</w:t>
            </w:r>
          </w:p>
        </w:tc>
        <w:tc>
          <w:tcPr>
            <w:tcW w:w="1701" w:type="dxa"/>
            <w:tcBorders>
              <w:top w:val="single" w:sz="4" w:space="0" w:color="auto"/>
              <w:left w:val="nil"/>
              <w:bottom w:val="single" w:sz="8" w:space="0" w:color="auto"/>
              <w:right w:val="single" w:sz="4" w:space="0" w:color="auto"/>
            </w:tcBorders>
            <w:shd w:val="clear" w:color="000000" w:fill="BFBFBF"/>
            <w:noWrap/>
            <w:vAlign w:val="bottom"/>
          </w:tcPr>
          <w:p>
            <w:pPr>
              <w:spacing w:after="0" w:line="240" w:lineRule="auto"/>
              <w:jc w:val="right"/>
              <w:rPr>
                <w:rFonts w:ascii="Times New Roman" w:eastAsia="Times New Roman" w:hAnsi="Times New Roman" w:cs="Times New Roman"/>
                <w:b/>
                <w:bCs/>
                <w:noProof/>
                <w:color w:val="000000"/>
              </w:rPr>
            </w:pPr>
            <w:r>
              <w:rPr>
                <w:rFonts w:ascii="Times New Roman" w:hAnsi="Times New Roman"/>
                <w:b/>
                <w:bCs/>
                <w:noProof/>
              </w:rPr>
              <w:t>308 536</w:t>
            </w:r>
          </w:p>
        </w:tc>
        <w:tc>
          <w:tcPr>
            <w:tcW w:w="1779" w:type="dxa"/>
            <w:tcBorders>
              <w:top w:val="single" w:sz="4" w:space="0" w:color="auto"/>
              <w:left w:val="single" w:sz="8" w:space="0" w:color="auto"/>
              <w:bottom w:val="single" w:sz="8" w:space="0" w:color="auto"/>
              <w:right w:val="single" w:sz="4" w:space="0" w:color="auto"/>
            </w:tcBorders>
            <w:shd w:val="clear" w:color="000000" w:fill="BFBFBF"/>
            <w:noWrap/>
            <w:vAlign w:val="bottom"/>
          </w:tcPr>
          <w:p>
            <w:pPr>
              <w:spacing w:after="0" w:line="240" w:lineRule="auto"/>
              <w:jc w:val="right"/>
              <w:rPr>
                <w:rFonts w:ascii="Times New Roman" w:eastAsia="Times New Roman" w:hAnsi="Times New Roman" w:cs="Times New Roman"/>
                <w:b/>
                <w:bCs/>
                <w:noProof/>
                <w:color w:val="000000"/>
              </w:rPr>
            </w:pPr>
            <w:r>
              <w:rPr>
                <w:rFonts w:ascii="Times New Roman" w:hAnsi="Times New Roman"/>
                <w:b/>
                <w:bCs/>
                <w:noProof/>
              </w:rPr>
              <w:t>10 488</w:t>
            </w:r>
          </w:p>
        </w:tc>
        <w:tc>
          <w:tcPr>
            <w:tcW w:w="2080" w:type="dxa"/>
            <w:tcBorders>
              <w:top w:val="single" w:sz="4" w:space="0" w:color="auto"/>
              <w:left w:val="nil"/>
              <w:bottom w:val="single" w:sz="8" w:space="0" w:color="auto"/>
              <w:right w:val="single" w:sz="8" w:space="0" w:color="auto"/>
            </w:tcBorders>
            <w:shd w:val="clear" w:color="000000" w:fill="BFBFBF"/>
            <w:noWrap/>
            <w:vAlign w:val="bottom"/>
          </w:tcPr>
          <w:p>
            <w:pPr>
              <w:spacing w:after="0" w:line="240" w:lineRule="auto"/>
              <w:jc w:val="right"/>
              <w:rPr>
                <w:rFonts w:ascii="Times New Roman" w:eastAsia="Times New Roman" w:hAnsi="Times New Roman" w:cs="Times New Roman"/>
                <w:b/>
                <w:bCs/>
                <w:noProof/>
                <w:color w:val="000000"/>
              </w:rPr>
            </w:pPr>
            <w:r>
              <w:rPr>
                <w:rFonts w:ascii="Times New Roman" w:hAnsi="Times New Roman"/>
                <w:b/>
                <w:bCs/>
                <w:noProof/>
              </w:rPr>
              <w:t>3,4 %</w:t>
            </w:r>
          </w:p>
        </w:tc>
      </w:tr>
    </w:tbl>
    <w:p>
      <w:pPr>
        <w:spacing w:before="120" w:after="120" w:line="240" w:lineRule="auto"/>
        <w:jc w:val="both"/>
        <w:rPr>
          <w:rFonts w:ascii="Times New Roman" w:eastAsia="Times New Roman" w:hAnsi="Times New Roman"/>
          <w:b/>
          <w:noProof/>
          <w:sz w:val="24"/>
          <w:szCs w:val="24"/>
        </w:rPr>
      </w:pPr>
    </w:p>
    <w:p>
      <w:pPr>
        <w:pStyle w:val="Heading2"/>
        <w:rPr>
          <w:noProof/>
        </w:rPr>
      </w:pPr>
      <w:bookmarkStart w:id="11" w:name="_Toc33174489"/>
      <w:r>
        <w:rPr>
          <w:noProof/>
        </w:rPr>
        <w:t>5.5.</w:t>
      </w:r>
      <w:r>
        <w:rPr>
          <w:noProof/>
        </w:rPr>
        <w:tab/>
        <w:t>Véhicules dont l’utilisation a été suspendue, par catégorie de véhicule et par État membre d’immatriculation</w:t>
      </w:r>
      <w:bookmarkEnd w:id="11"/>
      <w:r>
        <w:rPr>
          <w:noProof/>
        </w:rPr>
        <w:t xml:space="preserve"> </w:t>
      </w:r>
    </w:p>
    <w:p>
      <w:pPr>
        <w:spacing w:before="120" w:after="120" w:line="240" w:lineRule="auto"/>
        <w:jc w:val="both"/>
        <w:rPr>
          <w:rFonts w:ascii="Times New Roman" w:eastAsia="Times New Roman" w:hAnsi="Times New Roman"/>
          <w:noProof/>
          <w:sz w:val="24"/>
          <w:szCs w:val="24"/>
        </w:rPr>
      </w:pPr>
      <w:r>
        <w:rPr>
          <w:rFonts w:ascii="Times New Roman" w:hAnsi="Times New Roman"/>
          <w:noProof/>
        </w:rPr>
        <w:t xml:space="preserve">L’annexe 1 du présent rapport présente une vue d’ensemble des taux de suspension par État membre d’immatriculation. Sur l’ensemble des États membres, le taux moyen de suspension s’élève à 8,3 %. Pour les véhicules de la catégorie N3 (poids lourds), qui représentent le type de véhicule faisant le plus fréquemment l’objet d’une suspension d’utilisation, cette proportion atteint 9,6 %. </w:t>
      </w:r>
    </w:p>
    <w:p>
      <w:pPr>
        <w:spacing w:before="120" w:after="120" w:line="240" w:lineRule="auto"/>
        <w:jc w:val="both"/>
        <w:rPr>
          <w:rFonts w:ascii="Times New Roman" w:eastAsia="Times New Roman" w:hAnsi="Times New Roman"/>
          <w:noProof/>
          <w:sz w:val="24"/>
          <w:szCs w:val="24"/>
        </w:rPr>
      </w:pPr>
      <w:r>
        <w:rPr>
          <w:rFonts w:ascii="Times New Roman" w:hAnsi="Times New Roman"/>
          <w:noProof/>
        </w:rPr>
        <w:t>Les véhicules relevant de la catégorie «autre» (sans précision supplémentaire) présentent un taux de suspension de 19,3 %. Cette catégorie est toutefois susceptible de regrouper de nombreux types de véhicules, notamment des véhicules agricoles (catégorie T), des remorques légères (catégories O1 et O2) et des véhicules utilitaires légers (catégorie N1), dont les modalités de contrôle reposent sur des mesures législatives nationales.</w:t>
      </w:r>
    </w:p>
    <w:p>
      <w:pPr>
        <w:spacing w:before="120" w:after="120" w:line="240" w:lineRule="auto"/>
        <w:jc w:val="both"/>
        <w:rPr>
          <w:rFonts w:ascii="Times New Roman" w:hAnsi="Times New Roman"/>
          <w:noProof/>
          <w:sz w:val="24"/>
          <w:szCs w:val="24"/>
        </w:rPr>
      </w:pPr>
      <w:r>
        <w:rPr>
          <w:rFonts w:ascii="Times New Roman" w:hAnsi="Times New Roman"/>
          <w:noProof/>
        </w:rPr>
        <w:t>La directive 2014/47/UE a cependant rendu obligatoire depuis le 20 mai 2018 le contrôle des tracteurs rapides (dont la vitesse maximale dépasse 40 km/h) dans les cas où ces véhicules sont principalement utilisés sur la voie publique à des fins de transport routier de marchandises pour le compte d’autrui.</w:t>
      </w:r>
    </w:p>
    <w:p>
      <w:pPr>
        <w:spacing w:before="120" w:after="120" w:line="240" w:lineRule="auto"/>
        <w:jc w:val="both"/>
        <w:rPr>
          <w:rFonts w:ascii="Times New Roman" w:hAnsi="Times New Roman"/>
          <w:noProof/>
          <w:sz w:val="24"/>
          <w:szCs w:val="24"/>
        </w:rPr>
      </w:pPr>
      <w:r>
        <w:rPr>
          <w:rFonts w:ascii="Times New Roman" w:hAnsi="Times New Roman"/>
          <w:noProof/>
        </w:rPr>
        <w:t xml:space="preserve">Il est possible que les disparités relatives aux taux de suspension soient dues au fait que les États membres utilisent des méthodes différentes pour sélectionner les véhicules, effectuer les contrôles et recueillir les données, et qu’ils ne répertorient pas les défauts constatés de la même façon. </w:t>
      </w:r>
    </w:p>
    <w:p>
      <w:pPr>
        <w:spacing w:before="120" w:after="120" w:line="240" w:lineRule="auto"/>
        <w:jc w:val="both"/>
        <w:rPr>
          <w:rFonts w:ascii="Times New Roman" w:eastAsia="Times New Roman" w:hAnsi="Times New Roman"/>
          <w:noProof/>
          <w:sz w:val="24"/>
          <w:szCs w:val="24"/>
        </w:rPr>
      </w:pPr>
      <w:r>
        <w:rPr>
          <w:rFonts w:ascii="Times New Roman" w:hAnsi="Times New Roman"/>
          <w:noProof/>
        </w:rPr>
        <w:t>L’annexe 2 contient les données détaillées par catégorie de véhicule et par État membre de contrôle.</w:t>
      </w:r>
    </w:p>
    <w:p>
      <w:pPr>
        <w:pStyle w:val="Heading2"/>
        <w:rPr>
          <w:noProof/>
        </w:rPr>
      </w:pPr>
    </w:p>
    <w:p>
      <w:pPr>
        <w:pStyle w:val="Heading2"/>
        <w:rPr>
          <w:noProof/>
        </w:rPr>
      </w:pPr>
      <w:bookmarkStart w:id="12" w:name="_Toc33174490"/>
      <w:r>
        <w:rPr>
          <w:noProof/>
        </w:rPr>
        <w:t>5.6.</w:t>
      </w:r>
      <w:r>
        <w:rPr>
          <w:noProof/>
        </w:rPr>
        <w:tab/>
        <w:t>Types de défauts signalés par État membre</w:t>
      </w:r>
      <w:bookmarkEnd w:id="12"/>
    </w:p>
    <w:p>
      <w:pPr>
        <w:spacing w:before="120" w:after="120" w:line="240" w:lineRule="auto"/>
        <w:jc w:val="both"/>
        <w:rPr>
          <w:rFonts w:ascii="Times New Roman" w:eastAsia="Times New Roman" w:hAnsi="Times New Roman"/>
          <w:noProof/>
          <w:sz w:val="24"/>
          <w:szCs w:val="24"/>
        </w:rPr>
      </w:pPr>
      <w:r>
        <w:rPr>
          <w:rFonts w:ascii="Times New Roman" w:hAnsi="Times New Roman"/>
          <w:noProof/>
        </w:rPr>
        <w:t xml:space="preserve">L’annexe 3 présente les taux de défaillance constatés concernant neuf points de contrôle lors des inspections réalisées par les États membres au cours de la période de référence 2015-2016. </w:t>
      </w:r>
    </w:p>
    <w:p>
      <w:pPr>
        <w:spacing w:before="120" w:after="120" w:line="240" w:lineRule="auto"/>
        <w:jc w:val="both"/>
        <w:rPr>
          <w:rFonts w:ascii="Times New Roman" w:eastAsia="Times New Roman" w:hAnsi="Times New Roman"/>
          <w:noProof/>
          <w:sz w:val="24"/>
          <w:szCs w:val="24"/>
        </w:rPr>
      </w:pPr>
      <w:r>
        <w:rPr>
          <w:rFonts w:ascii="Times New Roman" w:hAnsi="Times New Roman"/>
          <w:noProof/>
        </w:rPr>
        <w:t>Pour cette période de référence, les défauts les plus fréquemment décelés lors des contrôles concernent la conformité des éléments suivants:</w:t>
      </w:r>
    </w:p>
    <w:p>
      <w:pPr>
        <w:spacing w:before="120" w:after="120" w:line="240" w:lineRule="auto"/>
        <w:jc w:val="both"/>
        <w:rPr>
          <w:rFonts w:ascii="Times New Roman" w:eastAsia="Times New Roman" w:hAnsi="Times New Roman"/>
          <w:noProof/>
          <w:sz w:val="24"/>
          <w:szCs w:val="24"/>
        </w:rPr>
      </w:pPr>
      <w:r>
        <w:rPr>
          <w:rFonts w:ascii="Times New Roman" w:hAnsi="Times New Roman"/>
          <w:noProof/>
        </w:rPr>
        <w:t xml:space="preserve">- </w:t>
      </w:r>
      <w:r>
        <w:rPr>
          <w:rFonts w:ascii="Times New Roman" w:hAnsi="Times New Roman"/>
          <w:noProof/>
        </w:rPr>
        <w:tab/>
        <w:t>équipement d’éclairage et système électrique (23 % contre 20,9 % pour la période précédente);</w:t>
      </w:r>
    </w:p>
    <w:p>
      <w:pPr>
        <w:spacing w:before="120" w:after="120" w:line="240" w:lineRule="auto"/>
        <w:jc w:val="both"/>
        <w:rPr>
          <w:rFonts w:ascii="Times New Roman" w:eastAsia="Times New Roman" w:hAnsi="Times New Roman"/>
          <w:noProof/>
          <w:sz w:val="24"/>
          <w:szCs w:val="24"/>
        </w:rPr>
      </w:pPr>
      <w:r>
        <w:rPr>
          <w:rFonts w:ascii="Times New Roman" w:hAnsi="Times New Roman"/>
          <w:noProof/>
        </w:rPr>
        <w:t xml:space="preserve">- </w:t>
      </w:r>
      <w:r>
        <w:rPr>
          <w:rFonts w:ascii="Times New Roman" w:hAnsi="Times New Roman"/>
          <w:noProof/>
        </w:rPr>
        <w:tab/>
        <w:t>essieux, roues, pneus, suspension (21,8 % contre 20,6 % pour la période précédente);</w:t>
      </w:r>
      <w:r>
        <w:rPr>
          <w:rFonts w:ascii="Times New Roman" w:hAnsi="Times New Roman"/>
          <w:b/>
          <w:noProof/>
        </w:rPr>
        <w:t xml:space="preserve"> </w:t>
      </w:r>
    </w:p>
    <w:p>
      <w:pPr>
        <w:spacing w:before="120" w:after="120" w:line="240" w:lineRule="auto"/>
        <w:ind w:left="720" w:hanging="720"/>
        <w:jc w:val="both"/>
        <w:rPr>
          <w:rFonts w:ascii="Times New Roman" w:eastAsia="Times New Roman" w:hAnsi="Times New Roman"/>
          <w:noProof/>
          <w:sz w:val="24"/>
          <w:szCs w:val="24"/>
        </w:rPr>
      </w:pPr>
      <w:r>
        <w:rPr>
          <w:rFonts w:ascii="Times New Roman" w:hAnsi="Times New Roman"/>
          <w:noProof/>
        </w:rPr>
        <w:t xml:space="preserve">- </w:t>
      </w:r>
      <w:r>
        <w:rPr>
          <w:rFonts w:ascii="Times New Roman" w:hAnsi="Times New Roman"/>
          <w:noProof/>
        </w:rPr>
        <w:tab/>
        <w:t xml:space="preserve">autre équipement, y compris tachygraphe et dispositif de limitation de vitesse (15,5 % contre 17,4 % pour la période précédente); et </w:t>
      </w:r>
    </w:p>
    <w:p>
      <w:pPr>
        <w:spacing w:before="120" w:after="120" w:line="240" w:lineRule="auto"/>
        <w:jc w:val="both"/>
        <w:rPr>
          <w:rFonts w:ascii="Times New Roman" w:eastAsia="Times New Roman" w:hAnsi="Times New Roman"/>
          <w:noProof/>
          <w:sz w:val="24"/>
          <w:szCs w:val="24"/>
        </w:rPr>
      </w:pPr>
      <w:r>
        <w:rPr>
          <w:rFonts w:ascii="Times New Roman" w:hAnsi="Times New Roman"/>
          <w:noProof/>
        </w:rPr>
        <w:t>-</w:t>
      </w:r>
      <w:r>
        <w:rPr>
          <w:rFonts w:ascii="Times New Roman" w:hAnsi="Times New Roman"/>
          <w:noProof/>
        </w:rPr>
        <w:tab/>
        <w:t xml:space="preserve">dispositif de freinage (13,9 % contre 18,8 % pour la période précédente). </w:t>
      </w:r>
    </w:p>
    <w:p>
      <w:pPr>
        <w:spacing w:before="120" w:after="120" w:line="240" w:lineRule="auto"/>
        <w:jc w:val="both"/>
        <w:rPr>
          <w:rFonts w:ascii="Times New Roman" w:eastAsia="Times New Roman" w:hAnsi="Times New Roman"/>
          <w:noProof/>
          <w:sz w:val="24"/>
          <w:szCs w:val="24"/>
        </w:rPr>
      </w:pPr>
      <w:r>
        <w:rPr>
          <w:rFonts w:ascii="Times New Roman" w:hAnsi="Times New Roman"/>
          <w:noProof/>
        </w:rPr>
        <w:t>Pour chacun des neuf points de contrôle, les données communiquées par les États membres révèlent des différences considérables concernant la fréquence de détection des défauts. En Espagne, par exemple, les défauts constatés dans la catégorie «autre équipement, y compris tachygraphe et dispositif de limitation de vitesse» constituent 86 % du total des défaillances signalées au cours de la période de référence, tandis qu’au Royaume-Uni, ce même type de défaut ne représente que 0,6 % du total. Là encore, la cause la plus probable est l’utilisation de méthodes de contrôle différentes d’un État membre à l’autre, éventuellement associée à une stratégie nationale visant à mettre davantage l’accent sur un point de contrôle particulier. Il convient cependant de noter qu'à partir du 20 mai 2018, la directive 2014/47/UE permettra d’harmoniser davantage les méthodes de contrôle et d’évaluation des défauts ainsi que l’utilisation du matériel de contrôle.</w:t>
      </w:r>
    </w:p>
    <w:p>
      <w:pPr>
        <w:spacing w:before="120" w:after="120" w:line="240" w:lineRule="auto"/>
        <w:jc w:val="both"/>
        <w:rPr>
          <w:rFonts w:ascii="Times New Roman" w:eastAsia="Times New Roman" w:hAnsi="Times New Roman"/>
          <w:noProof/>
          <w:sz w:val="24"/>
          <w:szCs w:val="24"/>
        </w:rPr>
      </w:pPr>
      <w:r>
        <w:rPr>
          <w:rFonts w:ascii="Times New Roman" w:hAnsi="Times New Roman"/>
          <w:noProof/>
        </w:rPr>
        <w:t>Lorsqu’on compare les chiffres à ceux de la période précédente, on constate que la baisse la plus significative concerne la catégorie «dispositif de freinage»: les défauts relatifs au freinage représentent 13,9 % du total des défaillances constatées pour l’ensemble des États membres, alors que ce chiffre s’élevait à 20,7 % pour la période 2013-2014. Les défauts relevant de la catégorie «équipement d’éclairage et système électrique» sont néanmoins toujours les plus fréquents et leur proportion est passée de 20,4 % (pour la période précédente) à 23 %. En ce qui concerne les autres points de contrôle, l’évolution des chiffres depuis la période précédente n’est pas d’une ampleur susceptible de soulever des préoccupations notables ou d’indiquer des modifications significatives dans les politiques mises en œuvre par les États membres.</w:t>
      </w:r>
    </w:p>
    <w:p>
      <w:pPr>
        <w:spacing w:before="120" w:after="120" w:line="240" w:lineRule="auto"/>
        <w:jc w:val="both"/>
        <w:rPr>
          <w:rFonts w:ascii="Times New Roman" w:eastAsia="Times New Roman" w:hAnsi="Times New Roman"/>
          <w:noProof/>
          <w:sz w:val="24"/>
          <w:szCs w:val="24"/>
        </w:rPr>
      </w:pPr>
      <w:r>
        <w:rPr>
          <w:rFonts w:ascii="Times New Roman" w:hAnsi="Times New Roman"/>
          <w:noProof/>
        </w:rPr>
        <w:t xml:space="preserve">Pour cinq points de contrôle sur neuf, à savoir «identification», «dispositif de freinage», «direction», «visibilité» et «nuisance, y compris les émissions et fuites de carburant et/ou d’huile», les pourcentages sont en baisse. Quant aux éléments concernés par une légère augmentation des taux depuis la période précédente, à savoir les catégories «équipement d’éclairage et système électrique», «essieux, roues, pneus, suspension», «châssis et accessoires du châssis» et «autre équipement, y compris tachygraphe et dispositif de limitation de vitesse», la hausse constatée est inférieure à 5 % dans tous les cas. </w:t>
      </w:r>
    </w:p>
    <w:p>
      <w:pPr>
        <w:spacing w:before="120" w:after="120" w:line="240" w:lineRule="auto"/>
        <w:jc w:val="both"/>
        <w:rPr>
          <w:rFonts w:ascii="Times New Roman" w:eastAsia="Times New Roman" w:hAnsi="Times New Roman"/>
          <w:noProof/>
          <w:sz w:val="24"/>
          <w:szCs w:val="24"/>
        </w:rPr>
      </w:pPr>
      <w:r>
        <w:rPr>
          <w:rFonts w:ascii="Times New Roman" w:hAnsi="Times New Roman"/>
          <w:noProof/>
        </w:rPr>
        <w:t>Il apparaît également que les défauts liés au dispositif de freinage sont décelés plus fréquemment lors des contrôles réalisés par les autorités du Royaume-Uni, de la Lettonie et du Luxembourg, où ils représentent respectivement 33,6 %, 33,5 % et 29,6 % du total des défaillances enregistrées. La Grèce n’a en revanche signalé aucun défaut ayant trait à ce point de contrôle.</w:t>
      </w:r>
    </w:p>
    <w:p>
      <w:pPr>
        <w:spacing w:before="120" w:after="120" w:line="240" w:lineRule="auto"/>
        <w:jc w:val="both"/>
        <w:rPr>
          <w:rFonts w:ascii="Times New Roman" w:eastAsia="Times New Roman" w:hAnsi="Times New Roman"/>
          <w:noProof/>
          <w:sz w:val="24"/>
          <w:szCs w:val="24"/>
        </w:rPr>
      </w:pPr>
      <w:r>
        <w:rPr>
          <w:rFonts w:ascii="Times New Roman" w:hAnsi="Times New Roman"/>
          <w:noProof/>
        </w:rPr>
        <w:t xml:space="preserve">Concernant les défauts liés à des émissions ou à des fuites (qui, outre le danger qu’ils représentent pour la sécurité routière, peuvent avoir une incidence sur l’environnement), l’augmentation de 0,9 % observée lors de la période précédente (le pourcentage passant de 3,2 % à 4,1 %) a été suivie d’une diminution de 0,4 % (de 4,1 % à 3,3 %): ces défauts représentent ainsi 3,3 % du total des défaillances enregistrées pour la période 2015-2016. </w:t>
      </w:r>
    </w:p>
    <w:p>
      <w:pPr>
        <w:spacing w:before="120" w:after="120" w:line="240" w:lineRule="auto"/>
        <w:jc w:val="both"/>
        <w:rPr>
          <w:rFonts w:ascii="Times New Roman" w:eastAsia="Times New Roman" w:hAnsi="Times New Roman"/>
          <w:noProof/>
          <w:sz w:val="24"/>
          <w:szCs w:val="24"/>
        </w:rPr>
      </w:pPr>
      <w:r>
        <w:rPr>
          <w:rFonts w:ascii="Times New Roman" w:hAnsi="Times New Roman"/>
          <w:noProof/>
        </w:rPr>
        <w:t>Enfin, comme l’indique le tableau 2, treize États membres ont effectué des contrôles sur des véhicules immatriculés en dehors de l’Union. Néanmoins, leur nombre total ne représentant que 5 % environ de l’ensemble des contrôles réalisés au cours de la période de référence, il n’est pas possible de tirer des conclusions solides quant à la conformité technique des véhicules concernés.</w:t>
      </w:r>
    </w:p>
    <w:p>
      <w:pPr>
        <w:spacing w:before="120" w:after="120" w:line="240" w:lineRule="auto"/>
        <w:jc w:val="both"/>
        <w:rPr>
          <w:rFonts w:ascii="Times New Roman" w:eastAsia="Times New Roman" w:hAnsi="Times New Roman"/>
          <w:noProof/>
          <w:sz w:val="24"/>
          <w:szCs w:val="24"/>
        </w:rPr>
      </w:pPr>
      <w:r>
        <w:rPr>
          <w:rFonts w:ascii="Times New Roman" w:hAnsi="Times New Roman"/>
          <w:noProof/>
        </w:rPr>
        <w:t>Toutefois, afin que les données soient présentées dans leur exhaustivité, l’annexe 4 du présent rapport contient une vue d’ensemble du nombre de véhicules contrôlés dans les États membres par pays d’immatriculation et des taux de suspension correspondants.</w:t>
      </w:r>
    </w:p>
    <w:p>
      <w:pPr>
        <w:pStyle w:val="Heading1"/>
        <w:rPr>
          <w:noProof/>
        </w:rPr>
      </w:pPr>
      <w:bookmarkStart w:id="13" w:name="_Toc33174491"/>
      <w:r>
        <w:rPr>
          <w:noProof/>
        </w:rPr>
        <w:t>6.</w:t>
      </w:r>
      <w:r>
        <w:rPr>
          <w:noProof/>
        </w:rPr>
        <w:tab/>
        <w:t>TYPES DE SANCTIONS</w:t>
      </w:r>
      <w:bookmarkEnd w:id="13"/>
    </w:p>
    <w:p>
      <w:pPr>
        <w:spacing w:before="120" w:after="120" w:line="240" w:lineRule="auto"/>
        <w:jc w:val="both"/>
        <w:rPr>
          <w:rFonts w:ascii="Times New Roman" w:eastAsia="Times New Roman" w:hAnsi="Times New Roman"/>
          <w:noProof/>
          <w:sz w:val="24"/>
          <w:szCs w:val="24"/>
        </w:rPr>
      </w:pPr>
      <w:r>
        <w:rPr>
          <w:rFonts w:ascii="Times New Roman" w:hAnsi="Times New Roman"/>
          <w:noProof/>
        </w:rPr>
        <w:t>La directive 2000/30/CE ne définit pas de régime de sanctions pour les infractions constatées. Il revient aux États membres de déterminer les sanctions à appliquer, sans discrimination fondée sur la nationalité du conducteur ou sur le pays dans lequel le véhicule a été immatriculé ou mis en service.</w:t>
      </w:r>
    </w:p>
    <w:p>
      <w:pPr>
        <w:spacing w:before="120" w:after="120" w:line="240" w:lineRule="auto"/>
        <w:jc w:val="both"/>
        <w:rPr>
          <w:rFonts w:ascii="Times New Roman" w:eastAsia="Times New Roman" w:hAnsi="Times New Roman"/>
          <w:noProof/>
          <w:sz w:val="24"/>
          <w:szCs w:val="24"/>
        </w:rPr>
      </w:pPr>
      <w:r>
        <w:rPr>
          <w:rFonts w:ascii="Times New Roman" w:hAnsi="Times New Roman"/>
          <w:noProof/>
        </w:rPr>
        <w:t>Comme cela a été mentionné précédemment, s’il devient évident qu’un véhicule utilitaire représente un risque important pour ses occupants ou pour les autres usagers de la route, la directive 2000/30/CE autorise l’autorité ou l’inspecteur qui effectue le contrôle à suspendre l’utilisation du véhicule jusqu’à la réparation des défauts dangereux décelés.</w:t>
      </w:r>
    </w:p>
    <w:p>
      <w:pPr>
        <w:spacing w:before="120" w:after="120" w:line="240" w:lineRule="auto"/>
        <w:jc w:val="both"/>
        <w:rPr>
          <w:rFonts w:ascii="Times New Roman" w:eastAsia="Times New Roman" w:hAnsi="Times New Roman"/>
          <w:noProof/>
          <w:sz w:val="24"/>
          <w:szCs w:val="24"/>
        </w:rPr>
      </w:pPr>
      <w:r>
        <w:rPr>
          <w:rFonts w:ascii="Times New Roman" w:hAnsi="Times New Roman"/>
          <w:noProof/>
        </w:rPr>
        <w:t>Les défauts dangereux décelés sur un véhicule utilitaire appartenant à un non-résident, notamment ceux aboutissant à une suspension de son utilisation, doivent être signalés aux autorités compétentes de l’État membre d’immatriculation.</w:t>
      </w:r>
    </w:p>
    <w:p>
      <w:pPr>
        <w:spacing w:before="120" w:after="120" w:line="240" w:lineRule="auto"/>
        <w:jc w:val="both"/>
        <w:rPr>
          <w:rFonts w:ascii="Times New Roman" w:eastAsia="Times New Roman" w:hAnsi="Times New Roman"/>
          <w:noProof/>
          <w:sz w:val="24"/>
          <w:szCs w:val="24"/>
        </w:rPr>
      </w:pPr>
      <w:r>
        <w:rPr>
          <w:rFonts w:ascii="Times New Roman" w:hAnsi="Times New Roman"/>
          <w:noProof/>
        </w:rPr>
        <w:t>Les autorités compétentes de l’État membre où le défaut dangereux a été constaté peuvent demander aux autorités compétentes de l’État membre d’immatriculation de prendre des mesures appropriées, par exemple l'obligation de soumettre le véhicule à un nouveau contrôle technique. Il revient cependant à l’État membre d’immatriculation de mettre en œuvre toute mesure jugée appropriée; aucune notification n'est requise en pareil cas.</w:t>
      </w:r>
    </w:p>
    <w:p>
      <w:pPr>
        <w:spacing w:before="120" w:after="120" w:line="240" w:lineRule="auto"/>
        <w:jc w:val="both"/>
        <w:rPr>
          <w:rFonts w:ascii="Times New Roman" w:eastAsia="Times New Roman" w:hAnsi="Times New Roman"/>
          <w:noProof/>
          <w:sz w:val="24"/>
          <w:szCs w:val="24"/>
        </w:rPr>
      </w:pPr>
      <w:r>
        <w:rPr>
          <w:rFonts w:ascii="Times New Roman" w:hAnsi="Times New Roman"/>
          <w:noProof/>
        </w:rPr>
        <w:t xml:space="preserve">En pratique, les répercussions financières pour les transporteurs utilisant des véhicules présentant des défauts dangereux et faisant l’objet d’une suspension ne se limitent pas aux amendes éventuellement infligées par les autorités des États membres de contrôle. Des coûts supplémentaires peuvent notamment être occasionnés par le transport du véhicule jusqu’à une installation permettant un contrôle plus approfondi, la réalisation du contrôle technique en lui-même et la réparation des défauts constatés. En outre, le transporteur peut également avoir à supporter des coûts indirects  s'il ne respecte pas les échéances prévues. </w:t>
      </w:r>
    </w:p>
    <w:p>
      <w:pPr>
        <w:spacing w:before="120" w:after="120" w:line="240" w:lineRule="auto"/>
        <w:jc w:val="both"/>
        <w:rPr>
          <w:rFonts w:ascii="Times New Roman" w:eastAsia="Times New Roman" w:hAnsi="Times New Roman"/>
          <w:noProof/>
          <w:sz w:val="24"/>
          <w:szCs w:val="24"/>
        </w:rPr>
      </w:pPr>
      <w:r>
        <w:rPr>
          <w:rFonts w:ascii="Times New Roman" w:hAnsi="Times New Roman"/>
          <w:noProof/>
        </w:rPr>
        <w:t>Enfin,  la directive 2014/47/UE</w:t>
      </w:r>
      <w:r>
        <w:rPr>
          <w:rStyle w:val="FootnoteReference"/>
          <w:rFonts w:ascii="Times New Roman" w:eastAsia="Times New Roman" w:hAnsi="Times New Roman"/>
          <w:noProof/>
        </w:rPr>
        <w:footnoteReference w:id="8"/>
      </w:r>
      <w:r>
        <w:rPr>
          <w:rFonts w:ascii="Times New Roman" w:hAnsi="Times New Roman"/>
          <w:noProof/>
        </w:rPr>
        <w:t xml:space="preserve"> prévoit qu'à partir du 20 mai 2019 les informations relatives au nombre et à la gravité des défauts constatés devront être introduites dans le système de classification par niveau de risque établi au titre de la directive 2006/22/CE</w:t>
      </w:r>
      <w:r>
        <w:rPr>
          <w:rStyle w:val="FootnoteReference"/>
          <w:rFonts w:ascii="Times New Roman" w:eastAsia="Times New Roman" w:hAnsi="Times New Roman"/>
          <w:noProof/>
        </w:rPr>
        <w:footnoteReference w:id="9"/>
      </w:r>
      <w:r>
        <w:rPr>
          <w:rFonts w:ascii="Times New Roman" w:hAnsi="Times New Roman"/>
          <w:noProof/>
        </w:rPr>
        <w:t>. Les véhicules d’entreprises présentant un profil de risque élevé sont susceptibles d’être sélectionnés plus fréquemment pour des contrôles routiers.</w:t>
      </w:r>
    </w:p>
    <w:p>
      <w:pPr>
        <w:pStyle w:val="Heading1"/>
        <w:rPr>
          <w:noProof/>
        </w:rPr>
      </w:pPr>
      <w:bookmarkStart w:id="14" w:name="_Toc33174492"/>
      <w:r>
        <w:rPr>
          <w:noProof/>
        </w:rPr>
        <w:t>7.</w:t>
      </w:r>
      <w:r>
        <w:rPr>
          <w:noProof/>
        </w:rPr>
        <w:tab/>
        <w:t>CONCLUSIONS SUCCINCTES</w:t>
      </w:r>
      <w:bookmarkEnd w:id="14"/>
    </w:p>
    <w:p>
      <w:pPr>
        <w:spacing w:before="120" w:after="120" w:line="240" w:lineRule="auto"/>
        <w:jc w:val="both"/>
        <w:rPr>
          <w:rFonts w:ascii="Times New Roman" w:eastAsia="Times New Roman" w:hAnsi="Times New Roman"/>
          <w:noProof/>
          <w:sz w:val="24"/>
          <w:szCs w:val="24"/>
        </w:rPr>
      </w:pPr>
      <w:r>
        <w:rPr>
          <w:rFonts w:ascii="Times New Roman" w:hAnsi="Times New Roman"/>
          <w:noProof/>
        </w:rPr>
        <w:t>Comme indiqué au point 3, en raison des disparités mises en évidence concernant les méthodes utilisées pour effectuer les contrôles, collecter les données et établir les rapports, il convient de ne tirer aucune conclusion générale sur la base du présent document, et de traiter les résultats qu’il présente avec prudence. Cela étant, les principaux enseignements tirés des données recueillies pour la période de référence 2015-2016 sont exposés ci-dessous.</w:t>
      </w:r>
    </w:p>
    <w:p>
      <w:pPr>
        <w:pStyle w:val="Heading2"/>
        <w:rPr>
          <w:noProof/>
        </w:rPr>
      </w:pPr>
      <w:bookmarkStart w:id="15" w:name="_Toc33174493"/>
      <w:r>
        <w:rPr>
          <w:noProof/>
        </w:rPr>
        <w:t>7.1.</w:t>
      </w:r>
      <w:r>
        <w:rPr>
          <w:noProof/>
        </w:rPr>
        <w:tab/>
        <w:t>Contrôles</w:t>
      </w:r>
      <w:bookmarkEnd w:id="15"/>
    </w:p>
    <w:p>
      <w:pPr>
        <w:pStyle w:val="ListParagraph"/>
        <w:spacing w:before="120" w:after="120" w:line="240" w:lineRule="auto"/>
        <w:ind w:left="783"/>
        <w:jc w:val="both"/>
        <w:rPr>
          <w:rFonts w:ascii="Times New Roman" w:eastAsia="Times New Roman" w:hAnsi="Times New Roman"/>
          <w:sz w:val="24"/>
          <w:szCs w:val="24"/>
        </w:rPr>
      </w:pPr>
      <w:r>
        <w:rPr>
          <w:rFonts w:ascii="Times New Roman" w:hAnsi="Times New Roman"/>
        </w:rPr>
        <w:t>Lors la période précédente, une réduction de 31,5 % du nombre de véhicules contrôlés avait déjà été constatée; cette baisse s’est confirmée pendant la période 2015-2016, au cours de laquelle 534 473 </w:t>
      </w:r>
      <w:r>
        <w:rPr>
          <w:rFonts w:ascii="Times New Roman" w:hAnsi="Times New Roman"/>
          <w:b/>
        </w:rPr>
        <w:t>véhicules de moins</w:t>
      </w:r>
      <w:r>
        <w:rPr>
          <w:rFonts w:ascii="Times New Roman" w:hAnsi="Times New Roman"/>
        </w:rPr>
        <w:t xml:space="preserve"> ont été contrôlés, ce qui représente une </w:t>
      </w:r>
      <w:r>
        <w:rPr>
          <w:rFonts w:ascii="Times New Roman" w:hAnsi="Times New Roman"/>
          <w:b/>
        </w:rPr>
        <w:t>diminution de 9,6 %</w:t>
      </w:r>
      <w:r>
        <w:rPr>
          <w:rFonts w:ascii="Times New Roman" w:hAnsi="Times New Roman"/>
        </w:rPr>
        <w:t xml:space="preserve">. D’après les explications fournies par les États membres, cette situation est le résultat d’un ensemble de facteurs: réduction des ressources, réorganisation, modifications de la législation nationale et des modalités d’application des règles et, dans certains cas, adoption d’une approche plus ciblée dans le cadre des contrôles. </w:t>
      </w:r>
    </w:p>
    <w:p>
      <w:pPr>
        <w:pStyle w:val="ListParagraph"/>
        <w:spacing w:before="120" w:after="120" w:line="240" w:lineRule="auto"/>
        <w:ind w:left="783"/>
        <w:jc w:val="both"/>
        <w:rPr>
          <w:rFonts w:ascii="Times New Roman" w:eastAsia="Times New Roman" w:hAnsi="Times New Roman"/>
          <w:sz w:val="24"/>
          <w:szCs w:val="24"/>
        </w:rPr>
      </w:pPr>
    </w:p>
    <w:p>
      <w:pPr>
        <w:pStyle w:val="ListParagraph"/>
        <w:spacing w:before="120" w:after="120" w:line="240" w:lineRule="auto"/>
        <w:ind w:left="783"/>
        <w:jc w:val="both"/>
        <w:rPr>
          <w:rFonts w:ascii="Times New Roman" w:eastAsia="Times New Roman" w:hAnsi="Times New Roman"/>
          <w:sz w:val="24"/>
          <w:szCs w:val="24"/>
        </w:rPr>
      </w:pPr>
      <w:r>
        <w:rPr>
          <w:rFonts w:ascii="Times New Roman" w:hAnsi="Times New Roman"/>
        </w:rPr>
        <w:t>Quoi qu’il en soit, le nombre des contrôles a diminué dans dix-huit États membres, les baisses observées s’échelonnant de 1 % pour la Croatie à 68 % pour la Grèce. À l’inverse, dix États membres ont enregistré une augmentation du nombre de contrôles allant de 1,2 % pour le Danemark à 429 % pour Chypre.</w:t>
      </w:r>
    </w:p>
    <w:p>
      <w:pPr>
        <w:pStyle w:val="ListParagraph"/>
        <w:spacing w:before="120" w:after="120" w:line="240" w:lineRule="auto"/>
        <w:ind w:left="783"/>
        <w:jc w:val="both"/>
        <w:rPr>
          <w:rFonts w:ascii="Times New Roman" w:eastAsia="Times New Roman" w:hAnsi="Times New Roman"/>
          <w:sz w:val="24"/>
          <w:szCs w:val="24"/>
        </w:rPr>
      </w:pPr>
    </w:p>
    <w:p>
      <w:pPr>
        <w:pStyle w:val="ListParagraph"/>
        <w:spacing w:before="120" w:after="120" w:line="240" w:lineRule="auto"/>
        <w:ind w:left="783"/>
        <w:jc w:val="both"/>
        <w:rPr>
          <w:rFonts w:ascii="Times New Roman" w:eastAsia="Times New Roman" w:hAnsi="Times New Roman"/>
          <w:sz w:val="24"/>
          <w:szCs w:val="24"/>
        </w:rPr>
      </w:pPr>
      <w:r>
        <w:rPr>
          <w:rFonts w:ascii="Times New Roman" w:hAnsi="Times New Roman"/>
        </w:rPr>
        <w:t>Les données indiquent que 62 % des contrôles effectués au cours de la période de référence concernaient des véhicules nationaux, 33 %, des véhicules immatriculés dans un autre État membre, et 5 %, des véhicules immatriculés en dehors de l’Union.</w:t>
      </w:r>
    </w:p>
    <w:p>
      <w:pPr>
        <w:pStyle w:val="ListParagraph"/>
        <w:spacing w:before="120" w:after="120" w:line="240" w:lineRule="auto"/>
        <w:ind w:left="783"/>
        <w:jc w:val="both"/>
        <w:rPr>
          <w:rFonts w:ascii="Times New Roman" w:eastAsia="Times New Roman" w:hAnsi="Times New Roman"/>
          <w:sz w:val="24"/>
          <w:szCs w:val="24"/>
        </w:rPr>
      </w:pPr>
    </w:p>
    <w:p>
      <w:pPr>
        <w:pStyle w:val="ListParagraph"/>
        <w:spacing w:before="120" w:after="120" w:line="240" w:lineRule="auto"/>
        <w:ind w:left="783"/>
        <w:jc w:val="both"/>
        <w:rPr>
          <w:rFonts w:ascii="Times New Roman" w:eastAsia="Times New Roman" w:hAnsi="Times New Roman"/>
          <w:sz w:val="24"/>
          <w:szCs w:val="24"/>
        </w:rPr>
      </w:pPr>
      <w:r>
        <w:rPr>
          <w:rFonts w:ascii="Times New Roman" w:hAnsi="Times New Roman"/>
        </w:rPr>
        <w:t>Par ailleurs, sur l’ensemble des véhicules contrôlés dans chaque État membre, la proportion de véhicules nationaux continue de varier considérablement, ce qui laisse supposer qu’il sera peut-être nécessaire de déployer des efforts supplémentaires pour mettre en place une approche plus harmonieuse. Par exemple, au Luxembourg, en Belgique et en France, les contrôles sur les véhicules nationaux représentent moins de 40 % du total des contrôles, alors que la situation est plus équilibrée dans les autres États membres de «transit».</w:t>
      </w:r>
    </w:p>
    <w:p>
      <w:pPr>
        <w:pStyle w:val="Heading2"/>
        <w:rPr>
          <w:noProof/>
        </w:rPr>
      </w:pPr>
      <w:bookmarkStart w:id="16" w:name="_Toc33174494"/>
      <w:r>
        <w:rPr>
          <w:noProof/>
        </w:rPr>
        <w:t>7.2.</w:t>
      </w:r>
      <w:r>
        <w:rPr>
          <w:noProof/>
        </w:rPr>
        <w:tab/>
        <w:t>Suspensions</w:t>
      </w:r>
      <w:bookmarkEnd w:id="16"/>
    </w:p>
    <w:p>
      <w:pPr>
        <w:pStyle w:val="ListParagraph"/>
        <w:spacing w:before="120" w:after="120" w:line="240" w:lineRule="auto"/>
        <w:ind w:left="783"/>
        <w:jc w:val="both"/>
        <w:rPr>
          <w:rFonts w:ascii="Times New Roman" w:eastAsia="Times New Roman" w:hAnsi="Times New Roman"/>
          <w:sz w:val="24"/>
          <w:szCs w:val="24"/>
        </w:rPr>
      </w:pPr>
      <w:r>
        <w:rPr>
          <w:rFonts w:ascii="Times New Roman" w:hAnsi="Times New Roman"/>
        </w:rPr>
        <w:t>Par rapport à la période précédente, 60 112</w:t>
      </w:r>
      <w:r>
        <w:rPr>
          <w:rFonts w:ascii="Times New Roman" w:hAnsi="Times New Roman"/>
          <w:b/>
        </w:rPr>
        <w:t> suspensions de plus</w:t>
      </w:r>
      <w:r>
        <w:rPr>
          <w:rFonts w:ascii="Times New Roman" w:hAnsi="Times New Roman"/>
        </w:rPr>
        <w:t xml:space="preserve"> ont été signalées, ce qui représente une </w:t>
      </w:r>
      <w:r>
        <w:rPr>
          <w:rFonts w:ascii="Times New Roman" w:hAnsi="Times New Roman"/>
          <w:b/>
        </w:rPr>
        <w:t>augmentation de 17,5 %</w:t>
      </w:r>
      <w:r>
        <w:rPr>
          <w:rFonts w:ascii="Times New Roman" w:hAnsi="Times New Roman"/>
        </w:rPr>
        <w:t xml:space="preserve">. Cela pourrait indiquer le début d’une évolution positive suggérant qu’une approche plus ciblée a été engagée. </w:t>
      </w:r>
    </w:p>
    <w:p>
      <w:pPr>
        <w:pStyle w:val="ListParagraph"/>
        <w:spacing w:before="120" w:after="120" w:line="240" w:lineRule="auto"/>
        <w:ind w:left="783"/>
        <w:jc w:val="both"/>
        <w:rPr>
          <w:rFonts w:ascii="Times New Roman" w:eastAsia="Times New Roman" w:hAnsi="Times New Roman"/>
          <w:sz w:val="24"/>
          <w:szCs w:val="24"/>
        </w:rPr>
      </w:pPr>
    </w:p>
    <w:p>
      <w:pPr>
        <w:pStyle w:val="ListParagraph"/>
        <w:spacing w:before="120" w:after="120" w:line="240" w:lineRule="auto"/>
        <w:ind w:left="783"/>
        <w:jc w:val="both"/>
        <w:rPr>
          <w:rFonts w:ascii="Times New Roman" w:eastAsia="Times New Roman" w:hAnsi="Times New Roman"/>
          <w:sz w:val="24"/>
          <w:szCs w:val="24"/>
        </w:rPr>
      </w:pPr>
      <w:r>
        <w:rPr>
          <w:rFonts w:ascii="Times New Roman" w:hAnsi="Times New Roman"/>
        </w:rPr>
        <w:t xml:space="preserve">Treize États membres ont enregistré une augmentation du nombre de suspensions prononcées, qui s’échelonne de 3 % pour la Suède à environ 7 000 % dans le cas du Portugal. Quinze États membres ont, par contre, relevé une diminution du nombre de suspensions allant de 2,7 % pour la Slovaquie à 71,8 % pour la Grèce et 71,6 % pour la Bulgarie. </w:t>
      </w:r>
    </w:p>
    <w:p>
      <w:pPr>
        <w:pStyle w:val="ListParagraph"/>
        <w:spacing w:before="120" w:after="120" w:line="240" w:lineRule="auto"/>
        <w:ind w:left="783"/>
        <w:jc w:val="both"/>
        <w:rPr>
          <w:rFonts w:ascii="Times New Roman" w:eastAsia="Times New Roman" w:hAnsi="Times New Roman"/>
          <w:sz w:val="24"/>
          <w:szCs w:val="24"/>
        </w:rPr>
      </w:pPr>
    </w:p>
    <w:p>
      <w:pPr>
        <w:pStyle w:val="ListParagraph"/>
        <w:spacing w:before="120" w:after="120" w:line="240" w:lineRule="auto"/>
        <w:ind w:left="783"/>
        <w:jc w:val="both"/>
        <w:rPr>
          <w:rFonts w:ascii="Times New Roman" w:eastAsia="Times New Roman" w:hAnsi="Times New Roman"/>
          <w:sz w:val="24"/>
          <w:szCs w:val="24"/>
        </w:rPr>
      </w:pPr>
      <w:r>
        <w:rPr>
          <w:rFonts w:ascii="Times New Roman" w:hAnsi="Times New Roman"/>
        </w:rPr>
        <w:t>En ce qui concerne l’origine des véhicules dont l’utilisation a été suspendue, le taux global de suspension s’élève à 7,9 % pour les véhicules nationaux, tandis que cette proportion est de 9 % pour les véhicules immatriculés dans un autre État membre et de 3,2 % pour les véhicules immatriculés en dehors de l’Union. Cela semble indiquer que, dans l'ensemble, les normes sont  généralement appliquées concernant les véhicules de l’Union, quel que soit leur pays d’immatriculation. Le fait que les véhicules immatriculés en dehors de l’Union présentent un taux de suspension plus faible pourrait s’expliquer par le fait que les transporteurs choisissent leurs véhicules les plus récents et les mieux entretenus pour les trajets qui nécessitent de voyager dans l’Union.</w:t>
      </w:r>
    </w:p>
    <w:p>
      <w:pPr>
        <w:pStyle w:val="ListParagraph"/>
        <w:spacing w:before="120" w:after="120" w:line="240" w:lineRule="auto"/>
        <w:ind w:left="783"/>
        <w:jc w:val="both"/>
        <w:rPr>
          <w:rFonts w:ascii="Times New Roman" w:eastAsia="Times New Roman" w:hAnsi="Times New Roman"/>
          <w:sz w:val="24"/>
          <w:szCs w:val="24"/>
        </w:rPr>
      </w:pPr>
    </w:p>
    <w:p>
      <w:pPr>
        <w:pStyle w:val="ListParagraph"/>
        <w:spacing w:before="120" w:after="120" w:line="240" w:lineRule="auto"/>
        <w:ind w:left="783"/>
        <w:jc w:val="both"/>
        <w:rPr>
          <w:rFonts w:ascii="Times New Roman" w:eastAsia="Times New Roman" w:hAnsi="Times New Roman"/>
          <w:sz w:val="24"/>
          <w:szCs w:val="24"/>
        </w:rPr>
      </w:pPr>
      <w:r>
        <w:rPr>
          <w:rFonts w:ascii="Times New Roman" w:hAnsi="Times New Roman"/>
        </w:rPr>
        <w:t>Enfin, sur l’ensemble des États membres, le taux moyen de suspension s’élève à 8,3 % pour les véhicules immatriculés dans l’Union. Les véhicules de la catégorie N3 (poids lourds), qui affichent un taux de suspension égal à 9,6 %, sont ceux dont l’utilisation est le plus souvent suspendue. Les véhicules immatriculés à Malte, pour lesquels cette proportion atteint 43,9 %, sont les plus fréquemment touchés par des suspensions d’utilisation. À l’inverse, les véhicules allemands et bulgares sont ceux dont l’utilisation est le moins souvent suspendue (respectivement 1,5 % et 3,7 %). Il est possible que les disparités constatées entre les taux de suspension soient liées à des différences dans les méthodes employées par les États membres pour effectuer les contrôles et répertorier les défauts.</w:t>
      </w:r>
    </w:p>
    <w:p>
      <w:pPr>
        <w:pStyle w:val="ListParagraph"/>
        <w:spacing w:before="120" w:after="120" w:line="240" w:lineRule="auto"/>
        <w:ind w:left="783"/>
        <w:jc w:val="both"/>
        <w:rPr>
          <w:rFonts w:ascii="Times New Roman" w:eastAsia="Times New Roman" w:hAnsi="Times New Roman"/>
          <w:sz w:val="24"/>
          <w:szCs w:val="24"/>
        </w:rPr>
      </w:pPr>
    </w:p>
    <w:p>
      <w:pPr>
        <w:pStyle w:val="Heading2"/>
        <w:rPr>
          <w:noProof/>
        </w:rPr>
      </w:pPr>
      <w:bookmarkStart w:id="17" w:name="_Toc33174495"/>
      <w:r>
        <w:rPr>
          <w:noProof/>
        </w:rPr>
        <w:t>7.3.</w:t>
      </w:r>
      <w:r>
        <w:rPr>
          <w:noProof/>
        </w:rPr>
        <w:tab/>
        <w:t>Défauts</w:t>
      </w:r>
      <w:bookmarkEnd w:id="17"/>
    </w:p>
    <w:p>
      <w:pPr>
        <w:pStyle w:val="ListParagraph"/>
        <w:spacing w:before="120" w:after="120" w:line="240" w:lineRule="auto"/>
        <w:ind w:left="783"/>
        <w:jc w:val="both"/>
        <w:rPr>
          <w:rFonts w:ascii="Times New Roman" w:eastAsia="Times New Roman" w:hAnsi="Times New Roman"/>
          <w:sz w:val="24"/>
          <w:szCs w:val="24"/>
        </w:rPr>
      </w:pPr>
      <w:r>
        <w:rPr>
          <w:rFonts w:ascii="Times New Roman" w:hAnsi="Times New Roman"/>
        </w:rPr>
        <w:t>Les deux types de défauts les plus fréquemment décelés au cours de la période de référence relèvent des points de contrôle «équipement d’éclairage et système électrique» et «essieux, roues, pneus, suspension». Ces défaillances représentent respectivement 23 % et 21,8 % de la totalité des défauts enregistrés. Les défauts liés au freinage représentent quant à eux 13,9 % du total enregistré par l’ensemble des États membres, alors que cette proportion s’élevait à 20,7 % pour la période précédente.</w:t>
      </w:r>
    </w:p>
    <w:p>
      <w:pPr>
        <w:pStyle w:val="ListParagraph"/>
        <w:spacing w:before="120" w:after="120" w:line="240" w:lineRule="auto"/>
        <w:ind w:left="783"/>
        <w:jc w:val="both"/>
        <w:rPr>
          <w:rFonts w:ascii="Times New Roman" w:eastAsia="Times New Roman" w:hAnsi="Times New Roman"/>
          <w:sz w:val="24"/>
          <w:szCs w:val="24"/>
        </w:rPr>
      </w:pPr>
    </w:p>
    <w:p>
      <w:pPr>
        <w:pStyle w:val="ListParagraph"/>
        <w:spacing w:before="120" w:after="120" w:line="240" w:lineRule="auto"/>
        <w:ind w:left="783"/>
        <w:jc w:val="both"/>
        <w:rPr>
          <w:rFonts w:ascii="Times New Roman" w:eastAsia="Times New Roman" w:hAnsi="Times New Roman"/>
          <w:sz w:val="24"/>
          <w:szCs w:val="24"/>
        </w:rPr>
      </w:pPr>
      <w:r>
        <w:rPr>
          <w:rFonts w:ascii="Times New Roman" w:hAnsi="Times New Roman"/>
        </w:rPr>
        <w:t>Toutefois, des différences significatives perdurent entre les États membres concernant les taux de suspension correspondant à chaque point de contrôle. En Espagne, par exemple, les défauts constatés dans la catégorie «autre équipement, y compris tachygraphe et dispositif de limitation de vitesse» constituent 86 % de l’ensemble des défaillances signalées au cours de la période de référence, tandis qu’au Royaume-Uni, les défauts de ce type ne représentent que 0,6 % du total. Là encore, la cause la plus probable de cet état de fait est l’utilisation de méthodes de contrôle différentes d’un État membre à l’autre, ainsi que la priorité accordée par les autorités à certains types de défauts. Il est possible que les disparités observées s’atténuent à partir du 20 mai 2018, avec l'introduction, par la directive 2014/47/UE, de dispositions visant à harmoniser davantage les méthodes de contrôle et d’évaluation des défauts, l’utilisation du matériel de contrôle et les exigences en matière d’établissement des rapports.</w:t>
      </w:r>
    </w:p>
    <w:sectPr>
      <w:headerReference w:type="even" r:id="rId22"/>
      <w:headerReference w:type="default" r:id="rId23"/>
      <w:footerReference w:type="even" r:id="rId24"/>
      <w:footerReference w:type="default" r:id="rId25"/>
      <w:headerReference w:type="first" r:id="rId26"/>
      <w:footerReference w:type="first" r:id="rId27"/>
      <w:pgSz w:w="11907" w:h="16839"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FR</w:t>
    </w:r>
    <w:r>
      <w:rPr>
        <w:rFonts w:ascii="Arial" w:hAnsi="Arial" w:cs="Arial"/>
        <w:b/>
        <w:sz w:val="48"/>
      </w:rPr>
      <w:tab/>
    </w:r>
    <w:r>
      <w:rPr>
        <w:rFonts w:ascii="Arial" w:hAnsi="Arial" w:cs="Arial"/>
        <w:b/>
        <w:sz w:val="48"/>
      </w:rPr>
      <w:tab/>
    </w:r>
    <w:r>
      <w:tab/>
    </w:r>
    <w:r>
      <w:rPr>
        <w:rFonts w:ascii="Arial" w:hAnsi="Arial" w:cs="Arial"/>
        <w:b/>
        <w:sz w:val="48"/>
      </w:rPr>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5979720"/>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2</w:t>
        </w:r>
        <w:r>
          <w:fldChar w:fldCharType="end"/>
        </w:r>
      </w:p>
    </w:sdtContent>
  </w:sdt>
  <w:p>
    <w:pPr>
      <w:pStyle w:val="FooterCoverPage"/>
      <w:rPr>
        <w:rFonts w:ascii="Arial" w:hAnsi="Arial" w:cs="Arial"/>
        <w:b/>
        <w:sz w:val="4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0342352"/>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17</w:t>
        </w:r>
        <w:r>
          <w:fldChar w:fldCharType="end"/>
        </w:r>
      </w:p>
    </w:sdtContent>
  </w:sdt>
  <w:p>
    <w:pPr>
      <w:pStyle w:val="FooterLandscape"/>
      <w:rPr>
        <w:rFonts w:ascii="Arial" w:hAnsi="Arial" w:cs="Arial"/>
        <w:b/>
        <w:sz w:val="48"/>
        <w:lang w:val="es-ES"/>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rPr>
          <w:sz w:val="16"/>
          <w:szCs w:val="16"/>
        </w:rPr>
      </w:pPr>
      <w:r>
        <w:rPr>
          <w:rStyle w:val="FootnoteReference"/>
        </w:rPr>
        <w:footnoteRef/>
      </w:r>
      <w:r>
        <w:rPr>
          <w:sz w:val="16"/>
          <w:szCs w:val="16"/>
        </w:rPr>
        <w:tab/>
        <w:t>Règlement (CE) nº 1072/2009 du Parlement européen et du Conseil du 21 octobre 2009 établissant des règles communes pour l’accès au marché du transport international de marchandises par route (refonte) (JO L 300 du 14.11.2009, p. 72).</w:t>
      </w:r>
    </w:p>
  </w:footnote>
  <w:footnote w:id="2">
    <w:p>
      <w:pPr>
        <w:pStyle w:val="FootnoteText"/>
        <w:rPr>
          <w:sz w:val="16"/>
          <w:szCs w:val="16"/>
        </w:rPr>
      </w:pPr>
      <w:r>
        <w:rPr>
          <w:rStyle w:val="FootnoteReference"/>
          <w:sz w:val="16"/>
          <w:szCs w:val="16"/>
        </w:rPr>
        <w:footnoteRef/>
      </w:r>
      <w:r>
        <w:rPr>
          <w:sz w:val="16"/>
          <w:szCs w:val="16"/>
        </w:rPr>
        <w:tab/>
      </w:r>
      <w:r>
        <w:rPr>
          <w:bCs/>
          <w:sz w:val="16"/>
          <w:szCs w:val="16"/>
        </w:rPr>
        <w:t>Directive 2009/40/CE du Parlement européen et du Conseil du 6 mai 2009 relative au contrôle technique des véhicules à moteur et de leurs remorques (refonte) (JO L 141 du 6.6.2009, p. 12)</w:t>
      </w:r>
      <w:r>
        <w:rPr>
          <w:sz w:val="16"/>
          <w:szCs w:val="16"/>
        </w:rPr>
        <w:t>.</w:t>
      </w:r>
    </w:p>
  </w:footnote>
  <w:footnote w:id="3">
    <w:p>
      <w:pPr>
        <w:pStyle w:val="FootnoteText"/>
        <w:rPr>
          <w:sz w:val="16"/>
          <w:szCs w:val="16"/>
        </w:rPr>
      </w:pPr>
      <w:r>
        <w:rPr>
          <w:rStyle w:val="FootnoteReference"/>
          <w:sz w:val="16"/>
          <w:szCs w:val="16"/>
        </w:rPr>
        <w:footnoteRef/>
      </w:r>
      <w:r>
        <w:rPr>
          <w:sz w:val="16"/>
          <w:szCs w:val="16"/>
        </w:rPr>
        <w:tab/>
      </w:r>
      <w:r>
        <w:rPr>
          <w:bCs/>
          <w:sz w:val="16"/>
          <w:szCs w:val="16"/>
        </w:rPr>
        <w:t>Directive 2000/30/CE du Parlement européen et du Conseil du 6 juin 2000 relative au contrôle technique routier des véhicules utilitaires circulant dans la Communauté (JO L 203 du 10.8.2000, p. 1).</w:t>
      </w:r>
    </w:p>
  </w:footnote>
  <w:footnote w:id="4">
    <w:p>
      <w:pPr>
        <w:pStyle w:val="FootnoteText"/>
        <w:rPr>
          <w:sz w:val="16"/>
          <w:szCs w:val="16"/>
        </w:rPr>
      </w:pPr>
      <w:r>
        <w:rPr>
          <w:rStyle w:val="FootnoteReference"/>
        </w:rPr>
        <w:footnoteRef/>
      </w:r>
      <w:r>
        <w:rPr>
          <w:sz w:val="16"/>
          <w:szCs w:val="16"/>
        </w:rPr>
        <w:tab/>
        <w:t>Directive 2014/47/UE du Parlement européen et du Conseil du 3 avril 2014 relative au contrôle technique routier des véhicules utilitaires circulant dans l’Union (JO L 127 du 29.4.2014, p. 134).</w:t>
      </w:r>
    </w:p>
  </w:footnote>
  <w:footnote w:id="5">
    <w:p>
      <w:pPr>
        <w:pStyle w:val="FootnoteText"/>
        <w:rPr>
          <w:sz w:val="16"/>
          <w:szCs w:val="16"/>
        </w:rPr>
      </w:pPr>
      <w:r>
        <w:rPr>
          <w:rStyle w:val="FootnoteReference"/>
          <w:sz w:val="16"/>
          <w:szCs w:val="16"/>
        </w:rPr>
        <w:footnoteRef/>
      </w:r>
      <w:r>
        <w:t> </w:t>
      </w:r>
      <w:r>
        <w:rPr>
          <w:sz w:val="16"/>
          <w:szCs w:val="16"/>
        </w:rPr>
        <w:tab/>
        <w:t xml:space="preserve">Les contrôles initiaux prévoient notamment une vérification des documents pertinents et une évaluation visuelle de l’état technique du véhicule, alors que les contrôles approfondis (qui font suite aux contrôles initiaux lorsque cela s’avère nécessaire) doivent être réalisés à l’aide d’une unité de contrôle mobile, dans une installation de contrôle routier désignée ou dans un centre de contrôle. </w:t>
      </w:r>
    </w:p>
  </w:footnote>
  <w:footnote w:id="6">
    <w:p>
      <w:pPr>
        <w:pStyle w:val="FootnoteText"/>
        <w:rPr>
          <w:sz w:val="16"/>
          <w:szCs w:val="16"/>
        </w:rPr>
      </w:pPr>
      <w:r>
        <w:rPr>
          <w:rStyle w:val="FootnoteReference"/>
          <w:sz w:val="16"/>
          <w:szCs w:val="16"/>
        </w:rPr>
        <w:footnoteRef/>
      </w:r>
      <w:r>
        <w:tab/>
      </w:r>
      <w:r>
        <w:rPr>
          <w:sz w:val="16"/>
          <w:szCs w:val="16"/>
        </w:rPr>
        <w:t>La directive 2014/47/UE a introduit l’obligation pour tous les États membres de mettre en œuvre un système de classification par niveau de risque à partir du 20 mai 2019</w:t>
      </w:r>
      <w:r>
        <w:t>.</w:t>
      </w:r>
      <w:r>
        <w:rPr>
          <w:sz w:val="16"/>
          <w:szCs w:val="16"/>
        </w:rPr>
        <w:t xml:space="preserve"> Les entreprises qui obtiennent des résultats médiocres en ce qui concerne le nombre et la gravité des défaillances recensées lors des contrôles techniques routiers se verront attribuer un niveau de risque plus élevé. Les autorités compétentes des États membres pourront alors utiliser ces informations afin de contrôler plus fréquemment les entreprises qui présentent un risque élevé.</w:t>
      </w:r>
    </w:p>
  </w:footnote>
  <w:footnote w:id="7">
    <w:p>
      <w:pPr>
        <w:pStyle w:val="FootnoteText"/>
        <w:rPr>
          <w:sz w:val="16"/>
          <w:szCs w:val="16"/>
        </w:rPr>
      </w:pPr>
      <w:r>
        <w:rPr>
          <w:rStyle w:val="FootnoteReference"/>
        </w:rPr>
        <w:footnoteRef/>
      </w:r>
      <w:r>
        <w:tab/>
      </w:r>
      <w:r>
        <w:rPr>
          <w:sz w:val="16"/>
          <w:szCs w:val="16"/>
        </w:rPr>
        <w:t>Directive 2010/47/UE de la Commission du 5 juillet 2010 portant adaptation au progrès technique de la directive 2000/30/CE (JO L 173 du 8.7.2010, p. 33).</w:t>
      </w:r>
    </w:p>
  </w:footnote>
  <w:footnote w:id="8">
    <w:p>
      <w:pPr>
        <w:pStyle w:val="FootnoteText"/>
      </w:pPr>
      <w:r>
        <w:rPr>
          <w:rStyle w:val="FootnoteReference"/>
        </w:rPr>
        <w:footnoteRef/>
      </w:r>
      <w:r>
        <w:t> </w:t>
      </w:r>
      <w:r>
        <w:rPr>
          <w:sz w:val="16"/>
          <w:szCs w:val="16"/>
        </w:rPr>
        <w:t xml:space="preserve">Article 26, paragraphe 1. </w:t>
      </w:r>
    </w:p>
  </w:footnote>
  <w:footnote w:id="9">
    <w:p>
      <w:pPr>
        <w:pStyle w:val="FootnoteText"/>
      </w:pPr>
      <w:r>
        <w:rPr>
          <w:rStyle w:val="FootnoteReference"/>
        </w:rPr>
        <w:footnoteRef/>
      </w:r>
      <w:r>
        <w:t> </w:t>
      </w:r>
      <w:r>
        <w:rPr>
          <w:sz w:val="16"/>
          <w:szCs w:val="16"/>
        </w:rPr>
        <w:t xml:space="preserve">Directive 2006/22/CE du Parlement européen et du Conseil du 15 mars 2006 établissant les conditions minimales à respecter pour la mise en œuvre des règlements du Conseil (CEE) nº 3820/85 et (CEE) nº 3821/85 concernant la législation sociale relative aux activités de transport routier et abrogeant la directive 88/599/CEE du Conseil (JO L 102 du 11.4.2006, p. 35). </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35D3976"/>
    <w:multiLevelType w:val="hybridMultilevel"/>
    <w:tmpl w:val="6ED8F4B0"/>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3">
    <w:nsid w:val="03AE497A"/>
    <w:multiLevelType w:val="singleLevel"/>
    <w:tmpl w:val="34180612"/>
    <w:name w:val="List Bullet 1"/>
    <w:lvl w:ilvl="0">
      <w:start w:val="1"/>
      <w:numFmt w:val="bullet"/>
      <w:lvlRestart w:val="0"/>
      <w:lvlText w:val=""/>
      <w:lvlJc w:val="left"/>
      <w:pPr>
        <w:tabs>
          <w:tab w:val="num" w:pos="1134"/>
        </w:tabs>
        <w:ind w:left="1134" w:hanging="283"/>
      </w:pPr>
      <w:rPr>
        <w:rFonts w:ascii="Symbol" w:hAnsi="Symbol"/>
      </w:rPr>
    </w:lvl>
  </w:abstractNum>
  <w:abstractNum w:abstractNumId="4">
    <w:nsid w:val="118841AB"/>
    <w:multiLevelType w:val="hybridMultilevel"/>
    <w:tmpl w:val="F2C07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2"/>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nsid w:val="1F734306"/>
    <w:multiLevelType w:val="multilevel"/>
    <w:tmpl w:val="D266108E"/>
    <w:lvl w:ilvl="0">
      <w:start w:val="1"/>
      <w:numFmt w:val="decimal"/>
      <w:lvlText w:val="%1."/>
      <w:lvlJc w:val="left"/>
      <w:pPr>
        <w:tabs>
          <w:tab w:val="num" w:pos="480"/>
        </w:tabs>
        <w:ind w:left="480" w:hanging="480"/>
      </w:pPr>
    </w:lvl>
    <w:lvl w:ilvl="1">
      <w:start w:val="1"/>
      <w:numFmt w:val="decimal"/>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2"/>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2B75631B"/>
    <w:multiLevelType w:val="singleLevel"/>
    <w:tmpl w:val="A4DC141A"/>
    <w:name w:val="0.1605952"/>
    <w:lvl w:ilvl="0">
      <w:start w:val="1"/>
      <w:numFmt w:val="bullet"/>
      <w:pStyle w:val="ListBullet1"/>
      <w:lvlText w:val=""/>
      <w:lvlJc w:val="left"/>
      <w:pPr>
        <w:tabs>
          <w:tab w:val="num" w:pos="765"/>
        </w:tabs>
        <w:ind w:left="765" w:hanging="283"/>
      </w:pPr>
      <w:rPr>
        <w:rFonts w:ascii="Symbol" w:hAnsi="Symbol"/>
      </w:rPr>
    </w:lvl>
  </w:abstractNum>
  <w:abstractNum w:abstractNumId="11">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2"/>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3">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5">
    <w:nsid w:val="358B6119"/>
    <w:multiLevelType w:val="multilevel"/>
    <w:tmpl w:val="A8BA546C"/>
    <w:name w:val="0.5885388"/>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
      <w:lvlText w:val="–"/>
      <w:lvlJc w:val="left"/>
      <w:pPr>
        <w:tabs>
          <w:tab w:val="num" w:pos="2608"/>
        </w:tabs>
        <w:ind w:left="2608" w:hanging="709"/>
      </w:pPr>
      <w:rPr>
        <w:rFonts w:ascii="Times New Roman" w:hAnsi="Times New Roman"/>
      </w:rPr>
    </w:lvl>
    <w:lvl w:ilvl="3">
      <w:start w:val="1"/>
      <w:numFmt w:val="bullet"/>
      <w:pStyle w:val="ListNumber1Level2"/>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7F03D04"/>
    <w:multiLevelType w:val="hybridMultilevel"/>
    <w:tmpl w:val="5016C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8">
    <w:nsid w:val="3CBC2859"/>
    <w:multiLevelType w:val="multilevel"/>
    <w:tmpl w:val="A738782E"/>
    <w:name w:val="List Number 1"/>
    <w:lvl w:ilvl="0">
      <w:start w:val="1"/>
      <w:numFmt w:val="decimal"/>
      <w:lvlRestart w:val="0"/>
      <w:lvlText w:val="(%1)"/>
      <w:lvlJc w:val="left"/>
      <w:pPr>
        <w:tabs>
          <w:tab w:val="num" w:pos="1560"/>
        </w:tabs>
        <w:ind w:left="1560" w:hanging="709"/>
      </w:pPr>
      <w:rPr>
        <w:rFonts w:cs="Times New Roman"/>
      </w:rPr>
    </w:lvl>
    <w:lvl w:ilvl="1">
      <w:start w:val="1"/>
      <w:numFmt w:val="lowerLetter"/>
      <w:lvlText w:val="(%2)"/>
      <w:lvlJc w:val="left"/>
      <w:pPr>
        <w:tabs>
          <w:tab w:val="num" w:pos="2268"/>
        </w:tabs>
        <w:ind w:left="2268" w:hanging="708"/>
      </w:pPr>
      <w:rPr>
        <w:rFonts w:cs="Times New Roman"/>
      </w:rPr>
    </w:lvl>
    <w:lvl w:ilvl="2">
      <w:start w:val="1"/>
      <w:numFmt w:val="bullet"/>
      <w:lvlText w:val="–"/>
      <w:lvlJc w:val="left"/>
      <w:pPr>
        <w:tabs>
          <w:tab w:val="num" w:pos="2977"/>
        </w:tabs>
        <w:ind w:left="2977" w:hanging="709"/>
      </w:pPr>
      <w:rPr>
        <w:rFonts w:ascii="Times New Roman" w:hAnsi="Times New Roman"/>
      </w:rPr>
    </w:lvl>
    <w:lvl w:ilvl="3">
      <w:start w:val="1"/>
      <w:numFmt w:val="bullet"/>
      <w:lvlText w:val=""/>
      <w:lvlJc w:val="left"/>
      <w:pPr>
        <w:tabs>
          <w:tab w:val="num" w:pos="3686"/>
        </w:tabs>
        <w:ind w:left="3686"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1">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22">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3">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4">
    <w:nsid w:val="467E1F76"/>
    <w:multiLevelType w:val="multilevel"/>
    <w:tmpl w:val="7B4A48A6"/>
    <w:lvl w:ilvl="0">
      <w:start w:val="1"/>
      <w:numFmt w:val="lowerLetter"/>
      <w:lvlText w:val="%1)"/>
      <w:lvlJc w:val="left"/>
      <w:pPr>
        <w:tabs>
          <w:tab w:val="num" w:pos="1560"/>
        </w:tabs>
        <w:ind w:left="1560" w:hanging="709"/>
      </w:pPr>
    </w:lvl>
    <w:lvl w:ilvl="1">
      <w:start w:val="1"/>
      <w:numFmt w:val="lowerLetter"/>
      <w:lvlText w:val="(%2)"/>
      <w:lvlJc w:val="left"/>
      <w:pPr>
        <w:tabs>
          <w:tab w:val="num" w:pos="2268"/>
        </w:tabs>
        <w:ind w:left="2268" w:hanging="708"/>
      </w:pPr>
      <w:rPr>
        <w:rFonts w:cs="Times New Roman"/>
      </w:rPr>
    </w:lvl>
    <w:lvl w:ilvl="2">
      <w:start w:val="1"/>
      <w:numFmt w:val="bullet"/>
      <w:lvlText w:val="–"/>
      <w:lvlJc w:val="left"/>
      <w:pPr>
        <w:tabs>
          <w:tab w:val="num" w:pos="2977"/>
        </w:tabs>
        <w:ind w:left="2977" w:hanging="709"/>
      </w:pPr>
      <w:rPr>
        <w:rFonts w:ascii="Times New Roman" w:hAnsi="Times New Roman"/>
      </w:rPr>
    </w:lvl>
    <w:lvl w:ilvl="3">
      <w:start w:val="1"/>
      <w:numFmt w:val="bullet"/>
      <w:lvlText w:val=""/>
      <w:lvlJc w:val="left"/>
      <w:pPr>
        <w:tabs>
          <w:tab w:val="num" w:pos="3686"/>
        </w:tabs>
        <w:ind w:left="3686"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nsid w:val="4E155465"/>
    <w:multiLevelType w:val="hybridMultilevel"/>
    <w:tmpl w:val="BE60F832"/>
    <w:lvl w:ilvl="0" w:tplc="08090001">
      <w:start w:val="1"/>
      <w:numFmt w:val="bullet"/>
      <w:lvlText w:val=""/>
      <w:lvlJc w:val="left"/>
      <w:pPr>
        <w:ind w:left="1202" w:hanging="360"/>
      </w:pPr>
      <w:rPr>
        <w:rFonts w:ascii="Symbol" w:hAnsi="Symbol" w:hint="default"/>
      </w:rPr>
    </w:lvl>
    <w:lvl w:ilvl="1" w:tplc="08090003" w:tentative="1">
      <w:start w:val="1"/>
      <w:numFmt w:val="bullet"/>
      <w:lvlText w:val="o"/>
      <w:lvlJc w:val="left"/>
      <w:pPr>
        <w:ind w:left="1922" w:hanging="360"/>
      </w:pPr>
      <w:rPr>
        <w:rFonts w:ascii="Courier New" w:hAnsi="Courier New" w:cs="Courier New" w:hint="default"/>
      </w:rPr>
    </w:lvl>
    <w:lvl w:ilvl="2" w:tplc="08090005" w:tentative="1">
      <w:start w:val="1"/>
      <w:numFmt w:val="bullet"/>
      <w:lvlText w:val=""/>
      <w:lvlJc w:val="left"/>
      <w:pPr>
        <w:ind w:left="2642" w:hanging="360"/>
      </w:pPr>
      <w:rPr>
        <w:rFonts w:ascii="Wingdings" w:hAnsi="Wingdings" w:hint="default"/>
      </w:rPr>
    </w:lvl>
    <w:lvl w:ilvl="3" w:tplc="08090001" w:tentative="1">
      <w:start w:val="1"/>
      <w:numFmt w:val="bullet"/>
      <w:lvlText w:val=""/>
      <w:lvlJc w:val="left"/>
      <w:pPr>
        <w:ind w:left="3362" w:hanging="360"/>
      </w:pPr>
      <w:rPr>
        <w:rFonts w:ascii="Symbol" w:hAnsi="Symbol" w:hint="default"/>
      </w:rPr>
    </w:lvl>
    <w:lvl w:ilvl="4" w:tplc="08090003" w:tentative="1">
      <w:start w:val="1"/>
      <w:numFmt w:val="bullet"/>
      <w:lvlText w:val="o"/>
      <w:lvlJc w:val="left"/>
      <w:pPr>
        <w:ind w:left="4082" w:hanging="360"/>
      </w:pPr>
      <w:rPr>
        <w:rFonts w:ascii="Courier New" w:hAnsi="Courier New" w:cs="Courier New" w:hint="default"/>
      </w:rPr>
    </w:lvl>
    <w:lvl w:ilvl="5" w:tplc="08090005" w:tentative="1">
      <w:start w:val="1"/>
      <w:numFmt w:val="bullet"/>
      <w:lvlText w:val=""/>
      <w:lvlJc w:val="left"/>
      <w:pPr>
        <w:ind w:left="4802" w:hanging="360"/>
      </w:pPr>
      <w:rPr>
        <w:rFonts w:ascii="Wingdings" w:hAnsi="Wingdings" w:hint="default"/>
      </w:rPr>
    </w:lvl>
    <w:lvl w:ilvl="6" w:tplc="08090001" w:tentative="1">
      <w:start w:val="1"/>
      <w:numFmt w:val="bullet"/>
      <w:lvlText w:val=""/>
      <w:lvlJc w:val="left"/>
      <w:pPr>
        <w:ind w:left="5522" w:hanging="360"/>
      </w:pPr>
      <w:rPr>
        <w:rFonts w:ascii="Symbol" w:hAnsi="Symbol" w:hint="default"/>
      </w:rPr>
    </w:lvl>
    <w:lvl w:ilvl="7" w:tplc="08090003" w:tentative="1">
      <w:start w:val="1"/>
      <w:numFmt w:val="bullet"/>
      <w:lvlText w:val="o"/>
      <w:lvlJc w:val="left"/>
      <w:pPr>
        <w:ind w:left="6242" w:hanging="360"/>
      </w:pPr>
      <w:rPr>
        <w:rFonts w:ascii="Courier New" w:hAnsi="Courier New" w:cs="Courier New" w:hint="default"/>
      </w:rPr>
    </w:lvl>
    <w:lvl w:ilvl="8" w:tplc="08090005" w:tentative="1">
      <w:start w:val="1"/>
      <w:numFmt w:val="bullet"/>
      <w:lvlText w:val=""/>
      <w:lvlJc w:val="left"/>
      <w:pPr>
        <w:ind w:left="6962" w:hanging="360"/>
      </w:pPr>
      <w:rPr>
        <w:rFonts w:ascii="Wingdings" w:hAnsi="Wingdings" w:hint="default"/>
      </w:rPr>
    </w:lvl>
  </w:abstractNum>
  <w:abstractNum w:abstractNumId="26">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7">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8">
    <w:nsid w:val="561239CE"/>
    <w:multiLevelType w:val="hybridMultilevel"/>
    <w:tmpl w:val="2DDA56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3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34">
    <w:nsid w:val="608E7F4B"/>
    <w:multiLevelType w:val="hybridMultilevel"/>
    <w:tmpl w:val="5F222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36">
    <w:nsid w:val="64A12FA4"/>
    <w:multiLevelType w:val="multilevel"/>
    <w:tmpl w:val="428ECF3E"/>
    <w:name w:val="Heading"/>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38">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39">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2"/>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nsid w:val="75C26F71"/>
    <w:multiLevelType w:val="multilevel"/>
    <w:tmpl w:val="A460784C"/>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nsid w:val="7A5E48DA"/>
    <w:multiLevelType w:val="hybridMultilevel"/>
    <w:tmpl w:val="12C43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CBB66E5"/>
    <w:multiLevelType w:val="hybridMultilevel"/>
    <w:tmpl w:val="3F74A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40"/>
  </w:num>
  <w:num w:numId="2">
    <w:abstractNumId w:val="31"/>
  </w:num>
  <w:num w:numId="3">
    <w:abstractNumId w:val="20"/>
  </w:num>
  <w:num w:numId="4">
    <w:abstractNumId w:val="37"/>
  </w:num>
  <w:num w:numId="5">
    <w:abstractNumId w:val="13"/>
  </w:num>
  <w:num w:numId="6">
    <w:abstractNumId w:val="21"/>
  </w:num>
  <w:num w:numId="7">
    <w:abstractNumId w:val="9"/>
  </w:num>
  <w:num w:numId="8">
    <w:abstractNumId w:val="36"/>
  </w:num>
  <w:num w:numId="9">
    <w:abstractNumId w:val="6"/>
  </w:num>
  <w:num w:numId="10">
    <w:abstractNumId w:val="22"/>
  </w:num>
  <w:num w:numId="11">
    <w:abstractNumId w:val="29"/>
  </w:num>
  <w:num w:numId="12">
    <w:abstractNumId w:val="30"/>
  </w:num>
  <w:num w:numId="13">
    <w:abstractNumId w:val="12"/>
  </w:num>
  <w:num w:numId="14">
    <w:abstractNumId w:val="27"/>
  </w:num>
  <w:num w:numId="15">
    <w:abstractNumId w:val="43"/>
  </w:num>
  <w:num w:numId="16">
    <w:abstractNumId w:val="7"/>
  </w:num>
  <w:num w:numId="17">
    <w:abstractNumId w:val="10"/>
  </w:num>
  <w:num w:numId="18">
    <w:abstractNumId w:val="35"/>
  </w:num>
  <w:num w:numId="19">
    <w:abstractNumId w:val="14"/>
  </w:num>
  <w:num w:numId="20">
    <w:abstractNumId w:val="33"/>
  </w:num>
  <w:num w:numId="21">
    <w:abstractNumId w:val="23"/>
  </w:num>
  <w:num w:numId="22">
    <w:abstractNumId w:val="15"/>
  </w:num>
  <w:num w:numId="23">
    <w:abstractNumId w:val="3"/>
  </w:num>
  <w:num w:numId="24">
    <w:abstractNumId w:val="18"/>
  </w:num>
  <w:num w:numId="25">
    <w:abstractNumId w:val="1"/>
  </w:num>
  <w:num w:numId="26">
    <w:abstractNumId w:val="0"/>
  </w:num>
  <w:num w:numId="27">
    <w:abstractNumId w:val="19"/>
  </w:num>
  <w:num w:numId="28">
    <w:abstractNumId w:val="17"/>
  </w:num>
  <w:num w:numId="29">
    <w:abstractNumId w:val="38"/>
  </w:num>
  <w:num w:numId="30">
    <w:abstractNumId w:val="32"/>
  </w:num>
  <w:num w:numId="31">
    <w:abstractNumId w:val="26"/>
  </w:num>
  <w:num w:numId="32">
    <w:abstractNumId w:val="8"/>
  </w:num>
  <w:num w:numId="33">
    <w:abstractNumId w:val="5"/>
  </w:num>
  <w:num w:numId="34">
    <w:abstractNumId w:val="11"/>
  </w:num>
  <w:num w:numId="35">
    <w:abstractNumId w:val="39"/>
  </w:num>
  <w:num w:numId="36">
    <w:abstractNumId w:val="42"/>
  </w:num>
  <w:num w:numId="37">
    <w:abstractNumId w:val="16"/>
  </w:num>
  <w:num w:numId="38">
    <w:abstractNumId w:val="24"/>
  </w:num>
  <w:num w:numId="39">
    <w:abstractNumId w:val="4"/>
  </w:num>
  <w:num w:numId="40">
    <w:abstractNumId w:val="41"/>
  </w:num>
  <w:num w:numId="41">
    <w:abstractNumId w:val="25"/>
  </w:num>
  <w:num w:numId="42">
    <w:abstractNumId w:val="34"/>
  </w:num>
  <w:num w:numId="43">
    <w:abstractNumId w:val="28"/>
  </w:num>
  <w:num w:numId="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revisionView w:markup="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E5D6DEC5-D733-4D03-9796-C66F168F4D79"/>
    <w:docVar w:name="LW_COVERPAGE_TYPE" w:val="1"/>
    <w:docVar w:name="LW_CROSSREFERENCE" w:val="&lt;UNUSED&gt;"/>
    <w:docVar w:name="LW_DocType" w:val="NORMAL"/>
    <w:docVar w:name="LW_EMISSION" w:val="23.3.2020"/>
    <w:docVar w:name="LW_EMISSION_ISODATE" w:val="2020-03-23"/>
    <w:docVar w:name="LW_EMISSION_LOCATION" w:val="BRX"/>
    <w:docVar w:name="LW_EMISSION_PREFIX" w:val="Bruxelles, le "/>
    <w:docVar w:name="LW_EMISSION_SUFFIX" w:val=" "/>
    <w:docVar w:name="LW_ID_DOCTYPE_NONLW" w:val="CP-006"/>
    <w:docVar w:name="LW_LANGUE" w:val="FR"/>
    <w:docVar w:name="LW_LEVEL_OF_SENSITIVITY" w:val="Standard treatment"/>
    <w:docVar w:name="LW_NOM.INST" w:val="COMMISSION EUROPÉENNE"/>
    <w:docVar w:name="LW_NOM.INST_JOINTDOC" w:val="&lt;EMPTY&gt;"/>
    <w:docVar w:name="LW_PART_NBR" w:val="1"/>
    <w:docVar w:name="LW_PART_NBR_TOTAL" w:val="1"/>
    <w:docVar w:name="LW_REF.INST.NEW" w:val="COM"/>
    <w:docVar w:name="LW_REF.INST.NEW_ADOPTED" w:val="final"/>
    <w:docVar w:name="LW_REF.INST.NEW_TEXT" w:val="(2020) 10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OUS.TITRE.OBJ.CP" w:val="&lt;UNUSED&gt;"/>
    <w:docVar w:name="LW_SUPERTITRE" w:val="&lt;UNUSED&gt;"/>
    <w:docVar w:name="LW_TITRE.OBJ.CP" w:val="sur l'application par les États membres de la directive 2000/30/CE du Parlement européen et du Conseil du 6 juin 2000 relative au contrôle technique routier des véhicules utilitaires circulant dans la Communauté_x000d__x000b__x000b__x000b_ _x000d__x000d_Période de référence 2015-2016   "/>
    <w:docVar w:name="LW_TYPE.DOC.CP" w:val="RAPPORT DE LA COMMISSION AU PARLEMENT EUROPÉEN ET AU CONSEIL"/>
  </w:docVar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5" w:uiPriority="39"/>
    <w:lsdException w:name="toc 9" w:uiPriority="39"/>
    <w:lsdException w:name="header" w:uiPriority="99"/>
    <w:lsdException w:name="footer" w:uiPriority="99"/>
    <w:lsdException w:name="caption" w:qFormat="1"/>
    <w:lsdException w:name="line number" w:uiPriority="99"/>
    <w:lsdException w:name="page number" w:uiPriority="99"/>
    <w:lsdException w:name="endnote reference" w:uiPriority="99"/>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iPriority="20" w:unhideWhenUsed="0"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Text1"/>
    <w:link w:val="Heading1Char"/>
    <w:qFormat/>
    <w:pPr>
      <w:keepNext/>
      <w:tabs>
        <w:tab w:val="left" w:pos="850"/>
      </w:tabs>
      <w:spacing w:before="360" w:after="120" w:line="240" w:lineRule="auto"/>
      <w:ind w:left="850" w:hanging="850"/>
      <w:jc w:val="both"/>
      <w:outlineLvl w:val="0"/>
    </w:pPr>
    <w:rPr>
      <w:rFonts w:ascii="Times New Roman" w:eastAsia="Times New Roman" w:hAnsi="Times New Roman"/>
      <w:b/>
      <w:smallCaps/>
      <w:sz w:val="24"/>
      <w:szCs w:val="24"/>
    </w:rPr>
  </w:style>
  <w:style w:type="paragraph" w:styleId="Heading2">
    <w:name w:val="heading 2"/>
    <w:basedOn w:val="Normal"/>
    <w:next w:val="Text1"/>
    <w:link w:val="Heading2Char"/>
    <w:qFormat/>
    <w:pPr>
      <w:keepNext/>
      <w:tabs>
        <w:tab w:val="left" w:pos="850"/>
      </w:tabs>
      <w:spacing w:before="120" w:after="120" w:line="240" w:lineRule="auto"/>
      <w:ind w:left="850" w:hanging="850"/>
      <w:jc w:val="both"/>
      <w:outlineLvl w:val="1"/>
    </w:pPr>
    <w:rPr>
      <w:rFonts w:ascii="Times New Roman" w:eastAsia="Times New Roman" w:hAnsi="Times New Roman"/>
      <w:b/>
      <w:sz w:val="24"/>
      <w:szCs w:val="24"/>
    </w:rPr>
  </w:style>
  <w:style w:type="paragraph" w:styleId="Heading3">
    <w:name w:val="heading 3"/>
    <w:basedOn w:val="Normal"/>
    <w:next w:val="Text1"/>
    <w:link w:val="Heading3Char"/>
    <w:qFormat/>
    <w:pPr>
      <w:keepNext/>
      <w:numPr>
        <w:ilvl w:val="2"/>
        <w:numId w:val="16"/>
      </w:numPr>
      <w:tabs>
        <w:tab w:val="clear" w:pos="1920"/>
        <w:tab w:val="num" w:pos="850"/>
      </w:tabs>
      <w:spacing w:before="120" w:after="120" w:line="240" w:lineRule="auto"/>
      <w:ind w:left="850" w:hanging="850"/>
      <w:jc w:val="both"/>
      <w:outlineLvl w:val="2"/>
    </w:pPr>
    <w:rPr>
      <w:rFonts w:ascii="Times New Roman" w:eastAsia="Times New Roman" w:hAnsi="Times New Roman" w:cs="Times New Roman"/>
      <w:bCs/>
      <w:i/>
      <w:sz w:val="24"/>
      <w:szCs w:val="26"/>
    </w:rPr>
  </w:style>
  <w:style w:type="paragraph" w:styleId="Heading4">
    <w:name w:val="heading 4"/>
    <w:basedOn w:val="Normal"/>
    <w:next w:val="Text1"/>
    <w:link w:val="Heading4Char"/>
    <w:qFormat/>
    <w:pPr>
      <w:keepNext/>
      <w:numPr>
        <w:ilvl w:val="3"/>
        <w:numId w:val="16"/>
      </w:numPr>
      <w:tabs>
        <w:tab w:val="clear" w:pos="1920"/>
        <w:tab w:val="num" w:pos="850"/>
      </w:tabs>
      <w:spacing w:before="120" w:after="120" w:line="240" w:lineRule="auto"/>
      <w:ind w:left="850" w:hanging="850"/>
      <w:jc w:val="both"/>
      <w:outlineLvl w:val="3"/>
    </w:pPr>
    <w:rPr>
      <w:rFonts w:ascii="Times New Roman" w:eastAsia="Times New Roman" w:hAnsi="Times New Roman" w:cs="Times New Roman"/>
      <w:bCs/>
      <w:sz w:val="24"/>
      <w:szCs w:val="28"/>
    </w:rPr>
  </w:style>
  <w:style w:type="paragraph" w:styleId="Heading5">
    <w:name w:val="heading 5"/>
    <w:basedOn w:val="Normal"/>
    <w:next w:val="Normal"/>
    <w:link w:val="Heading5Char"/>
    <w:qFormat/>
    <w:pPr>
      <w:tabs>
        <w:tab w:val="num" w:pos="0"/>
      </w:tabs>
      <w:spacing w:before="240" w:after="60" w:line="240" w:lineRule="auto"/>
      <w:jc w:val="both"/>
      <w:outlineLvl w:val="4"/>
    </w:pPr>
    <w:rPr>
      <w:rFonts w:ascii="Arial" w:eastAsia="Times New Roman" w:hAnsi="Arial" w:cs="Times New Roman"/>
      <w:szCs w:val="20"/>
    </w:rPr>
  </w:style>
  <w:style w:type="paragraph" w:styleId="Heading6">
    <w:name w:val="heading 6"/>
    <w:basedOn w:val="Normal"/>
    <w:next w:val="Normal"/>
    <w:link w:val="Heading6Char"/>
    <w:qFormat/>
    <w:pPr>
      <w:tabs>
        <w:tab w:val="num" w:pos="0"/>
      </w:tabs>
      <w:spacing w:before="240" w:after="60" w:line="240" w:lineRule="auto"/>
      <w:jc w:val="both"/>
      <w:outlineLvl w:val="5"/>
    </w:pPr>
    <w:rPr>
      <w:rFonts w:ascii="Arial" w:eastAsia="Times New Roman" w:hAnsi="Arial" w:cs="Times New Roman"/>
      <w:i/>
      <w:szCs w:val="20"/>
    </w:rPr>
  </w:style>
  <w:style w:type="paragraph" w:styleId="Heading7">
    <w:name w:val="heading 7"/>
    <w:basedOn w:val="Normal"/>
    <w:next w:val="Normal"/>
    <w:link w:val="Heading7Char"/>
    <w:qFormat/>
    <w:pPr>
      <w:tabs>
        <w:tab w:val="num" w:pos="0"/>
      </w:tabs>
      <w:spacing w:before="240" w:after="60" w:line="240" w:lineRule="auto"/>
      <w:jc w:val="both"/>
      <w:outlineLvl w:val="6"/>
    </w:pPr>
    <w:rPr>
      <w:rFonts w:ascii="Arial" w:eastAsia="Times New Roman" w:hAnsi="Arial" w:cs="Times New Roman"/>
      <w:sz w:val="20"/>
      <w:szCs w:val="20"/>
    </w:rPr>
  </w:style>
  <w:style w:type="paragraph" w:styleId="Heading8">
    <w:name w:val="heading 8"/>
    <w:basedOn w:val="Normal"/>
    <w:next w:val="Normal"/>
    <w:link w:val="Heading8Char"/>
    <w:qFormat/>
    <w:pPr>
      <w:tabs>
        <w:tab w:val="num" w:pos="0"/>
      </w:tabs>
      <w:spacing w:before="240" w:after="60" w:line="240" w:lineRule="auto"/>
      <w:jc w:val="both"/>
      <w:outlineLvl w:val="7"/>
    </w:pPr>
    <w:rPr>
      <w:rFonts w:ascii="Arial" w:eastAsia="Times New Roman" w:hAnsi="Arial" w:cs="Times New Roman"/>
      <w:i/>
      <w:sz w:val="20"/>
      <w:szCs w:val="20"/>
    </w:rPr>
  </w:style>
  <w:style w:type="paragraph" w:styleId="Heading9">
    <w:name w:val="heading 9"/>
    <w:basedOn w:val="Normal"/>
    <w:next w:val="Normal"/>
    <w:link w:val="Heading9Char"/>
    <w:qFormat/>
    <w:pPr>
      <w:tabs>
        <w:tab w:val="num" w:pos="0"/>
      </w:tabs>
      <w:spacing w:before="240" w:after="60" w:line="240" w:lineRule="auto"/>
      <w:jc w:val="both"/>
      <w:outlineLvl w:val="8"/>
    </w:pPr>
    <w:rPr>
      <w:rFonts w:ascii="Arial" w:eastAsia="Times New Roman" w:hAnsi="Arial" w:cs="Times New Roman"/>
      <w:i/>
      <w:sz w:val="1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character" w:customStyle="1" w:styleId="Heading1Char">
    <w:name w:val="Heading 1 Char"/>
    <w:basedOn w:val="DefaultParagraphFont"/>
    <w:link w:val="Heading1"/>
    <w:rPr>
      <w:rFonts w:ascii="Times New Roman" w:eastAsia="Times New Roman" w:hAnsi="Times New Roman"/>
      <w:b/>
      <w:smallCaps/>
      <w:sz w:val="24"/>
      <w:szCs w:val="24"/>
    </w:rPr>
  </w:style>
  <w:style w:type="character" w:customStyle="1" w:styleId="Heading2Char">
    <w:name w:val="Heading 2 Char"/>
    <w:basedOn w:val="DefaultParagraphFont"/>
    <w:link w:val="Heading2"/>
    <w:rPr>
      <w:rFonts w:ascii="Times New Roman" w:eastAsia="Times New Roman" w:hAnsi="Times New Roman"/>
      <w:b/>
      <w:sz w:val="24"/>
      <w:szCs w:val="24"/>
    </w:rPr>
  </w:style>
  <w:style w:type="character" w:customStyle="1" w:styleId="Heading3Char">
    <w:name w:val="Heading 3 Char"/>
    <w:basedOn w:val="DefaultParagraphFont"/>
    <w:link w:val="Heading3"/>
    <w:rPr>
      <w:rFonts w:ascii="Times New Roman" w:eastAsia="Times New Roman" w:hAnsi="Times New Roman" w:cs="Times New Roman"/>
      <w:bCs/>
      <w:i/>
      <w:sz w:val="24"/>
      <w:szCs w:val="26"/>
    </w:rPr>
  </w:style>
  <w:style w:type="character" w:customStyle="1" w:styleId="Heading4Char">
    <w:name w:val="Heading 4 Char"/>
    <w:basedOn w:val="DefaultParagraphFont"/>
    <w:link w:val="Heading4"/>
    <w:rPr>
      <w:rFonts w:ascii="Times New Roman" w:eastAsia="Times New Roman" w:hAnsi="Times New Roman" w:cs="Times New Roman"/>
      <w:bCs/>
      <w:sz w:val="24"/>
      <w:szCs w:val="28"/>
    </w:rPr>
  </w:style>
  <w:style w:type="character" w:customStyle="1" w:styleId="Heading5Char">
    <w:name w:val="Heading 5 Char"/>
    <w:basedOn w:val="DefaultParagraphFont"/>
    <w:link w:val="Heading5"/>
    <w:rPr>
      <w:rFonts w:ascii="Arial" w:eastAsia="Times New Roman" w:hAnsi="Arial" w:cs="Times New Roman"/>
      <w:szCs w:val="20"/>
    </w:rPr>
  </w:style>
  <w:style w:type="character" w:customStyle="1" w:styleId="Heading6Char">
    <w:name w:val="Heading 6 Char"/>
    <w:basedOn w:val="DefaultParagraphFont"/>
    <w:link w:val="Heading6"/>
    <w:rPr>
      <w:rFonts w:ascii="Arial" w:eastAsia="Times New Roman" w:hAnsi="Arial" w:cs="Times New Roman"/>
      <w:i/>
      <w:szCs w:val="20"/>
    </w:rPr>
  </w:style>
  <w:style w:type="character" w:customStyle="1" w:styleId="Heading7Char">
    <w:name w:val="Heading 7 Char"/>
    <w:basedOn w:val="DefaultParagraphFont"/>
    <w:link w:val="Heading7"/>
    <w:rPr>
      <w:rFonts w:ascii="Arial" w:eastAsia="Times New Roman" w:hAnsi="Arial" w:cs="Times New Roman"/>
      <w:sz w:val="20"/>
      <w:szCs w:val="20"/>
    </w:rPr>
  </w:style>
  <w:style w:type="character" w:customStyle="1" w:styleId="Heading8Char">
    <w:name w:val="Heading 8 Char"/>
    <w:basedOn w:val="DefaultParagraphFont"/>
    <w:link w:val="Heading8"/>
    <w:rPr>
      <w:rFonts w:ascii="Arial" w:eastAsia="Times New Roman" w:hAnsi="Arial" w:cs="Times New Roman"/>
      <w:i/>
      <w:sz w:val="20"/>
      <w:szCs w:val="20"/>
    </w:rPr>
  </w:style>
  <w:style w:type="character" w:customStyle="1" w:styleId="Heading9Char">
    <w:name w:val="Heading 9 Char"/>
    <w:basedOn w:val="DefaultParagraphFont"/>
    <w:link w:val="Heading9"/>
    <w:rPr>
      <w:rFonts w:ascii="Arial" w:eastAsia="Times New Roman" w:hAnsi="Arial" w:cs="Times New Roman"/>
      <w:i/>
      <w:sz w:val="18"/>
      <w:szCs w:val="20"/>
    </w:rPr>
  </w:style>
  <w:style w:type="numbering" w:customStyle="1" w:styleId="NoList1">
    <w:name w:val="No List1"/>
    <w:next w:val="NoList"/>
    <w:uiPriority w:val="99"/>
    <w:semiHidden/>
    <w:unhideWhenUsed/>
  </w:style>
  <w:style w:type="paragraph" w:styleId="FootnoteText">
    <w:name w:val="footnote text"/>
    <w:basedOn w:val="Normal"/>
    <w:link w:val="FootnoteTextChar"/>
    <w:semiHidden/>
    <w:pPr>
      <w:spacing w:after="0" w:line="240" w:lineRule="auto"/>
      <w:ind w:left="720" w:hanging="720"/>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Pr>
      <w:rFonts w:ascii="Times New Roman" w:eastAsia="Times New Roman" w:hAnsi="Times New Roman" w:cs="Times New Roman"/>
      <w:sz w:val="20"/>
      <w:szCs w:val="20"/>
    </w:rPr>
  </w:style>
  <w:style w:type="paragraph" w:styleId="TOC1">
    <w:name w:val="toc 1"/>
    <w:basedOn w:val="Normal"/>
    <w:next w:val="Normal"/>
    <w:uiPriority w:val="39"/>
    <w:pPr>
      <w:tabs>
        <w:tab w:val="right" w:leader="dot" w:pos="9071"/>
      </w:tabs>
      <w:spacing w:before="60" w:after="120" w:line="240" w:lineRule="auto"/>
      <w:ind w:left="850" w:hanging="850"/>
    </w:pPr>
    <w:rPr>
      <w:rFonts w:ascii="Times New Roman" w:eastAsia="Times New Roman" w:hAnsi="Times New Roman" w:cs="Times New Roman"/>
      <w:sz w:val="24"/>
      <w:szCs w:val="24"/>
    </w:rPr>
  </w:style>
  <w:style w:type="paragraph" w:styleId="TOC2">
    <w:name w:val="toc 2"/>
    <w:basedOn w:val="Normal"/>
    <w:next w:val="Normal"/>
    <w:uiPriority w:val="39"/>
    <w:pPr>
      <w:tabs>
        <w:tab w:val="right" w:leader="dot" w:pos="9071"/>
      </w:tabs>
      <w:spacing w:before="60" w:after="120" w:line="240" w:lineRule="auto"/>
      <w:ind w:left="850" w:hanging="850"/>
    </w:pPr>
    <w:rPr>
      <w:rFonts w:ascii="Times New Roman" w:eastAsia="Times New Roman" w:hAnsi="Times New Roman" w:cs="Times New Roman"/>
      <w:sz w:val="24"/>
      <w:szCs w:val="24"/>
    </w:rPr>
  </w:style>
  <w:style w:type="paragraph" w:styleId="TOC3">
    <w:name w:val="toc 3"/>
    <w:basedOn w:val="Normal"/>
    <w:next w:val="Normal"/>
    <w:uiPriority w:val="39"/>
    <w:pPr>
      <w:tabs>
        <w:tab w:val="right" w:leader="dot" w:pos="9071"/>
      </w:tabs>
      <w:spacing w:before="60" w:after="120" w:line="240" w:lineRule="auto"/>
      <w:ind w:left="850" w:hanging="850"/>
    </w:pPr>
    <w:rPr>
      <w:rFonts w:ascii="Times New Roman" w:eastAsia="Times New Roman" w:hAnsi="Times New Roman" w:cs="Times New Roman"/>
      <w:sz w:val="24"/>
      <w:szCs w:val="24"/>
    </w:rPr>
  </w:style>
  <w:style w:type="paragraph" w:styleId="TOC4">
    <w:name w:val="toc 4"/>
    <w:basedOn w:val="Normal"/>
    <w:next w:val="Normal"/>
    <w:semiHidden/>
    <w:pPr>
      <w:tabs>
        <w:tab w:val="right" w:leader="dot" w:pos="9071"/>
      </w:tabs>
      <w:spacing w:before="60" w:after="120" w:line="240" w:lineRule="auto"/>
      <w:ind w:left="850" w:hanging="850"/>
    </w:pPr>
    <w:rPr>
      <w:rFonts w:ascii="Times New Roman" w:eastAsia="Times New Roman" w:hAnsi="Times New Roman" w:cs="Times New Roman"/>
      <w:sz w:val="24"/>
      <w:szCs w:val="24"/>
    </w:rPr>
  </w:style>
  <w:style w:type="paragraph" w:styleId="TOC5">
    <w:name w:val="toc 5"/>
    <w:basedOn w:val="Normal"/>
    <w:next w:val="Normal"/>
    <w:uiPriority w:val="39"/>
    <w:pPr>
      <w:tabs>
        <w:tab w:val="right" w:leader="dot" w:pos="9071"/>
      </w:tabs>
      <w:spacing w:before="300" w:after="120" w:line="240" w:lineRule="auto"/>
    </w:pPr>
    <w:rPr>
      <w:rFonts w:ascii="Times New Roman" w:eastAsia="Times New Roman" w:hAnsi="Times New Roman" w:cs="Times New Roman"/>
      <w:sz w:val="24"/>
      <w:szCs w:val="24"/>
    </w:rPr>
  </w:style>
  <w:style w:type="paragraph" w:styleId="TOC6">
    <w:name w:val="toc 6"/>
    <w:basedOn w:val="Normal"/>
    <w:next w:val="Normal"/>
    <w:semiHidden/>
    <w:pPr>
      <w:tabs>
        <w:tab w:val="right" w:leader="dot" w:pos="9071"/>
      </w:tabs>
      <w:spacing w:before="240" w:after="120" w:line="240" w:lineRule="auto"/>
    </w:pPr>
    <w:rPr>
      <w:rFonts w:ascii="Times New Roman" w:eastAsia="Times New Roman" w:hAnsi="Times New Roman" w:cs="Times New Roman"/>
      <w:sz w:val="24"/>
      <w:szCs w:val="24"/>
    </w:rPr>
  </w:style>
  <w:style w:type="paragraph" w:styleId="TOC7">
    <w:name w:val="toc 7"/>
    <w:basedOn w:val="Normal"/>
    <w:next w:val="Normal"/>
    <w:semiHidden/>
    <w:pPr>
      <w:tabs>
        <w:tab w:val="right" w:leader="dot" w:pos="9071"/>
      </w:tabs>
      <w:spacing w:before="180" w:after="120" w:line="240" w:lineRule="auto"/>
    </w:pPr>
    <w:rPr>
      <w:rFonts w:ascii="Times New Roman" w:eastAsia="Times New Roman" w:hAnsi="Times New Roman" w:cs="Times New Roman"/>
      <w:sz w:val="24"/>
      <w:szCs w:val="24"/>
    </w:rPr>
  </w:style>
  <w:style w:type="paragraph" w:styleId="TOC8">
    <w:name w:val="toc 8"/>
    <w:basedOn w:val="Normal"/>
    <w:next w:val="Normal"/>
    <w:semiHidden/>
    <w:pPr>
      <w:tabs>
        <w:tab w:val="right" w:leader="dot" w:pos="9071"/>
      </w:tabs>
      <w:spacing w:before="120" w:after="120" w:line="240" w:lineRule="auto"/>
    </w:pPr>
    <w:rPr>
      <w:rFonts w:ascii="Times New Roman" w:eastAsia="Times New Roman" w:hAnsi="Times New Roman" w:cs="Times New Roman"/>
      <w:sz w:val="24"/>
      <w:szCs w:val="24"/>
    </w:rPr>
  </w:style>
  <w:style w:type="paragraph" w:styleId="TOC9">
    <w:name w:val="toc 9"/>
    <w:basedOn w:val="Normal"/>
    <w:next w:val="Normal"/>
    <w:uiPriority w:val="39"/>
    <w:pPr>
      <w:tabs>
        <w:tab w:val="right" w:leader="dot" w:pos="9071"/>
      </w:tabs>
      <w:spacing w:before="120" w:after="120" w:line="240" w:lineRule="auto"/>
      <w:jc w:val="both"/>
    </w:pPr>
    <w:rPr>
      <w:rFonts w:ascii="Times New Roman" w:eastAsia="Times New Roman" w:hAnsi="Times New Roman" w:cs="Times New Roman"/>
      <w:sz w:val="24"/>
      <w:szCs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character" w:styleId="FootnoteReference">
    <w:name w:val="footnote reference"/>
    <w:semiHidden/>
    <w:rPr>
      <w:shd w:val="clear" w:color="auto" w:fill="auto"/>
      <w:vertAlign w:val="superscript"/>
    </w:rPr>
  </w:style>
  <w:style w:type="paragraph" w:customStyle="1" w:styleId="Text1">
    <w:name w:val="Text 1"/>
    <w:basedOn w:val="Normal"/>
    <w:pPr>
      <w:spacing w:before="120" w:after="120" w:line="240" w:lineRule="auto"/>
      <w:ind w:left="850"/>
      <w:jc w:val="both"/>
    </w:pPr>
    <w:rPr>
      <w:rFonts w:ascii="Times New Roman" w:eastAsia="Times New Roman" w:hAnsi="Times New Roman" w:cs="Times New Roman"/>
      <w:sz w:val="24"/>
      <w:szCs w:val="24"/>
    </w:rPr>
  </w:style>
  <w:style w:type="paragraph" w:customStyle="1" w:styleId="Text2">
    <w:name w:val="Text 2"/>
    <w:basedOn w:val="Normal"/>
    <w:pPr>
      <w:spacing w:before="120" w:after="120" w:line="240" w:lineRule="auto"/>
      <w:ind w:left="1417"/>
      <w:jc w:val="both"/>
    </w:pPr>
    <w:rPr>
      <w:rFonts w:ascii="Times New Roman" w:eastAsia="Times New Roman" w:hAnsi="Times New Roman" w:cs="Times New Roman"/>
      <w:sz w:val="24"/>
      <w:szCs w:val="24"/>
    </w:rPr>
  </w:style>
  <w:style w:type="paragraph" w:customStyle="1" w:styleId="Text3">
    <w:name w:val="Text 3"/>
    <w:basedOn w:val="Normal"/>
    <w:pPr>
      <w:spacing w:before="120" w:after="120" w:line="240" w:lineRule="auto"/>
      <w:ind w:left="1984"/>
      <w:jc w:val="both"/>
    </w:pPr>
    <w:rPr>
      <w:rFonts w:ascii="Times New Roman" w:eastAsia="Times New Roman" w:hAnsi="Times New Roman" w:cs="Times New Roman"/>
      <w:sz w:val="24"/>
      <w:szCs w:val="24"/>
    </w:rPr>
  </w:style>
  <w:style w:type="paragraph" w:customStyle="1" w:styleId="Text4">
    <w:name w:val="Text 4"/>
    <w:basedOn w:val="Normal"/>
    <w:pPr>
      <w:spacing w:before="120" w:after="120" w:line="240" w:lineRule="auto"/>
      <w:ind w:left="2551"/>
      <w:jc w:val="both"/>
    </w:pPr>
    <w:rPr>
      <w:rFonts w:ascii="Times New Roman" w:eastAsia="Times New Roman" w:hAnsi="Times New Roman" w:cs="Times New Roman"/>
      <w:sz w:val="24"/>
      <w:szCs w:val="24"/>
    </w:rPr>
  </w:style>
  <w:style w:type="paragraph" w:customStyle="1" w:styleId="NormalCentered">
    <w:name w:val="Normal Centered"/>
    <w:basedOn w:val="Normal"/>
    <w:pPr>
      <w:spacing w:before="120" w:after="120" w:line="240" w:lineRule="auto"/>
      <w:jc w:val="center"/>
    </w:pPr>
    <w:rPr>
      <w:rFonts w:ascii="Times New Roman" w:eastAsia="Times New Roman" w:hAnsi="Times New Roman" w:cs="Times New Roman"/>
      <w:sz w:val="24"/>
      <w:szCs w:val="24"/>
    </w:rPr>
  </w:style>
  <w:style w:type="paragraph" w:customStyle="1" w:styleId="NormalLeft">
    <w:name w:val="Normal Left"/>
    <w:basedOn w:val="Normal"/>
    <w:pPr>
      <w:spacing w:before="120" w:after="120" w:line="240" w:lineRule="auto"/>
    </w:pPr>
    <w:rPr>
      <w:rFonts w:ascii="Times New Roman" w:eastAsia="Times New Roman" w:hAnsi="Times New Roman" w:cs="Times New Roman"/>
      <w:sz w:val="24"/>
      <w:szCs w:val="24"/>
    </w:rPr>
  </w:style>
  <w:style w:type="paragraph" w:customStyle="1" w:styleId="NormalRight">
    <w:name w:val="Normal Right"/>
    <w:basedOn w:val="Normal"/>
    <w:pPr>
      <w:spacing w:before="120" w:after="120" w:line="240" w:lineRule="auto"/>
      <w:jc w:val="right"/>
    </w:pPr>
    <w:rPr>
      <w:rFonts w:ascii="Times New Roman" w:eastAsia="Times New Roman" w:hAnsi="Times New Roman" w:cs="Times New Roman"/>
      <w:sz w:val="24"/>
      <w:szCs w:val="24"/>
    </w:rPr>
  </w:style>
  <w:style w:type="paragraph" w:customStyle="1" w:styleId="QuotedText">
    <w:name w:val="Quoted Text"/>
    <w:basedOn w:val="Normal"/>
    <w:pPr>
      <w:spacing w:before="120" w:after="120" w:line="240" w:lineRule="auto"/>
      <w:ind w:left="1417"/>
      <w:jc w:val="both"/>
    </w:pPr>
    <w:rPr>
      <w:rFonts w:ascii="Times New Roman" w:eastAsia="Times New Roman" w:hAnsi="Times New Roman" w:cs="Times New Roman"/>
      <w:sz w:val="24"/>
      <w:szCs w:val="24"/>
    </w:rPr>
  </w:style>
  <w:style w:type="paragraph" w:customStyle="1" w:styleId="Point0">
    <w:name w:val="Point 0"/>
    <w:basedOn w:val="Normal"/>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Point1">
    <w:name w:val="Point 1"/>
    <w:basedOn w:val="Normal"/>
    <w:pPr>
      <w:spacing w:before="120" w:after="120" w:line="240" w:lineRule="auto"/>
      <w:ind w:left="1417" w:hanging="567"/>
      <w:jc w:val="both"/>
    </w:pPr>
    <w:rPr>
      <w:rFonts w:ascii="Times New Roman" w:eastAsia="Times New Roman" w:hAnsi="Times New Roman" w:cs="Times New Roman"/>
      <w:sz w:val="24"/>
      <w:szCs w:val="24"/>
    </w:rPr>
  </w:style>
  <w:style w:type="paragraph" w:customStyle="1" w:styleId="Point2">
    <w:name w:val="Point 2"/>
    <w:basedOn w:val="Normal"/>
    <w:pPr>
      <w:spacing w:before="120" w:after="120" w:line="240" w:lineRule="auto"/>
      <w:ind w:left="1984" w:hanging="567"/>
      <w:jc w:val="both"/>
    </w:pPr>
    <w:rPr>
      <w:rFonts w:ascii="Times New Roman" w:eastAsia="Times New Roman" w:hAnsi="Times New Roman" w:cs="Times New Roman"/>
      <w:sz w:val="24"/>
      <w:szCs w:val="24"/>
    </w:rPr>
  </w:style>
  <w:style w:type="paragraph" w:customStyle="1" w:styleId="Point3">
    <w:name w:val="Point 3"/>
    <w:basedOn w:val="Normal"/>
    <w:pPr>
      <w:spacing w:before="120" w:after="120" w:line="240" w:lineRule="auto"/>
      <w:ind w:left="2551" w:hanging="567"/>
      <w:jc w:val="both"/>
    </w:pPr>
    <w:rPr>
      <w:rFonts w:ascii="Times New Roman" w:eastAsia="Times New Roman" w:hAnsi="Times New Roman" w:cs="Times New Roman"/>
      <w:sz w:val="24"/>
      <w:szCs w:val="24"/>
    </w:rPr>
  </w:style>
  <w:style w:type="paragraph" w:customStyle="1" w:styleId="Point4">
    <w:name w:val="Point 4"/>
    <w:basedOn w:val="Normal"/>
    <w:pPr>
      <w:spacing w:before="120" w:after="120" w:line="240" w:lineRule="auto"/>
      <w:ind w:left="3118" w:hanging="567"/>
      <w:jc w:val="both"/>
    </w:pPr>
    <w:rPr>
      <w:rFonts w:ascii="Times New Roman" w:eastAsia="Times New Roman" w:hAnsi="Times New Roman" w:cs="Times New Roman"/>
      <w:sz w:val="24"/>
      <w:szCs w:val="24"/>
    </w:rPr>
  </w:style>
  <w:style w:type="paragraph" w:customStyle="1" w:styleId="Tiret0">
    <w:name w:val="Tiret 0"/>
    <w:basedOn w:val="Point0"/>
    <w:pPr>
      <w:numPr>
        <w:numId w:val="2"/>
      </w:numPr>
    </w:pPr>
  </w:style>
  <w:style w:type="paragraph" w:customStyle="1" w:styleId="Tiret1">
    <w:name w:val="Tiret 1"/>
    <w:basedOn w:val="Point1"/>
    <w:pPr>
      <w:numPr>
        <w:numId w:val="3"/>
      </w:numPr>
    </w:pPr>
  </w:style>
  <w:style w:type="paragraph" w:customStyle="1" w:styleId="Tiret2">
    <w:name w:val="Tiret 2"/>
    <w:basedOn w:val="Point2"/>
    <w:pPr>
      <w:numPr>
        <w:numId w:val="4"/>
      </w:numPr>
    </w:pPr>
  </w:style>
  <w:style w:type="paragraph" w:customStyle="1" w:styleId="Tiret3">
    <w:name w:val="Tiret 3"/>
    <w:basedOn w:val="Point3"/>
    <w:pPr>
      <w:numPr>
        <w:numId w:val="5"/>
      </w:numPr>
    </w:pPr>
  </w:style>
  <w:style w:type="paragraph" w:customStyle="1" w:styleId="Tiret4">
    <w:name w:val="Tiret 4"/>
    <w:basedOn w:val="Point4"/>
    <w:pPr>
      <w:numPr>
        <w:numId w:val="6"/>
      </w:numPr>
    </w:pPr>
  </w:style>
  <w:style w:type="paragraph" w:customStyle="1" w:styleId="PointDouble0">
    <w:name w:val="PointDouble 0"/>
    <w:basedOn w:val="Normal"/>
    <w:pPr>
      <w:tabs>
        <w:tab w:val="left" w:pos="850"/>
      </w:tabs>
      <w:spacing w:before="120" w:after="120" w:line="240" w:lineRule="auto"/>
      <w:ind w:left="1417" w:hanging="1417"/>
      <w:jc w:val="both"/>
    </w:pPr>
    <w:rPr>
      <w:rFonts w:ascii="Times New Roman" w:eastAsia="Times New Roman" w:hAnsi="Times New Roman" w:cs="Times New Roman"/>
      <w:sz w:val="24"/>
      <w:szCs w:val="24"/>
    </w:rPr>
  </w:style>
  <w:style w:type="paragraph" w:customStyle="1" w:styleId="PointDouble1">
    <w:name w:val="PointDouble 1"/>
    <w:basedOn w:val="Normal"/>
    <w:pPr>
      <w:tabs>
        <w:tab w:val="left" w:pos="1417"/>
      </w:tabs>
      <w:spacing w:before="120" w:after="120" w:line="240" w:lineRule="auto"/>
      <w:ind w:left="1984" w:hanging="1134"/>
      <w:jc w:val="both"/>
    </w:pPr>
    <w:rPr>
      <w:rFonts w:ascii="Times New Roman" w:eastAsia="Times New Roman" w:hAnsi="Times New Roman" w:cs="Times New Roman"/>
      <w:sz w:val="24"/>
      <w:szCs w:val="24"/>
    </w:rPr>
  </w:style>
  <w:style w:type="paragraph" w:customStyle="1" w:styleId="PointDouble2">
    <w:name w:val="PointDouble 2"/>
    <w:basedOn w:val="Normal"/>
    <w:pPr>
      <w:tabs>
        <w:tab w:val="left" w:pos="1984"/>
      </w:tabs>
      <w:spacing w:before="120" w:after="120" w:line="240" w:lineRule="auto"/>
      <w:ind w:left="2551" w:hanging="1134"/>
      <w:jc w:val="both"/>
    </w:pPr>
    <w:rPr>
      <w:rFonts w:ascii="Times New Roman" w:eastAsia="Times New Roman" w:hAnsi="Times New Roman" w:cs="Times New Roman"/>
      <w:sz w:val="24"/>
      <w:szCs w:val="24"/>
    </w:rPr>
  </w:style>
  <w:style w:type="paragraph" w:customStyle="1" w:styleId="PointDouble3">
    <w:name w:val="PointDouble 3"/>
    <w:basedOn w:val="Normal"/>
    <w:pPr>
      <w:tabs>
        <w:tab w:val="left" w:pos="2551"/>
      </w:tabs>
      <w:spacing w:before="120" w:after="120" w:line="240" w:lineRule="auto"/>
      <w:ind w:left="3118" w:hanging="1134"/>
      <w:jc w:val="both"/>
    </w:pPr>
    <w:rPr>
      <w:rFonts w:ascii="Times New Roman" w:eastAsia="Times New Roman" w:hAnsi="Times New Roman" w:cs="Times New Roman"/>
      <w:sz w:val="24"/>
      <w:szCs w:val="24"/>
    </w:rPr>
  </w:style>
  <w:style w:type="paragraph" w:customStyle="1" w:styleId="PointDouble4">
    <w:name w:val="PointDouble 4"/>
    <w:basedOn w:val="Normal"/>
    <w:pPr>
      <w:tabs>
        <w:tab w:val="left" w:pos="3118"/>
      </w:tabs>
      <w:spacing w:before="120" w:after="120" w:line="240" w:lineRule="auto"/>
      <w:ind w:left="3685" w:hanging="1134"/>
      <w:jc w:val="both"/>
    </w:pPr>
    <w:rPr>
      <w:rFonts w:ascii="Times New Roman" w:eastAsia="Times New Roman" w:hAnsi="Times New Roman" w:cs="Times New Roman"/>
      <w:sz w:val="24"/>
      <w:szCs w:val="24"/>
    </w:rPr>
  </w:style>
  <w:style w:type="paragraph" w:customStyle="1" w:styleId="PointTriple0">
    <w:name w:val="PointTriple 0"/>
    <w:basedOn w:val="Normal"/>
    <w:pPr>
      <w:tabs>
        <w:tab w:val="left" w:pos="850"/>
        <w:tab w:val="left" w:pos="1417"/>
      </w:tabs>
      <w:spacing w:before="120" w:after="120" w:line="240" w:lineRule="auto"/>
      <w:ind w:left="1984" w:hanging="1984"/>
      <w:jc w:val="both"/>
    </w:pPr>
    <w:rPr>
      <w:rFonts w:ascii="Times New Roman" w:eastAsia="Times New Roman" w:hAnsi="Times New Roman" w:cs="Times New Roman"/>
      <w:sz w:val="24"/>
      <w:szCs w:val="24"/>
    </w:rPr>
  </w:style>
  <w:style w:type="paragraph" w:customStyle="1" w:styleId="PointTriple1">
    <w:name w:val="PointTriple 1"/>
    <w:basedOn w:val="Normal"/>
    <w:pPr>
      <w:tabs>
        <w:tab w:val="left" w:pos="1417"/>
        <w:tab w:val="left" w:pos="1984"/>
      </w:tabs>
      <w:spacing w:before="120" w:after="120" w:line="240" w:lineRule="auto"/>
      <w:ind w:left="2551" w:hanging="1701"/>
      <w:jc w:val="both"/>
    </w:pPr>
    <w:rPr>
      <w:rFonts w:ascii="Times New Roman" w:eastAsia="Times New Roman" w:hAnsi="Times New Roman" w:cs="Times New Roman"/>
      <w:sz w:val="24"/>
      <w:szCs w:val="24"/>
    </w:rPr>
  </w:style>
  <w:style w:type="paragraph" w:customStyle="1" w:styleId="PointTriple2">
    <w:name w:val="PointTriple 2"/>
    <w:basedOn w:val="Normal"/>
    <w:pPr>
      <w:tabs>
        <w:tab w:val="left" w:pos="1984"/>
        <w:tab w:val="left" w:pos="2551"/>
      </w:tabs>
      <w:spacing w:before="120" w:after="120" w:line="240" w:lineRule="auto"/>
      <w:ind w:left="3118" w:hanging="1701"/>
      <w:jc w:val="both"/>
    </w:pPr>
    <w:rPr>
      <w:rFonts w:ascii="Times New Roman" w:eastAsia="Times New Roman" w:hAnsi="Times New Roman" w:cs="Times New Roman"/>
      <w:sz w:val="24"/>
      <w:szCs w:val="24"/>
    </w:rPr>
  </w:style>
  <w:style w:type="paragraph" w:customStyle="1" w:styleId="PointTriple3">
    <w:name w:val="PointTriple 3"/>
    <w:basedOn w:val="Normal"/>
    <w:pPr>
      <w:tabs>
        <w:tab w:val="left" w:pos="2551"/>
        <w:tab w:val="left" w:pos="3118"/>
      </w:tabs>
      <w:spacing w:before="120" w:after="120" w:line="240" w:lineRule="auto"/>
      <w:ind w:left="3685" w:hanging="1701"/>
      <w:jc w:val="both"/>
    </w:pPr>
    <w:rPr>
      <w:rFonts w:ascii="Times New Roman" w:eastAsia="Times New Roman" w:hAnsi="Times New Roman" w:cs="Times New Roman"/>
      <w:sz w:val="24"/>
      <w:szCs w:val="24"/>
    </w:rPr>
  </w:style>
  <w:style w:type="paragraph" w:customStyle="1" w:styleId="PointTriple4">
    <w:name w:val="PointTriple 4"/>
    <w:basedOn w:val="Normal"/>
    <w:pPr>
      <w:tabs>
        <w:tab w:val="left" w:pos="3118"/>
        <w:tab w:val="left" w:pos="3685"/>
      </w:tabs>
      <w:spacing w:before="120" w:after="120" w:line="240" w:lineRule="auto"/>
      <w:ind w:left="4252" w:hanging="1701"/>
      <w:jc w:val="both"/>
    </w:pPr>
    <w:rPr>
      <w:rFonts w:ascii="Times New Roman" w:eastAsia="Times New Roman" w:hAnsi="Times New Roman" w:cs="Times New Roman"/>
      <w:sz w:val="24"/>
      <w:szCs w:val="24"/>
    </w:rPr>
  </w:style>
  <w:style w:type="paragraph" w:customStyle="1" w:styleId="NumPar1">
    <w:name w:val="NumPar 1"/>
    <w:basedOn w:val="Normal"/>
    <w:next w:val="Text1"/>
    <w:pPr>
      <w:numPr>
        <w:numId w:val="7"/>
      </w:numPr>
      <w:spacing w:before="120" w:after="120" w:line="240" w:lineRule="auto"/>
      <w:jc w:val="both"/>
    </w:pPr>
    <w:rPr>
      <w:rFonts w:ascii="Times New Roman" w:eastAsia="Times New Roman" w:hAnsi="Times New Roman" w:cs="Times New Roman"/>
      <w:sz w:val="24"/>
      <w:szCs w:val="24"/>
    </w:rPr>
  </w:style>
  <w:style w:type="paragraph" w:customStyle="1" w:styleId="NumPar2">
    <w:name w:val="NumPar 2"/>
    <w:basedOn w:val="Normal"/>
    <w:next w:val="Text1"/>
    <w:pPr>
      <w:numPr>
        <w:ilvl w:val="1"/>
        <w:numId w:val="7"/>
      </w:numPr>
      <w:spacing w:before="120" w:after="120" w:line="240" w:lineRule="auto"/>
      <w:jc w:val="both"/>
    </w:pPr>
    <w:rPr>
      <w:rFonts w:ascii="Times New Roman" w:eastAsia="Times New Roman" w:hAnsi="Times New Roman" w:cs="Times New Roman"/>
      <w:sz w:val="24"/>
      <w:szCs w:val="24"/>
    </w:rPr>
  </w:style>
  <w:style w:type="paragraph" w:customStyle="1" w:styleId="NumPar3">
    <w:name w:val="NumPar 3"/>
    <w:basedOn w:val="Normal"/>
    <w:next w:val="Text1"/>
    <w:pPr>
      <w:numPr>
        <w:ilvl w:val="2"/>
        <w:numId w:val="7"/>
      </w:numPr>
      <w:spacing w:before="120" w:after="120" w:line="240" w:lineRule="auto"/>
      <w:jc w:val="both"/>
    </w:pPr>
    <w:rPr>
      <w:rFonts w:ascii="Times New Roman" w:eastAsia="Times New Roman" w:hAnsi="Times New Roman" w:cs="Times New Roman"/>
      <w:sz w:val="24"/>
      <w:szCs w:val="24"/>
    </w:rPr>
  </w:style>
  <w:style w:type="paragraph" w:customStyle="1" w:styleId="NumPar4">
    <w:name w:val="NumPar 4"/>
    <w:basedOn w:val="Normal"/>
    <w:next w:val="Text1"/>
    <w:pPr>
      <w:numPr>
        <w:ilvl w:val="3"/>
        <w:numId w:val="7"/>
      </w:numPr>
      <w:spacing w:before="120" w:after="120" w:line="240" w:lineRule="auto"/>
      <w:jc w:val="both"/>
    </w:pPr>
    <w:rPr>
      <w:rFonts w:ascii="Times New Roman" w:eastAsia="Times New Roman" w:hAnsi="Times New Roman" w:cs="Times New Roman"/>
      <w:sz w:val="24"/>
      <w:szCs w:val="24"/>
    </w:rPr>
  </w:style>
  <w:style w:type="paragraph" w:customStyle="1" w:styleId="ManualNumPar1">
    <w:name w:val="Manual NumPar 1"/>
    <w:basedOn w:val="Normal"/>
    <w:next w:val="Text1"/>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ManualNumPar2">
    <w:name w:val="Manual NumPar 2"/>
    <w:basedOn w:val="Normal"/>
    <w:next w:val="Text1"/>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ManualNumPar3">
    <w:name w:val="Manual NumPar 3"/>
    <w:basedOn w:val="Normal"/>
    <w:next w:val="Text1"/>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ManualNumPar4">
    <w:name w:val="Manual NumPar 4"/>
    <w:basedOn w:val="Normal"/>
    <w:next w:val="Text1"/>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QuotedNumPar">
    <w:name w:val="Quoted NumPar"/>
    <w:basedOn w:val="Normal"/>
    <w:pPr>
      <w:spacing w:before="120" w:after="120" w:line="240" w:lineRule="auto"/>
      <w:ind w:left="1417" w:hanging="567"/>
      <w:jc w:val="both"/>
    </w:pPr>
    <w:rPr>
      <w:rFonts w:ascii="Times New Roman" w:eastAsia="Times New Roman" w:hAnsi="Times New Roman" w:cs="Times New Roman"/>
      <w:sz w:val="24"/>
      <w:szCs w:val="24"/>
    </w:rPr>
  </w:style>
  <w:style w:type="paragraph" w:customStyle="1" w:styleId="ManualHeading1">
    <w:name w:val="Manual Heading 1"/>
    <w:basedOn w:val="Normal"/>
    <w:next w:val="Text1"/>
    <w:pPr>
      <w:keepNext/>
      <w:tabs>
        <w:tab w:val="left" w:pos="850"/>
      </w:tabs>
      <w:spacing w:before="360" w:after="120" w:line="240" w:lineRule="auto"/>
      <w:ind w:left="850" w:hanging="850"/>
      <w:jc w:val="both"/>
      <w:outlineLvl w:val="0"/>
    </w:pPr>
    <w:rPr>
      <w:rFonts w:ascii="Times New Roman" w:eastAsia="Times New Roman" w:hAnsi="Times New Roman" w:cs="Times New Roman"/>
      <w:b/>
      <w:smallCaps/>
      <w:sz w:val="24"/>
      <w:szCs w:val="24"/>
    </w:rPr>
  </w:style>
  <w:style w:type="paragraph" w:customStyle="1" w:styleId="ManualHeading2">
    <w:name w:val="Manual Heading 2"/>
    <w:basedOn w:val="Normal"/>
    <w:next w:val="Text1"/>
    <w:pPr>
      <w:keepNext/>
      <w:tabs>
        <w:tab w:val="left" w:pos="850"/>
      </w:tabs>
      <w:spacing w:before="120" w:after="120" w:line="240" w:lineRule="auto"/>
      <w:ind w:left="850" w:hanging="850"/>
      <w:jc w:val="both"/>
      <w:outlineLvl w:val="1"/>
    </w:pPr>
    <w:rPr>
      <w:rFonts w:ascii="Times New Roman" w:eastAsia="Times New Roman" w:hAnsi="Times New Roman" w:cs="Times New Roman"/>
      <w:b/>
      <w:sz w:val="24"/>
      <w:szCs w:val="24"/>
    </w:rPr>
  </w:style>
  <w:style w:type="paragraph" w:customStyle="1" w:styleId="ManualHeading3">
    <w:name w:val="Manual Heading 3"/>
    <w:basedOn w:val="Normal"/>
    <w:next w:val="Text1"/>
    <w:pPr>
      <w:keepNext/>
      <w:tabs>
        <w:tab w:val="left" w:pos="850"/>
      </w:tabs>
      <w:spacing w:before="120" w:after="120" w:line="240" w:lineRule="auto"/>
      <w:ind w:left="850" w:hanging="850"/>
      <w:jc w:val="both"/>
      <w:outlineLvl w:val="2"/>
    </w:pPr>
    <w:rPr>
      <w:rFonts w:ascii="Times New Roman" w:eastAsia="Times New Roman" w:hAnsi="Times New Roman" w:cs="Times New Roman"/>
      <w:i/>
      <w:sz w:val="24"/>
      <w:szCs w:val="24"/>
    </w:rPr>
  </w:style>
  <w:style w:type="paragraph" w:customStyle="1" w:styleId="ManualHeading4">
    <w:name w:val="Manual Heading 4"/>
    <w:basedOn w:val="Normal"/>
    <w:next w:val="Text1"/>
    <w:pPr>
      <w:keepNext/>
      <w:tabs>
        <w:tab w:val="left" w:pos="850"/>
      </w:tabs>
      <w:spacing w:before="120" w:after="120" w:line="240" w:lineRule="auto"/>
      <w:ind w:left="850" w:hanging="850"/>
      <w:jc w:val="both"/>
      <w:outlineLvl w:val="3"/>
    </w:pPr>
    <w:rPr>
      <w:rFonts w:ascii="Times New Roman" w:eastAsia="Times New Roman" w:hAnsi="Times New Roman" w:cs="Times New Roman"/>
      <w:sz w:val="24"/>
      <w:szCs w:val="24"/>
    </w:rPr>
  </w:style>
  <w:style w:type="paragraph" w:customStyle="1" w:styleId="ChapterTitle">
    <w:name w:val="ChapterTitle"/>
    <w:basedOn w:val="Normal"/>
    <w:next w:val="Normal"/>
    <w:pPr>
      <w:keepNext/>
      <w:spacing w:before="120" w:after="360" w:line="240" w:lineRule="auto"/>
      <w:jc w:val="center"/>
    </w:pPr>
    <w:rPr>
      <w:rFonts w:ascii="Times New Roman" w:eastAsia="Times New Roman" w:hAnsi="Times New Roman" w:cs="Times New Roman"/>
      <w:b/>
      <w:sz w:val="32"/>
      <w:szCs w:val="24"/>
    </w:rPr>
  </w:style>
  <w:style w:type="paragraph" w:customStyle="1" w:styleId="PartTitle">
    <w:name w:val="PartTitle"/>
    <w:basedOn w:val="Normal"/>
    <w:next w:val="ChapterTitle"/>
    <w:pPr>
      <w:keepNext/>
      <w:pageBreakBefore/>
      <w:spacing w:before="120" w:after="360" w:line="240" w:lineRule="auto"/>
      <w:jc w:val="center"/>
    </w:pPr>
    <w:rPr>
      <w:rFonts w:ascii="Times New Roman" w:eastAsia="Times New Roman" w:hAnsi="Times New Roman" w:cs="Times New Roman"/>
      <w:b/>
      <w:sz w:val="36"/>
      <w:szCs w:val="24"/>
    </w:rPr>
  </w:style>
  <w:style w:type="paragraph" w:customStyle="1" w:styleId="SectionTitle">
    <w:name w:val="SectionTitle"/>
    <w:basedOn w:val="Normal"/>
    <w:next w:val="Heading1"/>
    <w:pPr>
      <w:keepNext/>
      <w:spacing w:before="120" w:after="360" w:line="240" w:lineRule="auto"/>
      <w:jc w:val="center"/>
    </w:pPr>
    <w:rPr>
      <w:rFonts w:ascii="Times New Roman" w:eastAsia="Times New Roman" w:hAnsi="Times New Roman" w:cs="Times New Roman"/>
      <w:b/>
      <w:smallCaps/>
      <w:sz w:val="28"/>
      <w:szCs w:val="24"/>
    </w:rPr>
  </w:style>
  <w:style w:type="paragraph" w:customStyle="1" w:styleId="TableTitle">
    <w:name w:val="Table Title"/>
    <w:basedOn w:val="Normal"/>
    <w:next w:val="Normal"/>
    <w:pPr>
      <w:spacing w:before="120" w:after="120" w:line="240" w:lineRule="auto"/>
      <w:jc w:val="center"/>
    </w:pPr>
    <w:rPr>
      <w:rFonts w:ascii="Times New Roman" w:eastAsia="Times New Roman" w:hAnsi="Times New Roman" w:cs="Times New Roman"/>
      <w:b/>
      <w:sz w:val="24"/>
      <w:szCs w:val="24"/>
    </w:rPr>
  </w:style>
  <w:style w:type="character" w:customStyle="1" w:styleId="Marker1">
    <w:name w:val="Marker1"/>
    <w:rPr>
      <w:color w:val="008000"/>
      <w:shd w:val="clear" w:color="auto" w:fill="auto"/>
    </w:rPr>
  </w:style>
  <w:style w:type="character" w:customStyle="1" w:styleId="Marker2">
    <w:name w:val="Marker2"/>
    <w:rPr>
      <w:color w:val="FF0000"/>
      <w:shd w:val="clear" w:color="auto" w:fill="auto"/>
    </w:rPr>
  </w:style>
  <w:style w:type="paragraph" w:styleId="TOCHeading">
    <w:name w:val="TOC Heading"/>
    <w:basedOn w:val="Normal"/>
    <w:next w:val="Normal"/>
    <w:uiPriority w:val="39"/>
    <w:qFormat/>
    <w:pPr>
      <w:spacing w:before="120" w:after="240" w:line="240" w:lineRule="auto"/>
      <w:jc w:val="center"/>
    </w:pPr>
    <w:rPr>
      <w:rFonts w:ascii="Times New Roman" w:eastAsia="Times New Roman" w:hAnsi="Times New Roman" w:cs="Times New Roman"/>
      <w:b/>
      <w:sz w:val="28"/>
      <w:szCs w:val="24"/>
    </w:rPr>
  </w:style>
  <w:style w:type="paragraph" w:customStyle="1" w:styleId="Point0number">
    <w:name w:val="Point 0 (number)"/>
    <w:basedOn w:val="Normal"/>
    <w:pPr>
      <w:numPr>
        <w:numId w:val="9"/>
      </w:numPr>
      <w:spacing w:before="120" w:after="120" w:line="240" w:lineRule="auto"/>
      <w:jc w:val="both"/>
    </w:pPr>
    <w:rPr>
      <w:rFonts w:ascii="Times New Roman" w:eastAsia="Times New Roman" w:hAnsi="Times New Roman" w:cs="Times New Roman"/>
      <w:sz w:val="24"/>
      <w:szCs w:val="24"/>
    </w:rPr>
  </w:style>
  <w:style w:type="paragraph" w:customStyle="1" w:styleId="Point1number">
    <w:name w:val="Point 1 (number)"/>
    <w:basedOn w:val="Normal"/>
    <w:pPr>
      <w:numPr>
        <w:ilvl w:val="2"/>
        <w:numId w:val="9"/>
      </w:numPr>
      <w:spacing w:before="120" w:after="120" w:line="240" w:lineRule="auto"/>
      <w:jc w:val="both"/>
    </w:pPr>
    <w:rPr>
      <w:rFonts w:ascii="Times New Roman" w:eastAsia="Times New Roman" w:hAnsi="Times New Roman" w:cs="Times New Roman"/>
      <w:sz w:val="24"/>
      <w:szCs w:val="24"/>
    </w:rPr>
  </w:style>
  <w:style w:type="paragraph" w:customStyle="1" w:styleId="Point2number">
    <w:name w:val="Point 2 (number)"/>
    <w:basedOn w:val="Normal"/>
    <w:pPr>
      <w:numPr>
        <w:ilvl w:val="4"/>
        <w:numId w:val="9"/>
      </w:numPr>
      <w:spacing w:before="120" w:after="120" w:line="240" w:lineRule="auto"/>
      <w:jc w:val="both"/>
    </w:pPr>
    <w:rPr>
      <w:rFonts w:ascii="Times New Roman" w:eastAsia="Times New Roman" w:hAnsi="Times New Roman" w:cs="Times New Roman"/>
      <w:sz w:val="24"/>
      <w:szCs w:val="24"/>
    </w:rPr>
  </w:style>
  <w:style w:type="paragraph" w:customStyle="1" w:styleId="Point3number">
    <w:name w:val="Point 3 (number)"/>
    <w:basedOn w:val="Normal"/>
    <w:pPr>
      <w:numPr>
        <w:ilvl w:val="6"/>
        <w:numId w:val="9"/>
      </w:numPr>
      <w:spacing w:before="120" w:after="120" w:line="240" w:lineRule="auto"/>
      <w:jc w:val="both"/>
    </w:pPr>
    <w:rPr>
      <w:rFonts w:ascii="Times New Roman" w:eastAsia="Times New Roman" w:hAnsi="Times New Roman" w:cs="Times New Roman"/>
      <w:sz w:val="24"/>
      <w:szCs w:val="24"/>
    </w:rPr>
  </w:style>
  <w:style w:type="paragraph" w:customStyle="1" w:styleId="Point0letter">
    <w:name w:val="Point 0 (letter)"/>
    <w:basedOn w:val="Normal"/>
    <w:pPr>
      <w:numPr>
        <w:ilvl w:val="1"/>
        <w:numId w:val="9"/>
      </w:numPr>
      <w:spacing w:before="120" w:after="120" w:line="240" w:lineRule="auto"/>
      <w:jc w:val="both"/>
    </w:pPr>
    <w:rPr>
      <w:rFonts w:ascii="Times New Roman" w:eastAsia="Times New Roman" w:hAnsi="Times New Roman" w:cs="Times New Roman"/>
      <w:sz w:val="24"/>
      <w:szCs w:val="24"/>
    </w:rPr>
  </w:style>
  <w:style w:type="paragraph" w:customStyle="1" w:styleId="Point1letter">
    <w:name w:val="Point 1 (letter)"/>
    <w:basedOn w:val="Normal"/>
    <w:pPr>
      <w:numPr>
        <w:ilvl w:val="3"/>
        <w:numId w:val="9"/>
      </w:numPr>
      <w:spacing w:before="120" w:after="120" w:line="240" w:lineRule="auto"/>
      <w:jc w:val="both"/>
    </w:pPr>
    <w:rPr>
      <w:rFonts w:ascii="Times New Roman" w:eastAsia="Times New Roman" w:hAnsi="Times New Roman" w:cs="Times New Roman"/>
      <w:sz w:val="24"/>
      <w:szCs w:val="24"/>
    </w:rPr>
  </w:style>
  <w:style w:type="paragraph" w:customStyle="1" w:styleId="Point2letter">
    <w:name w:val="Point 2 (letter)"/>
    <w:basedOn w:val="Normal"/>
    <w:pPr>
      <w:numPr>
        <w:ilvl w:val="5"/>
        <w:numId w:val="9"/>
      </w:numPr>
      <w:spacing w:before="120" w:after="120" w:line="240" w:lineRule="auto"/>
      <w:jc w:val="both"/>
    </w:pPr>
    <w:rPr>
      <w:rFonts w:ascii="Times New Roman" w:eastAsia="Times New Roman" w:hAnsi="Times New Roman" w:cs="Times New Roman"/>
      <w:sz w:val="24"/>
      <w:szCs w:val="24"/>
    </w:rPr>
  </w:style>
  <w:style w:type="paragraph" w:customStyle="1" w:styleId="Point3letter">
    <w:name w:val="Point 3 (letter)"/>
    <w:basedOn w:val="Normal"/>
    <w:pPr>
      <w:numPr>
        <w:ilvl w:val="7"/>
        <w:numId w:val="9"/>
      </w:numPr>
      <w:spacing w:before="120" w:after="120" w:line="240" w:lineRule="auto"/>
      <w:jc w:val="both"/>
    </w:pPr>
    <w:rPr>
      <w:rFonts w:ascii="Times New Roman" w:eastAsia="Times New Roman" w:hAnsi="Times New Roman" w:cs="Times New Roman"/>
      <w:sz w:val="24"/>
      <w:szCs w:val="24"/>
    </w:rPr>
  </w:style>
  <w:style w:type="paragraph" w:customStyle="1" w:styleId="Point4letter">
    <w:name w:val="Point 4 (letter)"/>
    <w:basedOn w:val="Normal"/>
    <w:pPr>
      <w:numPr>
        <w:ilvl w:val="8"/>
        <w:numId w:val="9"/>
      </w:numPr>
      <w:spacing w:before="120" w:after="120" w:line="240" w:lineRule="auto"/>
      <w:jc w:val="both"/>
    </w:pPr>
    <w:rPr>
      <w:rFonts w:ascii="Times New Roman" w:eastAsia="Times New Roman" w:hAnsi="Times New Roman" w:cs="Times New Roman"/>
      <w:sz w:val="24"/>
      <w:szCs w:val="24"/>
    </w:rPr>
  </w:style>
  <w:style w:type="paragraph" w:customStyle="1" w:styleId="Bullet0">
    <w:name w:val="Bullet 0"/>
    <w:basedOn w:val="Normal"/>
    <w:pPr>
      <w:numPr>
        <w:numId w:val="10"/>
      </w:numPr>
      <w:spacing w:before="120" w:after="120" w:line="240" w:lineRule="auto"/>
      <w:jc w:val="both"/>
    </w:pPr>
    <w:rPr>
      <w:rFonts w:ascii="Times New Roman" w:eastAsia="Times New Roman" w:hAnsi="Times New Roman" w:cs="Times New Roman"/>
      <w:sz w:val="24"/>
      <w:szCs w:val="24"/>
    </w:rPr>
  </w:style>
  <w:style w:type="paragraph" w:customStyle="1" w:styleId="Bullet1">
    <w:name w:val="Bullet 1"/>
    <w:basedOn w:val="Normal"/>
    <w:pPr>
      <w:numPr>
        <w:numId w:val="11"/>
      </w:numPr>
      <w:spacing w:before="120" w:after="120" w:line="240" w:lineRule="auto"/>
      <w:jc w:val="both"/>
    </w:pPr>
    <w:rPr>
      <w:rFonts w:ascii="Times New Roman" w:eastAsia="Times New Roman" w:hAnsi="Times New Roman" w:cs="Times New Roman"/>
      <w:sz w:val="24"/>
      <w:szCs w:val="24"/>
    </w:rPr>
  </w:style>
  <w:style w:type="paragraph" w:customStyle="1" w:styleId="Bullet2">
    <w:name w:val="Bullet 2"/>
    <w:basedOn w:val="Normal"/>
    <w:pPr>
      <w:numPr>
        <w:numId w:val="12"/>
      </w:numPr>
      <w:spacing w:before="120" w:after="120" w:line="240" w:lineRule="auto"/>
      <w:jc w:val="both"/>
    </w:pPr>
    <w:rPr>
      <w:rFonts w:ascii="Times New Roman" w:eastAsia="Times New Roman" w:hAnsi="Times New Roman" w:cs="Times New Roman"/>
      <w:sz w:val="24"/>
      <w:szCs w:val="24"/>
    </w:rPr>
  </w:style>
  <w:style w:type="paragraph" w:customStyle="1" w:styleId="Bullet3">
    <w:name w:val="Bullet 3"/>
    <w:basedOn w:val="Normal"/>
    <w:pPr>
      <w:numPr>
        <w:numId w:val="13"/>
      </w:numPr>
      <w:spacing w:before="120" w:after="120" w:line="240" w:lineRule="auto"/>
      <w:jc w:val="both"/>
    </w:pPr>
    <w:rPr>
      <w:rFonts w:ascii="Times New Roman" w:eastAsia="Times New Roman" w:hAnsi="Times New Roman" w:cs="Times New Roman"/>
      <w:sz w:val="24"/>
      <w:szCs w:val="24"/>
    </w:rPr>
  </w:style>
  <w:style w:type="paragraph" w:customStyle="1" w:styleId="Bullet4">
    <w:name w:val="Bullet 4"/>
    <w:basedOn w:val="Normal"/>
    <w:pPr>
      <w:numPr>
        <w:numId w:val="14"/>
      </w:numPr>
      <w:spacing w:before="120" w:after="120" w:line="240" w:lineRule="auto"/>
      <w:jc w:val="both"/>
    </w:pPr>
    <w:rPr>
      <w:rFonts w:ascii="Times New Roman" w:eastAsia="Times New Roman" w:hAnsi="Times New Roman" w:cs="Times New Roman"/>
      <w:sz w:val="24"/>
      <w:szCs w:val="24"/>
    </w:rPr>
  </w:style>
  <w:style w:type="paragraph" w:customStyle="1" w:styleId="Annexetitreexpos">
    <w:name w:val="Annexe titre (exposé)"/>
    <w:basedOn w:val="Normal"/>
    <w:next w:val="Normal"/>
    <w:pPr>
      <w:spacing w:before="120" w:after="120" w:line="240" w:lineRule="auto"/>
      <w:jc w:val="center"/>
    </w:pPr>
    <w:rPr>
      <w:rFonts w:ascii="Times New Roman" w:eastAsia="Times New Roman" w:hAnsi="Times New Roman" w:cs="Times New Roman"/>
      <w:b/>
      <w:sz w:val="24"/>
      <w:szCs w:val="24"/>
      <w:u w:val="single"/>
    </w:rPr>
  </w:style>
  <w:style w:type="paragraph" w:customStyle="1" w:styleId="Annexetitre">
    <w:name w:val="Annexe titre"/>
    <w:basedOn w:val="Normal"/>
    <w:next w:val="Normal"/>
    <w:pPr>
      <w:spacing w:before="120" w:after="120" w:line="240" w:lineRule="auto"/>
      <w:jc w:val="center"/>
    </w:pPr>
    <w:rPr>
      <w:rFonts w:ascii="Times New Roman" w:eastAsia="Times New Roman" w:hAnsi="Times New Roman" w:cs="Times New Roman"/>
      <w:b/>
      <w:sz w:val="24"/>
      <w:szCs w:val="24"/>
      <w:u w:val="single"/>
    </w:rPr>
  </w:style>
  <w:style w:type="paragraph" w:customStyle="1" w:styleId="Annexetitrefichefinancire">
    <w:name w:val="Annexe titre (fiche financière)"/>
    <w:basedOn w:val="Normal"/>
    <w:next w:val="Normal"/>
    <w:pPr>
      <w:spacing w:before="120" w:after="120" w:line="240" w:lineRule="auto"/>
      <w:jc w:val="center"/>
    </w:pPr>
    <w:rPr>
      <w:rFonts w:ascii="Times New Roman" w:eastAsia="Times New Roman" w:hAnsi="Times New Roman" w:cs="Times New Roman"/>
      <w:b/>
      <w:sz w:val="24"/>
      <w:szCs w:val="24"/>
      <w:u w:val="single"/>
    </w:rPr>
  </w:style>
  <w:style w:type="paragraph" w:customStyle="1" w:styleId="Applicationdirecte">
    <w:name w:val="Application directe"/>
    <w:basedOn w:val="Normal"/>
    <w:next w:val="Fait"/>
    <w:pPr>
      <w:spacing w:before="480" w:after="120" w:line="240" w:lineRule="auto"/>
      <w:jc w:val="both"/>
    </w:pPr>
    <w:rPr>
      <w:rFonts w:ascii="Times New Roman" w:eastAsia="Times New Roman" w:hAnsi="Times New Roman" w:cs="Times New Roman"/>
      <w:sz w:val="24"/>
      <w:szCs w:val="24"/>
    </w:rPr>
  </w:style>
  <w:style w:type="paragraph" w:customStyle="1" w:styleId="Avertissementtitre">
    <w:name w:val="Avertissement titre"/>
    <w:basedOn w:val="Normal"/>
    <w:next w:val="Normal"/>
    <w:pPr>
      <w:keepNext/>
      <w:spacing w:before="480" w:after="120" w:line="240" w:lineRule="auto"/>
      <w:jc w:val="both"/>
    </w:pPr>
    <w:rPr>
      <w:rFonts w:ascii="Times New Roman" w:eastAsia="Times New Roman" w:hAnsi="Times New Roman" w:cs="Times New Roman"/>
      <w:sz w:val="24"/>
      <w:szCs w:val="24"/>
      <w:u w:val="single"/>
    </w:rPr>
  </w:style>
  <w:style w:type="paragraph" w:customStyle="1" w:styleId="Confidence">
    <w:name w:val="Confidence"/>
    <w:basedOn w:val="Normal"/>
    <w:next w:val="Normal"/>
    <w:pPr>
      <w:spacing w:before="360" w:after="120" w:line="240" w:lineRule="auto"/>
      <w:jc w:val="center"/>
    </w:pPr>
    <w:rPr>
      <w:rFonts w:ascii="Times New Roman" w:eastAsia="Times New Roman" w:hAnsi="Times New Roman" w:cs="Times New Roman"/>
      <w:sz w:val="24"/>
      <w:szCs w:val="24"/>
    </w:rPr>
  </w:style>
  <w:style w:type="paragraph" w:customStyle="1" w:styleId="Confidentialit">
    <w:name w:val="Confidentialité"/>
    <w:basedOn w:val="Normal"/>
    <w:next w:val="TypedudocumentPagedecouverture"/>
    <w:pPr>
      <w:spacing w:before="240" w:after="240" w:line="240" w:lineRule="auto"/>
      <w:ind w:left="5103"/>
      <w:jc w:val="both"/>
    </w:pPr>
    <w:rPr>
      <w:rFonts w:ascii="Times New Roman" w:eastAsia="Times New Roman" w:hAnsi="Times New Roman" w:cs="Times New Roman"/>
      <w:i/>
      <w:sz w:val="32"/>
      <w:szCs w:val="24"/>
    </w:rPr>
  </w:style>
  <w:style w:type="paragraph" w:customStyle="1" w:styleId="Considrant">
    <w:name w:val="Considérant"/>
    <w:basedOn w:val="Normal"/>
    <w:pPr>
      <w:numPr>
        <w:numId w:val="15"/>
      </w:numPr>
      <w:spacing w:before="120" w:after="120" w:line="240" w:lineRule="auto"/>
      <w:jc w:val="both"/>
    </w:pPr>
    <w:rPr>
      <w:rFonts w:ascii="Times New Roman" w:eastAsia="Times New Roman" w:hAnsi="Times New Roman" w:cs="Times New Roman"/>
      <w:sz w:val="24"/>
      <w:szCs w:val="24"/>
    </w:rPr>
  </w:style>
  <w:style w:type="paragraph" w:customStyle="1" w:styleId="Corrigendum">
    <w:name w:val="Corrigendum"/>
    <w:basedOn w:val="Normal"/>
    <w:next w:val="Normal"/>
    <w:pPr>
      <w:spacing w:after="240" w:line="240" w:lineRule="auto"/>
    </w:pPr>
    <w:rPr>
      <w:rFonts w:ascii="Times New Roman" w:eastAsia="Times New Roman" w:hAnsi="Times New Roman" w:cs="Times New Roman"/>
      <w:sz w:val="24"/>
      <w:szCs w:val="24"/>
    </w:rPr>
  </w:style>
  <w:style w:type="paragraph" w:customStyle="1" w:styleId="Datedadoption">
    <w:name w:val="Date d'adoption"/>
    <w:basedOn w:val="Normal"/>
    <w:next w:val="Titreobjet"/>
    <w:pPr>
      <w:spacing w:before="360" w:after="0" w:line="240" w:lineRule="auto"/>
      <w:jc w:val="center"/>
    </w:pPr>
    <w:rPr>
      <w:rFonts w:ascii="Times New Roman" w:eastAsia="Times New Roman" w:hAnsi="Times New Roman" w:cs="Times New Roman"/>
      <w:b/>
      <w:sz w:val="24"/>
      <w:szCs w:val="24"/>
    </w:rPr>
  </w:style>
  <w:style w:type="paragraph" w:customStyle="1" w:styleId="Emission">
    <w:name w:val="Emission"/>
    <w:basedOn w:val="Normal"/>
    <w:next w:val="Rfrenceinstitutionnelle"/>
    <w:pPr>
      <w:spacing w:after="0" w:line="240" w:lineRule="auto"/>
      <w:ind w:left="5103"/>
    </w:pPr>
    <w:rPr>
      <w:rFonts w:ascii="Times New Roman" w:eastAsia="Times New Roman" w:hAnsi="Times New Roman" w:cs="Times New Roman"/>
      <w:sz w:val="24"/>
      <w:szCs w:val="24"/>
    </w:rPr>
  </w:style>
  <w:style w:type="paragraph" w:customStyle="1" w:styleId="Exposdesmotifstitre">
    <w:name w:val="Exposé des motifs titre"/>
    <w:basedOn w:val="Normal"/>
    <w:next w:val="Normal"/>
    <w:pPr>
      <w:spacing w:before="120" w:after="120" w:line="240" w:lineRule="auto"/>
      <w:jc w:val="center"/>
    </w:pPr>
    <w:rPr>
      <w:rFonts w:ascii="Times New Roman" w:eastAsia="Times New Roman" w:hAnsi="Times New Roman" w:cs="Times New Roman"/>
      <w:b/>
      <w:sz w:val="24"/>
      <w:szCs w:val="24"/>
      <w:u w:val="single"/>
    </w:rPr>
  </w:style>
  <w:style w:type="paragraph" w:customStyle="1" w:styleId="Fait">
    <w:name w:val="Fait à"/>
    <w:basedOn w:val="Normal"/>
    <w:next w:val="Institutionquisigne"/>
    <w:pPr>
      <w:keepNext/>
      <w:spacing w:before="120" w:after="0" w:line="240" w:lineRule="auto"/>
      <w:jc w:val="both"/>
    </w:pPr>
    <w:rPr>
      <w:rFonts w:ascii="Times New Roman" w:eastAsia="Times New Roman" w:hAnsi="Times New Roman" w:cs="Times New Roman"/>
      <w:sz w:val="24"/>
      <w:szCs w:val="24"/>
    </w:rPr>
  </w:style>
  <w:style w:type="paragraph" w:customStyle="1" w:styleId="Formuledadoption">
    <w:name w:val="Formule d'adoption"/>
    <w:basedOn w:val="Normal"/>
    <w:next w:val="Titrearticle"/>
    <w:pPr>
      <w:keepNext/>
      <w:spacing w:before="120" w:after="120" w:line="240" w:lineRule="auto"/>
      <w:jc w:val="both"/>
    </w:pPr>
    <w:rPr>
      <w:rFonts w:ascii="Times New Roman" w:eastAsia="Times New Roman" w:hAnsi="Times New Roman" w:cs="Times New Roman"/>
      <w:sz w:val="24"/>
      <w:szCs w:val="24"/>
    </w:rPr>
  </w:style>
  <w:style w:type="paragraph" w:customStyle="1" w:styleId="Institutionquiagit">
    <w:name w:val="Institution qui agit"/>
    <w:basedOn w:val="Normal"/>
    <w:next w:val="Normal"/>
    <w:pPr>
      <w:keepNext/>
      <w:spacing w:before="600" w:after="120" w:line="240" w:lineRule="auto"/>
      <w:jc w:val="both"/>
    </w:pPr>
    <w:rPr>
      <w:rFonts w:ascii="Times New Roman" w:eastAsia="Times New Roman" w:hAnsi="Times New Roman" w:cs="Times New Roman"/>
      <w:sz w:val="24"/>
      <w:szCs w:val="24"/>
    </w:rPr>
  </w:style>
  <w:style w:type="paragraph" w:customStyle="1" w:styleId="Institutionquisigne">
    <w:name w:val="Institution qui signe"/>
    <w:basedOn w:val="Normal"/>
    <w:next w:val="Personnequisigne"/>
    <w:pPr>
      <w:keepNext/>
      <w:tabs>
        <w:tab w:val="left" w:pos="4252"/>
      </w:tabs>
      <w:spacing w:before="720" w:after="0" w:line="240" w:lineRule="auto"/>
      <w:jc w:val="both"/>
    </w:pPr>
    <w:rPr>
      <w:rFonts w:ascii="Times New Roman" w:eastAsia="Times New Roman" w:hAnsi="Times New Roman" w:cs="Times New Roman"/>
      <w:i/>
      <w:sz w:val="24"/>
      <w:szCs w:val="24"/>
    </w:rPr>
  </w:style>
  <w:style w:type="paragraph" w:customStyle="1" w:styleId="Langue">
    <w:name w:val="Langue"/>
    <w:basedOn w:val="Normal"/>
    <w:next w:val="Rfrenceinterne"/>
    <w:pPr>
      <w:framePr w:wrap="around" w:vAnchor="page" w:hAnchor="text" w:xAlign="center" w:y="14741"/>
      <w:spacing w:after="600" w:line="240" w:lineRule="auto"/>
      <w:jc w:val="center"/>
    </w:pPr>
    <w:rPr>
      <w:rFonts w:ascii="Times New Roman" w:eastAsia="Times New Roman" w:hAnsi="Times New Roman" w:cs="Times New Roman"/>
      <w:b/>
      <w:caps/>
      <w:sz w:val="24"/>
      <w:szCs w:val="24"/>
    </w:rPr>
  </w:style>
  <w:style w:type="paragraph" w:customStyle="1" w:styleId="ManualConsidrant">
    <w:name w:val="Manual Considérant"/>
    <w:basedOn w:val="Normal"/>
    <w:pPr>
      <w:spacing w:before="120" w:after="120" w:line="240" w:lineRule="auto"/>
      <w:ind w:left="709" w:hanging="709"/>
      <w:jc w:val="both"/>
    </w:pPr>
    <w:rPr>
      <w:rFonts w:ascii="Times New Roman" w:eastAsia="Times New Roman" w:hAnsi="Times New Roman" w:cs="Times New Roman"/>
      <w:sz w:val="24"/>
      <w:szCs w:val="24"/>
    </w:rPr>
  </w:style>
  <w:style w:type="paragraph" w:customStyle="1" w:styleId="Nomdelinstitution">
    <w:name w:val="Nom de l'institution"/>
    <w:basedOn w:val="Normal"/>
    <w:next w:val="Emission"/>
    <w:pPr>
      <w:spacing w:after="0" w:line="240" w:lineRule="auto"/>
    </w:pPr>
    <w:rPr>
      <w:rFonts w:ascii="Arial" w:eastAsia="Times New Roman" w:hAnsi="Arial" w:cs="Arial"/>
      <w:sz w:val="24"/>
      <w:szCs w:val="24"/>
    </w:rPr>
  </w:style>
  <w:style w:type="paragraph" w:customStyle="1" w:styleId="Personnequisigne">
    <w:name w:val="Personne qui signe"/>
    <w:basedOn w:val="Normal"/>
    <w:next w:val="Institutionquisigne"/>
    <w:pPr>
      <w:tabs>
        <w:tab w:val="left" w:pos="4252"/>
      </w:tabs>
      <w:spacing w:after="0" w:line="240" w:lineRule="auto"/>
    </w:pPr>
    <w:rPr>
      <w:rFonts w:ascii="Times New Roman" w:eastAsia="Times New Roman" w:hAnsi="Times New Roman" w:cs="Times New Roman"/>
      <w:i/>
      <w:sz w:val="24"/>
      <w:szCs w:val="24"/>
    </w:rPr>
  </w:style>
  <w:style w:type="paragraph" w:customStyle="1" w:styleId="Rfrenceinstitutionnelle">
    <w:name w:val="Référence institutionnelle"/>
    <w:basedOn w:val="Normal"/>
    <w:next w:val="Confidentialit"/>
    <w:pPr>
      <w:spacing w:after="240" w:line="240" w:lineRule="auto"/>
      <w:ind w:left="5103"/>
    </w:pPr>
    <w:rPr>
      <w:rFonts w:ascii="Times New Roman" w:eastAsia="Times New Roman" w:hAnsi="Times New Roman" w:cs="Times New Roman"/>
      <w:sz w:val="24"/>
      <w:szCs w:val="24"/>
    </w:rPr>
  </w:style>
  <w:style w:type="paragraph" w:customStyle="1" w:styleId="Rfrenceinterinstitutionnelle">
    <w:name w:val="Référence interinstitutionnelle"/>
    <w:basedOn w:val="Normal"/>
    <w:next w:val="Statut"/>
    <w:pPr>
      <w:spacing w:after="0" w:line="240" w:lineRule="auto"/>
      <w:ind w:left="5103"/>
    </w:pPr>
    <w:rPr>
      <w:rFonts w:ascii="Times New Roman" w:eastAsia="Times New Roman" w:hAnsi="Times New Roman" w:cs="Times New Roman"/>
      <w:sz w:val="24"/>
      <w:szCs w:val="24"/>
    </w:rPr>
  </w:style>
  <w:style w:type="paragraph" w:customStyle="1" w:styleId="Rfrenceinterne">
    <w:name w:val="Référence interne"/>
    <w:basedOn w:val="Normal"/>
    <w:next w:val="Rfrenceinterinstitutionnelle"/>
    <w:pPr>
      <w:spacing w:after="0" w:line="240" w:lineRule="auto"/>
      <w:ind w:left="5103"/>
    </w:pPr>
    <w:rPr>
      <w:rFonts w:ascii="Times New Roman" w:eastAsia="Times New Roman" w:hAnsi="Times New Roman" w:cs="Times New Roman"/>
      <w:sz w:val="24"/>
      <w:szCs w:val="24"/>
    </w:rPr>
  </w:style>
  <w:style w:type="paragraph" w:customStyle="1" w:styleId="Sous-titreobjet">
    <w:name w:val="Sous-titre objet"/>
    <w:basedOn w:val="Normal"/>
    <w:pPr>
      <w:spacing w:after="0" w:line="240" w:lineRule="auto"/>
      <w:jc w:val="center"/>
    </w:pPr>
    <w:rPr>
      <w:rFonts w:ascii="Times New Roman" w:eastAsia="Times New Roman" w:hAnsi="Times New Roman" w:cs="Times New Roman"/>
      <w:b/>
      <w:sz w:val="24"/>
      <w:szCs w:val="24"/>
    </w:rPr>
  </w:style>
  <w:style w:type="paragraph" w:customStyle="1" w:styleId="Statut">
    <w:name w:val="Statut"/>
    <w:basedOn w:val="Normal"/>
    <w:next w:val="Typedudocument"/>
    <w:pPr>
      <w:spacing w:before="360" w:after="0" w:line="240" w:lineRule="auto"/>
      <w:jc w:val="center"/>
    </w:pPr>
    <w:rPr>
      <w:rFonts w:ascii="Times New Roman" w:eastAsia="Times New Roman" w:hAnsi="Times New Roman" w:cs="Times New Roman"/>
      <w:sz w:val="24"/>
      <w:szCs w:val="24"/>
    </w:rPr>
  </w:style>
  <w:style w:type="paragraph" w:customStyle="1" w:styleId="Titrearticle">
    <w:name w:val="Titre article"/>
    <w:basedOn w:val="Normal"/>
    <w:next w:val="Normal"/>
    <w:pPr>
      <w:keepNext/>
      <w:spacing w:before="360" w:after="120" w:line="240" w:lineRule="auto"/>
      <w:jc w:val="center"/>
    </w:pPr>
    <w:rPr>
      <w:rFonts w:ascii="Times New Roman" w:eastAsia="Times New Roman" w:hAnsi="Times New Roman" w:cs="Times New Roman"/>
      <w:i/>
      <w:sz w:val="24"/>
      <w:szCs w:val="24"/>
    </w:rPr>
  </w:style>
  <w:style w:type="paragraph" w:customStyle="1" w:styleId="Titreobjet">
    <w:name w:val="Titre objet"/>
    <w:basedOn w:val="Normal"/>
    <w:next w:val="Sous-titreobjet"/>
    <w:pPr>
      <w:spacing w:before="360" w:after="360" w:line="240" w:lineRule="auto"/>
      <w:jc w:val="center"/>
    </w:pPr>
    <w:rPr>
      <w:rFonts w:ascii="Times New Roman" w:eastAsia="Times New Roman" w:hAnsi="Times New Roman" w:cs="Times New Roman"/>
      <w:b/>
      <w:sz w:val="24"/>
      <w:szCs w:val="24"/>
    </w:rPr>
  </w:style>
  <w:style w:type="paragraph" w:customStyle="1" w:styleId="Typedudocument">
    <w:name w:val="Type du document"/>
    <w:basedOn w:val="Normal"/>
    <w:next w:val="Titreobjet"/>
    <w:pPr>
      <w:spacing w:before="360" w:after="0" w:line="240" w:lineRule="auto"/>
      <w:jc w:val="center"/>
    </w:pPr>
    <w:rPr>
      <w:rFonts w:ascii="Times New Roman" w:eastAsia="Times New Roman" w:hAnsi="Times New Roman" w:cs="Times New Roman"/>
      <w:b/>
      <w:sz w:val="24"/>
      <w:szCs w:val="24"/>
    </w:rPr>
  </w:style>
  <w:style w:type="character" w:customStyle="1" w:styleId="Added">
    <w:name w:val="Added"/>
    <w:rPr>
      <w:b/>
      <w:u w:val="single"/>
      <w:shd w:val="clear" w:color="auto" w:fill="auto"/>
    </w:rPr>
  </w:style>
  <w:style w:type="character" w:customStyle="1" w:styleId="Deleted">
    <w:name w:val="Deleted"/>
    <w:rPr>
      <w:strike/>
      <w:shd w:val="clear" w:color="auto" w:fill="auto"/>
    </w:rPr>
  </w:style>
  <w:style w:type="paragraph" w:customStyle="1" w:styleId="Address">
    <w:name w:val="Address"/>
    <w:basedOn w:val="Normal"/>
    <w:next w:val="Normal"/>
    <w:pPr>
      <w:keepLines/>
      <w:spacing w:before="120" w:after="120" w:line="360" w:lineRule="auto"/>
      <w:ind w:left="3402"/>
    </w:pPr>
    <w:rPr>
      <w:rFonts w:ascii="Times New Roman" w:eastAsia="Times New Roman" w:hAnsi="Times New Roman" w:cs="Times New Roman"/>
      <w:sz w:val="24"/>
      <w:szCs w:val="24"/>
    </w:rPr>
  </w:style>
  <w:style w:type="paragraph" w:customStyle="1" w:styleId="Objetexterne">
    <w:name w:val="Objet externe"/>
    <w:basedOn w:val="Normal"/>
    <w:next w:val="Normal"/>
    <w:pPr>
      <w:spacing w:before="120" w:after="120" w:line="240" w:lineRule="auto"/>
      <w:jc w:val="both"/>
    </w:pPr>
    <w:rPr>
      <w:rFonts w:ascii="Times New Roman" w:eastAsia="Times New Roman" w:hAnsi="Times New Roman" w:cs="Times New Roman"/>
      <w:i/>
      <w:caps/>
      <w:sz w:val="24"/>
      <w:szCs w:val="24"/>
    </w:rPr>
  </w:style>
  <w:style w:type="paragraph" w:customStyle="1" w:styleId="Supertitre">
    <w:name w:val="Supertitre"/>
    <w:basedOn w:val="Normal"/>
    <w:next w:val="Normal"/>
    <w:pPr>
      <w:spacing w:after="600" w:line="240" w:lineRule="auto"/>
      <w:jc w:val="center"/>
    </w:pPr>
    <w:rPr>
      <w:rFonts w:ascii="Times New Roman" w:eastAsia="Times New Roman" w:hAnsi="Times New Roman" w:cs="Times New Roman"/>
      <w:b/>
      <w:sz w:val="24"/>
      <w:szCs w:val="24"/>
    </w:rPr>
  </w:style>
  <w:style w:type="paragraph" w:customStyle="1" w:styleId="Languesfaisantfoi">
    <w:name w:val="Langues faisant foi"/>
    <w:basedOn w:val="Normal"/>
    <w:next w:val="Normal"/>
    <w:pPr>
      <w:spacing w:before="360" w:after="0" w:line="240" w:lineRule="auto"/>
      <w:jc w:val="center"/>
    </w:pPr>
    <w:rPr>
      <w:rFonts w:ascii="Times New Roman" w:eastAsia="Times New Roman" w:hAnsi="Times New Roman" w:cs="Times New Roman"/>
      <w:sz w:val="24"/>
      <w:szCs w:val="24"/>
    </w:rPr>
  </w:style>
  <w:style w:type="paragraph" w:customStyle="1" w:styleId="Rfrencecroise">
    <w:name w:val="Référence croisée"/>
    <w:basedOn w:val="Normal"/>
    <w:pPr>
      <w:spacing w:after="0" w:line="240" w:lineRule="auto"/>
      <w:jc w:val="center"/>
    </w:pPr>
    <w:rPr>
      <w:rFonts w:ascii="Times New Roman" w:eastAsia="Times New Roman" w:hAnsi="Times New Roman" w:cs="Times New Roman"/>
      <w:sz w:val="24"/>
      <w:szCs w:val="24"/>
    </w:rPr>
  </w:style>
  <w:style w:type="paragraph" w:customStyle="1" w:styleId="Fichefinanciretitre">
    <w:name w:val="Fiche financière titre"/>
    <w:basedOn w:val="Normal"/>
    <w:next w:val="Normal"/>
    <w:pPr>
      <w:spacing w:before="120" w:after="120" w:line="240" w:lineRule="auto"/>
      <w:jc w:val="center"/>
    </w:pPr>
    <w:rPr>
      <w:rFonts w:ascii="Times New Roman" w:eastAsia="Times New Roman" w:hAnsi="Times New Roman" w:cs="Times New Roman"/>
      <w:b/>
      <w:sz w:val="24"/>
      <w:szCs w:val="24"/>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after="240" w:line="240" w:lineRule="auto"/>
      <w:ind w:left="5103"/>
    </w:pPr>
    <w:rPr>
      <w:rFonts w:ascii="Times New Roman" w:eastAsia="Times New Roman" w:hAnsi="Times New Roman" w:cs="Times New Roman"/>
      <w:sz w:val="24"/>
      <w:szCs w:val="24"/>
    </w:r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after="240" w:line="240" w:lineRule="auto"/>
      <w:jc w:val="center"/>
    </w:pPr>
    <w:rPr>
      <w:rFonts w:ascii="Times New Roman" w:eastAsia="Times New Roman" w:hAnsi="Times New Roman" w:cs="Times New Roman"/>
      <w:b/>
      <w:i/>
      <w:sz w:val="24"/>
      <w:szCs w:val="24"/>
    </w:rPr>
  </w:style>
  <w:style w:type="paragraph" w:customStyle="1" w:styleId="Typeacteprincipal">
    <w:name w:val="Type acte principal"/>
    <w:basedOn w:val="Normal"/>
    <w:next w:val="Objetacteprincipal"/>
    <w:pPr>
      <w:spacing w:after="240" w:line="240" w:lineRule="auto"/>
      <w:jc w:val="center"/>
    </w:pPr>
    <w:rPr>
      <w:rFonts w:ascii="Times New Roman" w:eastAsia="Times New Roman" w:hAnsi="Times New Roman" w:cs="Times New Roman"/>
      <w:b/>
      <w:sz w:val="24"/>
      <w:szCs w:val="24"/>
    </w:rPr>
  </w:style>
  <w:style w:type="paragraph" w:customStyle="1" w:styleId="Objetacteprincipal">
    <w:name w:val="Objet acte principal"/>
    <w:basedOn w:val="Normal"/>
    <w:next w:val="Titrearticle"/>
    <w:pPr>
      <w:spacing w:after="360" w:line="240" w:lineRule="auto"/>
      <w:jc w:val="center"/>
    </w:pPr>
    <w:rPr>
      <w:rFonts w:ascii="Times New Roman" w:eastAsia="Times New Roman" w:hAnsi="Times New Roman" w:cs="Times New Roman"/>
      <w:b/>
      <w:sz w:val="24"/>
      <w:szCs w:val="24"/>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line="240" w:lineRule="auto"/>
      <w:jc w:val="center"/>
    </w:pPr>
    <w:rPr>
      <w:rFonts w:ascii="Times New Roman" w:eastAsia="Times New Roman" w:hAnsi="Times New Roman" w:cs="Times New Roman"/>
      <w:sz w:val="24"/>
      <w:szCs w:val="24"/>
    </w:rPr>
  </w:style>
  <w:style w:type="paragraph" w:styleId="ListBullet3">
    <w:name w:val="List Bullet 3"/>
    <w:basedOn w:val="Text3"/>
    <w:pPr>
      <w:numPr>
        <w:numId w:val="18"/>
      </w:numPr>
      <w:spacing w:before="0" w:after="240"/>
    </w:pPr>
    <w:rPr>
      <w:szCs w:val="20"/>
    </w:rPr>
  </w:style>
  <w:style w:type="paragraph" w:customStyle="1" w:styleId="ListBullet1">
    <w:name w:val="List Bullet 1"/>
    <w:basedOn w:val="Text1"/>
    <w:pPr>
      <w:numPr>
        <w:numId w:val="17"/>
      </w:numPr>
      <w:spacing w:before="0" w:after="240"/>
    </w:pPr>
    <w:rPr>
      <w:szCs w:val="20"/>
    </w:rPr>
  </w:style>
  <w:style w:type="paragraph" w:customStyle="1" w:styleId="ListDash">
    <w:name w:val="List Dash"/>
    <w:basedOn w:val="Normal"/>
    <w:pPr>
      <w:numPr>
        <w:numId w:val="19"/>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Text1"/>
    <w:pPr>
      <w:numPr>
        <w:numId w:val="20"/>
      </w:numPr>
      <w:spacing w:before="0" w:after="240"/>
    </w:pPr>
    <w:rPr>
      <w:szCs w:val="20"/>
    </w:rPr>
  </w:style>
  <w:style w:type="paragraph" w:customStyle="1" w:styleId="ListDash3">
    <w:name w:val="List Dash 3"/>
    <w:basedOn w:val="Text3"/>
    <w:pPr>
      <w:numPr>
        <w:numId w:val="21"/>
      </w:numPr>
      <w:spacing w:before="0" w:after="240"/>
    </w:pPr>
    <w:rPr>
      <w:szCs w:val="20"/>
    </w:rPr>
  </w:style>
  <w:style w:type="paragraph" w:customStyle="1" w:styleId="ListNumber1">
    <w:name w:val="List Number 1"/>
    <w:basedOn w:val="Text1"/>
    <w:pPr>
      <w:numPr>
        <w:ilvl w:val="2"/>
        <w:numId w:val="22"/>
      </w:numPr>
      <w:tabs>
        <w:tab w:val="clear" w:pos="2608"/>
        <w:tab w:val="num" w:pos="1191"/>
      </w:tabs>
      <w:spacing w:before="0" w:after="240"/>
      <w:ind w:left="1191"/>
    </w:pPr>
    <w:rPr>
      <w:szCs w:val="20"/>
    </w:rPr>
  </w:style>
  <w:style w:type="paragraph" w:customStyle="1" w:styleId="ListNumber1Level2">
    <w:name w:val="List Number 1 (Level 2)"/>
    <w:basedOn w:val="Text1"/>
    <w:pPr>
      <w:numPr>
        <w:ilvl w:val="3"/>
        <w:numId w:val="22"/>
      </w:numPr>
      <w:tabs>
        <w:tab w:val="clear" w:pos="3317"/>
        <w:tab w:val="num" w:pos="1899"/>
      </w:tabs>
      <w:spacing w:before="0" w:after="240"/>
      <w:ind w:left="1899" w:hanging="708"/>
    </w:pPr>
    <w:rPr>
      <w:szCs w:val="20"/>
    </w:rPr>
  </w:style>
  <w:style w:type="character" w:styleId="Hyperlink">
    <w:name w:val="Hyperlink"/>
    <w:uiPriority w:val="99"/>
    <w:unhideWhenUsed/>
    <w:rPr>
      <w:color w:val="0000FF"/>
      <w:u w:val="single"/>
    </w:rPr>
  </w:style>
  <w:style w:type="numbering" w:customStyle="1" w:styleId="NoList11">
    <w:name w:val="No List11"/>
    <w:next w:val="NoList"/>
    <w:uiPriority w:val="99"/>
    <w:semiHidden/>
  </w:style>
  <w:style w:type="paragraph" w:customStyle="1" w:styleId="AddressTL">
    <w:name w:val="AddressTL"/>
    <w:basedOn w:val="Normal"/>
    <w:next w:val="Normal"/>
    <w:pPr>
      <w:spacing w:after="720" w:line="240" w:lineRule="auto"/>
    </w:pPr>
    <w:rPr>
      <w:rFonts w:ascii="Times New Roman" w:eastAsia="Times New Roman" w:hAnsi="Times New Roman" w:cs="Times New Roman"/>
      <w:sz w:val="24"/>
      <w:szCs w:val="20"/>
    </w:rPr>
  </w:style>
  <w:style w:type="paragraph" w:customStyle="1" w:styleId="AddressTR">
    <w:name w:val="AddressTR"/>
    <w:basedOn w:val="Normal"/>
    <w:next w:val="Normal"/>
    <w:pPr>
      <w:spacing w:after="720" w:line="240" w:lineRule="auto"/>
      <w:ind w:left="5103"/>
    </w:pPr>
    <w:rPr>
      <w:rFonts w:ascii="Times New Roman" w:eastAsia="Times New Roman" w:hAnsi="Times New Roman" w:cs="Times New Roman"/>
      <w:sz w:val="24"/>
      <w:szCs w:val="20"/>
    </w:rPr>
  </w:style>
  <w:style w:type="paragraph" w:styleId="BlockText">
    <w:name w:val="Block Text"/>
    <w:basedOn w:val="Normal"/>
    <w:pPr>
      <w:spacing w:after="120" w:line="240" w:lineRule="auto"/>
      <w:ind w:left="1440" w:right="1440"/>
      <w:jc w:val="both"/>
    </w:pPr>
    <w:rPr>
      <w:rFonts w:ascii="Times New Roman" w:eastAsia="Times New Roman" w:hAnsi="Times New Roman" w:cs="Times New Roman"/>
      <w:sz w:val="24"/>
      <w:szCs w:val="20"/>
    </w:rPr>
  </w:style>
  <w:style w:type="paragraph" w:styleId="BodyText">
    <w:name w:val="Body Text"/>
    <w:basedOn w:val="Normal"/>
    <w:link w:val="BodyTextChar"/>
    <w:pPr>
      <w:spacing w:after="12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Pr>
      <w:rFonts w:ascii="Times New Roman" w:eastAsia="Times New Roman" w:hAnsi="Times New Roman" w:cs="Times New Roman"/>
      <w:sz w:val="24"/>
      <w:szCs w:val="20"/>
    </w:rPr>
  </w:style>
  <w:style w:type="paragraph" w:styleId="BodyText2">
    <w:name w:val="Body Text 2"/>
    <w:basedOn w:val="Normal"/>
    <w:link w:val="BodyText2Char"/>
    <w:pPr>
      <w:spacing w:after="120" w:line="480" w:lineRule="auto"/>
      <w:jc w:val="both"/>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Pr>
      <w:rFonts w:ascii="Times New Roman" w:eastAsia="Times New Roman" w:hAnsi="Times New Roman" w:cs="Times New Roman"/>
      <w:sz w:val="24"/>
      <w:szCs w:val="20"/>
    </w:rPr>
  </w:style>
  <w:style w:type="paragraph" w:styleId="BodyText3">
    <w:name w:val="Body Text 3"/>
    <w:basedOn w:val="Normal"/>
    <w:link w:val="BodyText3Char"/>
    <w:pPr>
      <w:spacing w:after="120" w:line="240" w:lineRule="auto"/>
      <w:jc w:val="both"/>
    </w:pPr>
    <w:rPr>
      <w:rFonts w:ascii="Times New Roman" w:eastAsia="Times New Roman" w:hAnsi="Times New Roman" w:cs="Times New Roman"/>
      <w:sz w:val="16"/>
      <w:szCs w:val="20"/>
    </w:rPr>
  </w:style>
  <w:style w:type="character" w:customStyle="1" w:styleId="BodyText3Char">
    <w:name w:val="Body Text 3 Char"/>
    <w:basedOn w:val="DefaultParagraphFont"/>
    <w:link w:val="BodyText3"/>
    <w:rPr>
      <w:rFonts w:ascii="Times New Roman" w:eastAsia="Times New Roman" w:hAnsi="Times New Roman" w:cs="Times New Roman"/>
      <w:sz w:val="16"/>
      <w:szCs w:val="20"/>
    </w:rPr>
  </w:style>
  <w:style w:type="paragraph" w:styleId="BodyTextFirstIndent">
    <w:name w:val="Body Text First Indent"/>
    <w:basedOn w:val="BodyText"/>
    <w:link w:val="BodyTextFirstIndentChar"/>
    <w:pPr>
      <w:ind w:firstLine="210"/>
    </w:pPr>
  </w:style>
  <w:style w:type="character" w:customStyle="1" w:styleId="BodyTextFirstIndentChar">
    <w:name w:val="Body Text First Indent Char"/>
    <w:basedOn w:val="BodyTextChar"/>
    <w:link w:val="BodyTextFirstIndent"/>
    <w:rPr>
      <w:rFonts w:ascii="Times New Roman" w:eastAsia="Times New Roman" w:hAnsi="Times New Roman" w:cs="Times New Roman"/>
      <w:sz w:val="24"/>
      <w:szCs w:val="20"/>
    </w:rPr>
  </w:style>
  <w:style w:type="paragraph" w:styleId="BodyTextIndent">
    <w:name w:val="Body Text Indent"/>
    <w:basedOn w:val="Normal"/>
    <w:link w:val="BodyTextIndentChar"/>
    <w:pPr>
      <w:spacing w:after="120" w:line="240" w:lineRule="auto"/>
      <w:ind w:left="283"/>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Pr>
      <w:rFonts w:ascii="Times New Roman" w:eastAsia="Times New Roman" w:hAnsi="Times New Roman" w:cs="Times New Roman"/>
      <w:sz w:val="24"/>
      <w:szCs w:val="20"/>
    </w:rPr>
  </w:style>
  <w:style w:type="paragraph" w:styleId="BodyTextFirstIndent2">
    <w:name w:val="Body Text First Indent 2"/>
    <w:basedOn w:val="BodyTextIndent"/>
    <w:link w:val="BodyTextFirstIndent2Char"/>
    <w:pPr>
      <w:ind w:firstLine="210"/>
    </w:pPr>
  </w:style>
  <w:style w:type="character" w:customStyle="1" w:styleId="BodyTextFirstIndent2Char">
    <w:name w:val="Body Text First Indent 2 Char"/>
    <w:basedOn w:val="BodyTextIndentChar"/>
    <w:link w:val="BodyTextFirstIndent2"/>
    <w:rPr>
      <w:rFonts w:ascii="Times New Roman" w:eastAsia="Times New Roman" w:hAnsi="Times New Roman" w:cs="Times New Roman"/>
      <w:sz w:val="24"/>
      <w:szCs w:val="20"/>
    </w:rPr>
  </w:style>
  <w:style w:type="paragraph" w:styleId="BodyTextIndent2">
    <w:name w:val="Body Text Indent 2"/>
    <w:basedOn w:val="Normal"/>
    <w:link w:val="BodyTextIndent2Char"/>
    <w:pPr>
      <w:spacing w:after="120" w:line="480" w:lineRule="auto"/>
      <w:ind w:left="283"/>
      <w:jc w:val="both"/>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Pr>
      <w:rFonts w:ascii="Times New Roman" w:eastAsia="Times New Roman" w:hAnsi="Times New Roman" w:cs="Times New Roman"/>
      <w:sz w:val="24"/>
      <w:szCs w:val="20"/>
    </w:rPr>
  </w:style>
  <w:style w:type="paragraph" w:styleId="BodyTextIndent3">
    <w:name w:val="Body Text Indent 3"/>
    <w:basedOn w:val="Normal"/>
    <w:link w:val="BodyTextIndent3Char"/>
    <w:pPr>
      <w:spacing w:after="120" w:line="240" w:lineRule="auto"/>
      <w:ind w:left="283"/>
      <w:jc w:val="both"/>
    </w:pPr>
    <w:rPr>
      <w:rFonts w:ascii="Times New Roman" w:eastAsia="Times New Roman" w:hAnsi="Times New Roman" w:cs="Times New Roman"/>
      <w:sz w:val="16"/>
      <w:szCs w:val="20"/>
    </w:rPr>
  </w:style>
  <w:style w:type="character" w:customStyle="1" w:styleId="BodyTextIndent3Char">
    <w:name w:val="Body Text Indent 3 Char"/>
    <w:basedOn w:val="DefaultParagraphFont"/>
    <w:link w:val="BodyTextIndent3"/>
    <w:rPr>
      <w:rFonts w:ascii="Times New Roman" w:eastAsia="Times New Roman" w:hAnsi="Times New Roman" w:cs="Times New Roman"/>
      <w:sz w:val="16"/>
      <w:szCs w:val="20"/>
    </w:rPr>
  </w:style>
  <w:style w:type="paragraph" w:styleId="Caption">
    <w:name w:val="caption"/>
    <w:basedOn w:val="Normal"/>
    <w:next w:val="Normal"/>
    <w:qFormat/>
    <w:pPr>
      <w:spacing w:before="120" w:after="120" w:line="240" w:lineRule="auto"/>
      <w:jc w:val="both"/>
    </w:pPr>
    <w:rPr>
      <w:rFonts w:ascii="Times New Roman" w:eastAsia="Times New Roman" w:hAnsi="Times New Roman" w:cs="Times New Roman"/>
      <w:b/>
      <w:sz w:val="24"/>
      <w:szCs w:val="20"/>
    </w:rPr>
  </w:style>
  <w:style w:type="paragraph" w:styleId="Closing">
    <w:name w:val="Closing"/>
    <w:basedOn w:val="Normal"/>
    <w:link w:val="ClosingChar"/>
    <w:pPr>
      <w:spacing w:after="240" w:line="240" w:lineRule="auto"/>
      <w:ind w:left="4252"/>
      <w:jc w:val="both"/>
    </w:pPr>
    <w:rPr>
      <w:rFonts w:ascii="Times New Roman" w:eastAsia="Times New Roman" w:hAnsi="Times New Roman" w:cs="Times New Roman"/>
      <w:sz w:val="24"/>
      <w:szCs w:val="20"/>
    </w:rPr>
  </w:style>
  <w:style w:type="character" w:customStyle="1" w:styleId="ClosingChar">
    <w:name w:val="Closing Char"/>
    <w:basedOn w:val="DefaultParagraphFont"/>
    <w:link w:val="Closing"/>
    <w:rPr>
      <w:rFonts w:ascii="Times New Roman" w:eastAsia="Times New Roman" w:hAnsi="Times New Roman" w:cs="Times New Roman"/>
      <w:sz w:val="24"/>
      <w:szCs w:val="20"/>
    </w:rPr>
  </w:style>
  <w:style w:type="paragraph" w:styleId="CommentText">
    <w:name w:val="annotation text"/>
    <w:basedOn w:val="Normal"/>
    <w:link w:val="CommentTextChar"/>
    <w:pPr>
      <w:spacing w:after="240" w:line="240" w:lineRule="auto"/>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rPr>
  </w:style>
  <w:style w:type="paragraph" w:styleId="Date">
    <w:name w:val="Date"/>
    <w:basedOn w:val="Normal"/>
    <w:next w:val="References"/>
    <w:link w:val="DateChar"/>
    <w:pPr>
      <w:spacing w:after="0" w:line="240" w:lineRule="auto"/>
      <w:ind w:left="5103" w:right="-567"/>
    </w:pPr>
    <w:rPr>
      <w:rFonts w:ascii="Times New Roman" w:eastAsia="Times New Roman" w:hAnsi="Times New Roman" w:cs="Times New Roman"/>
      <w:sz w:val="24"/>
      <w:szCs w:val="20"/>
    </w:rPr>
  </w:style>
  <w:style w:type="character" w:customStyle="1" w:styleId="DateChar">
    <w:name w:val="Date Char"/>
    <w:basedOn w:val="DefaultParagraphFont"/>
    <w:link w:val="Date"/>
    <w:rPr>
      <w:rFonts w:ascii="Times New Roman" w:eastAsia="Times New Roman" w:hAnsi="Times New Roman" w:cs="Times New Roman"/>
      <w:sz w:val="24"/>
      <w:szCs w:val="20"/>
    </w:rPr>
  </w:style>
  <w:style w:type="paragraph" w:customStyle="1" w:styleId="References">
    <w:name w:val="References"/>
    <w:basedOn w:val="Normal"/>
    <w:next w:val="AddressTR"/>
    <w:pPr>
      <w:spacing w:after="240" w:line="240" w:lineRule="auto"/>
      <w:ind w:left="5103"/>
    </w:pPr>
    <w:rPr>
      <w:rFonts w:ascii="Times New Roman" w:eastAsia="Times New Roman" w:hAnsi="Times New Roman" w:cs="Times New Roman"/>
      <w:sz w:val="20"/>
      <w:szCs w:val="20"/>
    </w:rPr>
  </w:style>
  <w:style w:type="paragraph" w:styleId="DocumentMap">
    <w:name w:val="Document Map"/>
    <w:basedOn w:val="Normal"/>
    <w:link w:val="DocumentMapChar"/>
    <w:pPr>
      <w:shd w:val="clear" w:color="auto" w:fill="000080"/>
      <w:spacing w:after="240" w:line="240" w:lineRule="auto"/>
      <w:jc w:val="both"/>
    </w:pPr>
    <w:rPr>
      <w:rFonts w:ascii="Tahoma" w:eastAsia="Times New Roman" w:hAnsi="Tahoma" w:cs="Times New Roman"/>
      <w:sz w:val="24"/>
      <w:szCs w:val="20"/>
    </w:rPr>
  </w:style>
  <w:style w:type="character" w:customStyle="1" w:styleId="DocumentMapChar">
    <w:name w:val="Document Map Char"/>
    <w:basedOn w:val="DefaultParagraphFont"/>
    <w:link w:val="DocumentMap"/>
    <w:rPr>
      <w:rFonts w:ascii="Tahoma" w:eastAsia="Times New Roman" w:hAnsi="Tahoma" w:cs="Times New Roman"/>
      <w:sz w:val="24"/>
      <w:szCs w:val="20"/>
      <w:shd w:val="clear" w:color="auto" w:fill="000080"/>
    </w:rPr>
  </w:style>
  <w:style w:type="paragraph" w:customStyle="1" w:styleId="DoubSign">
    <w:name w:val="DoubSign"/>
    <w:basedOn w:val="Normal"/>
    <w:next w:val="Enclosures"/>
    <w:pPr>
      <w:tabs>
        <w:tab w:val="left" w:pos="5103"/>
      </w:tabs>
      <w:spacing w:before="1200" w:after="0" w:line="240" w:lineRule="auto"/>
    </w:pPr>
    <w:rPr>
      <w:rFonts w:ascii="Times New Roman" w:eastAsia="Times New Roman" w:hAnsi="Times New Roman" w:cs="Times New Roman"/>
      <w:sz w:val="24"/>
      <w:szCs w:val="20"/>
    </w:rPr>
  </w:style>
  <w:style w:type="paragraph" w:customStyle="1" w:styleId="Enclosures">
    <w:name w:val="Enclosures"/>
    <w:basedOn w:val="Normal"/>
    <w:pPr>
      <w:keepNext/>
      <w:keepLines/>
      <w:tabs>
        <w:tab w:val="left" w:pos="5642"/>
      </w:tabs>
      <w:spacing w:before="480" w:after="0" w:line="240" w:lineRule="auto"/>
      <w:ind w:left="1191" w:hanging="1191"/>
    </w:pPr>
    <w:rPr>
      <w:rFonts w:ascii="Times New Roman" w:eastAsia="Times New Roman" w:hAnsi="Times New Roman" w:cs="Times New Roman"/>
      <w:sz w:val="24"/>
      <w:szCs w:val="20"/>
    </w:rPr>
  </w:style>
  <w:style w:type="paragraph" w:styleId="EndnoteText">
    <w:name w:val="endnote text"/>
    <w:basedOn w:val="Normal"/>
    <w:link w:val="EndnoteTextChar"/>
    <w:pPr>
      <w:spacing w:after="240" w:line="240" w:lineRule="auto"/>
      <w:jc w:val="both"/>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Pr>
      <w:rFonts w:ascii="Times New Roman" w:eastAsia="Times New Roman" w:hAnsi="Times New Roman" w:cs="Times New Roman"/>
      <w:sz w:val="20"/>
      <w:szCs w:val="20"/>
    </w:rPr>
  </w:style>
  <w:style w:type="paragraph" w:styleId="EnvelopeAddress">
    <w:name w:val="envelope address"/>
    <w:basedOn w:val="Normal"/>
    <w:pPr>
      <w:framePr w:w="7920" w:h="1980" w:hRule="exact" w:hSpace="180" w:wrap="auto" w:hAnchor="page" w:xAlign="center" w:yAlign="bottom"/>
      <w:spacing w:after="0" w:line="240" w:lineRule="auto"/>
      <w:jc w:val="both"/>
    </w:pPr>
    <w:rPr>
      <w:rFonts w:ascii="Times New Roman" w:eastAsia="Times New Roman" w:hAnsi="Times New Roman" w:cs="Times New Roman"/>
      <w:sz w:val="24"/>
      <w:szCs w:val="20"/>
    </w:rPr>
  </w:style>
  <w:style w:type="paragraph" w:styleId="EnvelopeReturn">
    <w:name w:val="envelope return"/>
    <w:basedOn w:val="Normal"/>
    <w:pPr>
      <w:spacing w:after="0" w:line="240" w:lineRule="auto"/>
      <w:jc w:val="both"/>
    </w:pPr>
    <w:rPr>
      <w:rFonts w:ascii="Times New Roman" w:eastAsia="Times New Roman" w:hAnsi="Times New Roman" w:cs="Times New Roman"/>
      <w:sz w:val="20"/>
      <w:szCs w:val="20"/>
    </w:rPr>
  </w:style>
  <w:style w:type="paragraph" w:styleId="Index1">
    <w:name w:val="index 1"/>
    <w:basedOn w:val="Normal"/>
    <w:next w:val="Normal"/>
    <w:autoRedefine/>
    <w:pPr>
      <w:spacing w:after="240" w:line="240" w:lineRule="auto"/>
      <w:ind w:left="240" w:hanging="240"/>
      <w:jc w:val="both"/>
    </w:pPr>
    <w:rPr>
      <w:rFonts w:ascii="Times New Roman" w:eastAsia="Times New Roman" w:hAnsi="Times New Roman" w:cs="Times New Roman"/>
      <w:sz w:val="24"/>
      <w:szCs w:val="20"/>
    </w:rPr>
  </w:style>
  <w:style w:type="paragraph" w:styleId="Index2">
    <w:name w:val="index 2"/>
    <w:basedOn w:val="Normal"/>
    <w:next w:val="Normal"/>
    <w:autoRedefine/>
    <w:pPr>
      <w:spacing w:after="240" w:line="240" w:lineRule="auto"/>
      <w:ind w:left="480" w:hanging="240"/>
      <w:jc w:val="both"/>
    </w:pPr>
    <w:rPr>
      <w:rFonts w:ascii="Times New Roman" w:eastAsia="Times New Roman" w:hAnsi="Times New Roman" w:cs="Times New Roman"/>
      <w:sz w:val="24"/>
      <w:szCs w:val="20"/>
    </w:rPr>
  </w:style>
  <w:style w:type="paragraph" w:styleId="Index3">
    <w:name w:val="index 3"/>
    <w:basedOn w:val="Normal"/>
    <w:next w:val="Normal"/>
    <w:autoRedefine/>
    <w:pPr>
      <w:spacing w:after="240" w:line="240" w:lineRule="auto"/>
      <w:ind w:left="720" w:hanging="240"/>
      <w:jc w:val="both"/>
    </w:pPr>
    <w:rPr>
      <w:rFonts w:ascii="Times New Roman" w:eastAsia="Times New Roman" w:hAnsi="Times New Roman" w:cs="Times New Roman"/>
      <w:sz w:val="24"/>
      <w:szCs w:val="20"/>
    </w:rPr>
  </w:style>
  <w:style w:type="paragraph" w:styleId="Index4">
    <w:name w:val="index 4"/>
    <w:basedOn w:val="Normal"/>
    <w:next w:val="Normal"/>
    <w:autoRedefine/>
    <w:pPr>
      <w:spacing w:after="240" w:line="240" w:lineRule="auto"/>
      <w:ind w:left="960" w:hanging="240"/>
      <w:jc w:val="both"/>
    </w:pPr>
    <w:rPr>
      <w:rFonts w:ascii="Times New Roman" w:eastAsia="Times New Roman" w:hAnsi="Times New Roman" w:cs="Times New Roman"/>
      <w:sz w:val="24"/>
      <w:szCs w:val="20"/>
    </w:rPr>
  </w:style>
  <w:style w:type="paragraph" w:styleId="Index5">
    <w:name w:val="index 5"/>
    <w:basedOn w:val="Normal"/>
    <w:next w:val="Normal"/>
    <w:autoRedefine/>
    <w:pPr>
      <w:spacing w:after="240" w:line="240" w:lineRule="auto"/>
      <w:ind w:left="1200" w:hanging="240"/>
      <w:jc w:val="both"/>
    </w:pPr>
    <w:rPr>
      <w:rFonts w:ascii="Times New Roman" w:eastAsia="Times New Roman" w:hAnsi="Times New Roman" w:cs="Times New Roman"/>
      <w:sz w:val="24"/>
      <w:szCs w:val="20"/>
    </w:rPr>
  </w:style>
  <w:style w:type="paragraph" w:styleId="Index6">
    <w:name w:val="index 6"/>
    <w:basedOn w:val="Normal"/>
    <w:next w:val="Normal"/>
    <w:autoRedefine/>
    <w:pPr>
      <w:spacing w:after="240" w:line="240" w:lineRule="auto"/>
      <w:ind w:left="1440" w:hanging="240"/>
      <w:jc w:val="both"/>
    </w:pPr>
    <w:rPr>
      <w:rFonts w:ascii="Times New Roman" w:eastAsia="Times New Roman" w:hAnsi="Times New Roman" w:cs="Times New Roman"/>
      <w:sz w:val="24"/>
      <w:szCs w:val="20"/>
    </w:rPr>
  </w:style>
  <w:style w:type="paragraph" w:styleId="Index7">
    <w:name w:val="index 7"/>
    <w:basedOn w:val="Normal"/>
    <w:next w:val="Normal"/>
    <w:autoRedefine/>
    <w:pPr>
      <w:spacing w:after="240" w:line="240" w:lineRule="auto"/>
      <w:ind w:left="1680" w:hanging="240"/>
      <w:jc w:val="both"/>
    </w:pPr>
    <w:rPr>
      <w:rFonts w:ascii="Times New Roman" w:eastAsia="Times New Roman" w:hAnsi="Times New Roman" w:cs="Times New Roman"/>
      <w:sz w:val="24"/>
      <w:szCs w:val="20"/>
    </w:rPr>
  </w:style>
  <w:style w:type="paragraph" w:styleId="Index8">
    <w:name w:val="index 8"/>
    <w:basedOn w:val="Normal"/>
    <w:next w:val="Normal"/>
    <w:autoRedefine/>
    <w:pPr>
      <w:spacing w:after="240" w:line="240" w:lineRule="auto"/>
      <w:ind w:left="1920" w:hanging="240"/>
      <w:jc w:val="both"/>
    </w:pPr>
    <w:rPr>
      <w:rFonts w:ascii="Times New Roman" w:eastAsia="Times New Roman" w:hAnsi="Times New Roman" w:cs="Times New Roman"/>
      <w:sz w:val="24"/>
      <w:szCs w:val="20"/>
    </w:rPr>
  </w:style>
  <w:style w:type="paragraph" w:styleId="Index9">
    <w:name w:val="index 9"/>
    <w:basedOn w:val="Normal"/>
    <w:next w:val="Normal"/>
    <w:autoRedefine/>
    <w:pPr>
      <w:spacing w:after="240" w:line="240" w:lineRule="auto"/>
      <w:ind w:left="2160" w:hanging="240"/>
      <w:jc w:val="both"/>
    </w:pPr>
    <w:rPr>
      <w:rFonts w:ascii="Times New Roman" w:eastAsia="Times New Roman" w:hAnsi="Times New Roman" w:cs="Times New Roman"/>
      <w:sz w:val="24"/>
      <w:szCs w:val="20"/>
    </w:rPr>
  </w:style>
  <w:style w:type="paragraph" w:styleId="IndexHeading">
    <w:name w:val="index heading"/>
    <w:basedOn w:val="Normal"/>
    <w:next w:val="Index1"/>
    <w:pPr>
      <w:spacing w:after="240" w:line="240" w:lineRule="auto"/>
      <w:jc w:val="both"/>
    </w:pPr>
    <w:rPr>
      <w:rFonts w:ascii="Arial" w:eastAsia="Times New Roman" w:hAnsi="Arial" w:cs="Times New Roman"/>
      <w:b/>
      <w:sz w:val="24"/>
      <w:szCs w:val="20"/>
    </w:rPr>
  </w:style>
  <w:style w:type="paragraph" w:styleId="List">
    <w:name w:val="List"/>
    <w:basedOn w:val="Normal"/>
    <w:pPr>
      <w:spacing w:after="240" w:line="240" w:lineRule="auto"/>
      <w:ind w:left="283" w:hanging="283"/>
      <w:jc w:val="both"/>
    </w:pPr>
    <w:rPr>
      <w:rFonts w:ascii="Times New Roman" w:eastAsia="Times New Roman" w:hAnsi="Times New Roman" w:cs="Times New Roman"/>
      <w:sz w:val="24"/>
      <w:szCs w:val="20"/>
    </w:rPr>
  </w:style>
  <w:style w:type="paragraph" w:styleId="List2">
    <w:name w:val="List 2"/>
    <w:basedOn w:val="Normal"/>
    <w:pPr>
      <w:spacing w:after="240" w:line="240" w:lineRule="auto"/>
      <w:ind w:left="566" w:hanging="283"/>
      <w:jc w:val="both"/>
    </w:pPr>
    <w:rPr>
      <w:rFonts w:ascii="Times New Roman" w:eastAsia="Times New Roman" w:hAnsi="Times New Roman" w:cs="Times New Roman"/>
      <w:sz w:val="24"/>
      <w:szCs w:val="20"/>
    </w:rPr>
  </w:style>
  <w:style w:type="paragraph" w:styleId="List3">
    <w:name w:val="List 3"/>
    <w:basedOn w:val="Normal"/>
    <w:pPr>
      <w:spacing w:after="240" w:line="240" w:lineRule="auto"/>
      <w:ind w:left="849" w:hanging="283"/>
      <w:jc w:val="both"/>
    </w:pPr>
    <w:rPr>
      <w:rFonts w:ascii="Times New Roman" w:eastAsia="Times New Roman" w:hAnsi="Times New Roman" w:cs="Times New Roman"/>
      <w:sz w:val="24"/>
      <w:szCs w:val="20"/>
    </w:rPr>
  </w:style>
  <w:style w:type="paragraph" w:styleId="List4">
    <w:name w:val="List 4"/>
    <w:basedOn w:val="Normal"/>
    <w:pPr>
      <w:spacing w:after="240" w:line="240" w:lineRule="auto"/>
      <w:ind w:left="1132" w:hanging="283"/>
      <w:jc w:val="both"/>
    </w:pPr>
    <w:rPr>
      <w:rFonts w:ascii="Times New Roman" w:eastAsia="Times New Roman" w:hAnsi="Times New Roman" w:cs="Times New Roman"/>
      <w:sz w:val="24"/>
      <w:szCs w:val="20"/>
    </w:rPr>
  </w:style>
  <w:style w:type="paragraph" w:styleId="List5">
    <w:name w:val="List 5"/>
    <w:basedOn w:val="Normal"/>
    <w:pPr>
      <w:spacing w:after="240" w:line="240" w:lineRule="auto"/>
      <w:ind w:left="1415" w:hanging="283"/>
      <w:jc w:val="both"/>
    </w:pPr>
    <w:rPr>
      <w:rFonts w:ascii="Times New Roman" w:eastAsia="Times New Roman" w:hAnsi="Times New Roman" w:cs="Times New Roman"/>
      <w:sz w:val="24"/>
      <w:szCs w:val="20"/>
    </w:rPr>
  </w:style>
  <w:style w:type="paragraph" w:styleId="ListBullet">
    <w:name w:val="List Bullet"/>
    <w:basedOn w:val="Normal"/>
    <w:pPr>
      <w:numPr>
        <w:numId w:val="27"/>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Text2"/>
    <w:pPr>
      <w:numPr>
        <w:numId w:val="28"/>
      </w:numPr>
      <w:spacing w:before="0" w:after="240"/>
    </w:pPr>
    <w:rPr>
      <w:szCs w:val="20"/>
    </w:rPr>
  </w:style>
  <w:style w:type="paragraph" w:styleId="ListBullet4">
    <w:name w:val="List Bullet 4"/>
    <w:basedOn w:val="Text4"/>
    <w:pPr>
      <w:numPr>
        <w:numId w:val="29"/>
      </w:numPr>
      <w:spacing w:before="0" w:after="240"/>
    </w:pPr>
    <w:rPr>
      <w:szCs w:val="20"/>
    </w:rPr>
  </w:style>
  <w:style w:type="paragraph" w:styleId="ListBullet5">
    <w:name w:val="List Bullet 5"/>
    <w:basedOn w:val="Normal"/>
    <w:autoRedefine/>
    <w:pPr>
      <w:numPr>
        <w:numId w:val="25"/>
      </w:numPr>
      <w:spacing w:after="240" w:line="240" w:lineRule="auto"/>
      <w:jc w:val="both"/>
    </w:pPr>
    <w:rPr>
      <w:rFonts w:ascii="Times New Roman" w:eastAsia="Times New Roman" w:hAnsi="Times New Roman" w:cs="Times New Roman"/>
      <w:sz w:val="24"/>
      <w:szCs w:val="20"/>
    </w:rPr>
  </w:style>
  <w:style w:type="paragraph" w:styleId="ListContinue">
    <w:name w:val="List Continue"/>
    <w:basedOn w:val="Normal"/>
    <w:pPr>
      <w:spacing w:after="120" w:line="240" w:lineRule="auto"/>
      <w:ind w:left="283"/>
      <w:jc w:val="both"/>
    </w:pPr>
    <w:rPr>
      <w:rFonts w:ascii="Times New Roman" w:eastAsia="Times New Roman" w:hAnsi="Times New Roman" w:cs="Times New Roman"/>
      <w:sz w:val="24"/>
      <w:szCs w:val="20"/>
    </w:rPr>
  </w:style>
  <w:style w:type="paragraph" w:styleId="ListContinue2">
    <w:name w:val="List Continue 2"/>
    <w:basedOn w:val="Normal"/>
    <w:pPr>
      <w:spacing w:after="120" w:line="240" w:lineRule="auto"/>
      <w:ind w:left="566"/>
      <w:jc w:val="both"/>
    </w:pPr>
    <w:rPr>
      <w:rFonts w:ascii="Times New Roman" w:eastAsia="Times New Roman" w:hAnsi="Times New Roman" w:cs="Times New Roman"/>
      <w:sz w:val="24"/>
      <w:szCs w:val="20"/>
    </w:rPr>
  </w:style>
  <w:style w:type="paragraph" w:styleId="ListContinue3">
    <w:name w:val="List Continue 3"/>
    <w:basedOn w:val="Normal"/>
    <w:pPr>
      <w:spacing w:after="120" w:line="240" w:lineRule="auto"/>
      <w:ind w:left="849"/>
      <w:jc w:val="both"/>
    </w:pPr>
    <w:rPr>
      <w:rFonts w:ascii="Times New Roman" w:eastAsia="Times New Roman" w:hAnsi="Times New Roman" w:cs="Times New Roman"/>
      <w:sz w:val="24"/>
      <w:szCs w:val="20"/>
    </w:rPr>
  </w:style>
  <w:style w:type="paragraph" w:styleId="ListContinue4">
    <w:name w:val="List Continue 4"/>
    <w:basedOn w:val="Normal"/>
    <w:pPr>
      <w:spacing w:after="120" w:line="240" w:lineRule="auto"/>
      <w:ind w:left="1132"/>
      <w:jc w:val="both"/>
    </w:pPr>
    <w:rPr>
      <w:rFonts w:ascii="Times New Roman" w:eastAsia="Times New Roman" w:hAnsi="Times New Roman" w:cs="Times New Roman"/>
      <w:sz w:val="24"/>
      <w:szCs w:val="20"/>
    </w:rPr>
  </w:style>
  <w:style w:type="paragraph" w:styleId="ListContinue5">
    <w:name w:val="List Continue 5"/>
    <w:basedOn w:val="Normal"/>
    <w:pPr>
      <w:spacing w:after="120" w:line="240" w:lineRule="auto"/>
      <w:ind w:left="1415"/>
      <w:jc w:val="both"/>
    </w:pPr>
    <w:rPr>
      <w:rFonts w:ascii="Times New Roman" w:eastAsia="Times New Roman" w:hAnsi="Times New Roman" w:cs="Times New Roman"/>
      <w:sz w:val="24"/>
      <w:szCs w:val="20"/>
    </w:rPr>
  </w:style>
  <w:style w:type="paragraph" w:styleId="ListNumber">
    <w:name w:val="List Number"/>
    <w:basedOn w:val="Normal"/>
    <w:pPr>
      <w:numPr>
        <w:numId w:val="32"/>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Text2"/>
    <w:pPr>
      <w:numPr>
        <w:numId w:val="33"/>
      </w:numPr>
      <w:spacing w:before="0" w:after="240"/>
    </w:pPr>
    <w:rPr>
      <w:szCs w:val="20"/>
    </w:rPr>
  </w:style>
  <w:style w:type="paragraph" w:styleId="ListNumber3">
    <w:name w:val="List Number 3"/>
    <w:basedOn w:val="Text3"/>
    <w:pPr>
      <w:numPr>
        <w:numId w:val="34"/>
      </w:numPr>
      <w:spacing w:before="0" w:after="240"/>
    </w:pPr>
    <w:rPr>
      <w:szCs w:val="20"/>
    </w:rPr>
  </w:style>
  <w:style w:type="paragraph" w:styleId="ListNumber4">
    <w:name w:val="List Number 4"/>
    <w:basedOn w:val="Text4"/>
    <w:pPr>
      <w:numPr>
        <w:numId w:val="35"/>
      </w:numPr>
      <w:spacing w:before="0" w:after="240"/>
    </w:pPr>
    <w:rPr>
      <w:szCs w:val="20"/>
    </w:rPr>
  </w:style>
  <w:style w:type="paragraph" w:styleId="ListNumber5">
    <w:name w:val="List Number 5"/>
    <w:basedOn w:val="Normal"/>
    <w:pPr>
      <w:numPr>
        <w:numId w:val="26"/>
      </w:numPr>
      <w:spacing w:after="240" w:line="240" w:lineRule="auto"/>
      <w:jc w:val="both"/>
    </w:pPr>
    <w:rPr>
      <w:rFonts w:ascii="Times New Roman" w:eastAsia="Times New Roman" w:hAnsi="Times New Roman" w:cs="Times New Roman"/>
      <w:sz w:val="24"/>
      <w:szCs w:val="20"/>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spacing w:after="240" w:line="240" w:lineRule="auto"/>
      <w:jc w:val="both"/>
    </w:pPr>
    <w:rPr>
      <w:rFonts w:ascii="Courier New" w:eastAsia="Times New Roman" w:hAnsi="Courier New" w:cs="Times New Roman"/>
      <w:sz w:val="20"/>
      <w:szCs w:val="20"/>
    </w:rPr>
  </w:style>
  <w:style w:type="character" w:customStyle="1" w:styleId="MacroTextChar">
    <w:name w:val="Macro Text Char"/>
    <w:basedOn w:val="DefaultParagraphFont"/>
    <w:link w:val="MacroText"/>
    <w:rPr>
      <w:rFonts w:ascii="Courier New" w:eastAsia="Times New Roman" w:hAnsi="Courier New" w:cs="Times New Roman"/>
      <w:sz w:val="20"/>
      <w:szCs w:val="20"/>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spacing w:after="240" w:line="240" w:lineRule="auto"/>
      <w:ind w:left="1134" w:hanging="1134"/>
      <w:jc w:val="both"/>
    </w:pPr>
    <w:rPr>
      <w:rFonts w:ascii="Arial" w:eastAsia="Times New Roman" w:hAnsi="Arial" w:cs="Times New Roman"/>
      <w:sz w:val="24"/>
      <w:szCs w:val="20"/>
    </w:rPr>
  </w:style>
  <w:style w:type="character" w:customStyle="1" w:styleId="MessageHeaderChar">
    <w:name w:val="Message Header Char"/>
    <w:basedOn w:val="DefaultParagraphFont"/>
    <w:link w:val="MessageHeader"/>
    <w:rPr>
      <w:rFonts w:ascii="Arial" w:eastAsia="Times New Roman" w:hAnsi="Arial" w:cs="Times New Roman"/>
      <w:sz w:val="24"/>
      <w:szCs w:val="20"/>
      <w:shd w:val="pct20" w:color="auto" w:fill="auto"/>
    </w:rPr>
  </w:style>
  <w:style w:type="paragraph" w:styleId="NormalIndent">
    <w:name w:val="Normal Indent"/>
    <w:basedOn w:val="Normal"/>
    <w:pPr>
      <w:spacing w:after="240" w:line="240" w:lineRule="auto"/>
      <w:ind w:left="720"/>
      <w:jc w:val="both"/>
    </w:pPr>
    <w:rPr>
      <w:rFonts w:ascii="Times New Roman" w:eastAsia="Times New Roman" w:hAnsi="Times New Roman" w:cs="Times New Roman"/>
      <w:sz w:val="24"/>
      <w:szCs w:val="20"/>
    </w:rPr>
  </w:style>
  <w:style w:type="paragraph" w:styleId="NoteHeading">
    <w:name w:val="Note Heading"/>
    <w:basedOn w:val="Normal"/>
    <w:next w:val="Normal"/>
    <w:link w:val="NoteHeadingChar"/>
    <w:pPr>
      <w:spacing w:after="240" w:line="240" w:lineRule="auto"/>
      <w:jc w:val="both"/>
    </w:pPr>
    <w:rPr>
      <w:rFonts w:ascii="Times New Roman" w:eastAsia="Times New Roman" w:hAnsi="Times New Roman" w:cs="Times New Roman"/>
      <w:sz w:val="24"/>
      <w:szCs w:val="20"/>
    </w:rPr>
  </w:style>
  <w:style w:type="character" w:customStyle="1" w:styleId="NoteHeadingChar">
    <w:name w:val="Note Heading Char"/>
    <w:basedOn w:val="DefaultParagraphFont"/>
    <w:link w:val="NoteHeading"/>
    <w:rPr>
      <w:rFonts w:ascii="Times New Roman" w:eastAsia="Times New Roman" w:hAnsi="Times New Roman" w:cs="Times New Roman"/>
      <w:sz w:val="24"/>
      <w:szCs w:val="20"/>
    </w:rPr>
  </w:style>
  <w:style w:type="paragraph" w:customStyle="1" w:styleId="NoteHead">
    <w:name w:val="NoteHead"/>
    <w:basedOn w:val="Normal"/>
    <w:next w:val="Subject"/>
    <w:pPr>
      <w:spacing w:before="720" w:after="720" w:line="240" w:lineRule="auto"/>
      <w:jc w:val="center"/>
    </w:pPr>
    <w:rPr>
      <w:rFonts w:ascii="Times New Roman" w:eastAsia="Times New Roman" w:hAnsi="Times New Roman" w:cs="Times New Roman"/>
      <w:b/>
      <w:smallCaps/>
      <w:sz w:val="24"/>
      <w:szCs w:val="20"/>
    </w:rPr>
  </w:style>
  <w:style w:type="paragraph" w:customStyle="1" w:styleId="Subject">
    <w:name w:val="Subject"/>
    <w:basedOn w:val="Normal"/>
    <w:next w:val="Normal"/>
    <w:pPr>
      <w:spacing w:after="480" w:line="240" w:lineRule="auto"/>
      <w:ind w:left="1531" w:hanging="1531"/>
    </w:pPr>
    <w:rPr>
      <w:rFonts w:ascii="Times New Roman" w:eastAsia="Times New Roman" w:hAnsi="Times New Roman" w:cs="Times New Roman"/>
      <w:b/>
      <w:sz w:val="24"/>
      <w:szCs w:val="20"/>
    </w:rPr>
  </w:style>
  <w:style w:type="paragraph" w:customStyle="1" w:styleId="NoteList">
    <w:name w:val="NoteList"/>
    <w:basedOn w:val="Normal"/>
    <w:next w:val="Subject"/>
    <w:pPr>
      <w:tabs>
        <w:tab w:val="left" w:pos="5823"/>
      </w:tabs>
      <w:spacing w:before="720" w:after="720" w:line="240" w:lineRule="auto"/>
      <w:ind w:left="5104" w:hanging="3119"/>
    </w:pPr>
    <w:rPr>
      <w:rFonts w:ascii="Times New Roman" w:eastAsia="Times New Roman" w:hAnsi="Times New Roman" w:cs="Times New Roman"/>
      <w:b/>
      <w:smallCaps/>
      <w:sz w:val="24"/>
      <w:szCs w:val="20"/>
    </w:rPr>
  </w:style>
  <w:style w:type="paragraph" w:styleId="PlainText">
    <w:name w:val="Plain Text"/>
    <w:basedOn w:val="Normal"/>
    <w:link w:val="PlainTextChar"/>
    <w:pPr>
      <w:spacing w:after="240" w:line="240" w:lineRule="auto"/>
      <w:jc w:val="both"/>
    </w:pPr>
    <w:rPr>
      <w:rFonts w:ascii="Courier New" w:eastAsia="Times New Roman" w:hAnsi="Courier New" w:cs="Times New Roman"/>
      <w:sz w:val="20"/>
      <w:szCs w:val="20"/>
    </w:rPr>
  </w:style>
  <w:style w:type="character" w:customStyle="1" w:styleId="PlainTextChar">
    <w:name w:val="Plain Text Char"/>
    <w:basedOn w:val="DefaultParagraphFont"/>
    <w:link w:val="PlainText"/>
    <w:rPr>
      <w:rFonts w:ascii="Courier New" w:eastAsia="Times New Roman" w:hAnsi="Courier New" w:cs="Times New Roman"/>
      <w:sz w:val="20"/>
      <w:szCs w:val="20"/>
    </w:rPr>
  </w:style>
  <w:style w:type="paragraph" w:styleId="Salutation">
    <w:name w:val="Salutation"/>
    <w:basedOn w:val="Normal"/>
    <w:next w:val="Normal"/>
    <w:link w:val="SalutationChar"/>
    <w:pPr>
      <w:spacing w:after="240" w:line="240" w:lineRule="auto"/>
      <w:jc w:val="both"/>
    </w:pPr>
    <w:rPr>
      <w:rFonts w:ascii="Times New Roman" w:eastAsia="Times New Roman" w:hAnsi="Times New Roman" w:cs="Times New Roman"/>
      <w:sz w:val="24"/>
      <w:szCs w:val="20"/>
    </w:rPr>
  </w:style>
  <w:style w:type="character" w:customStyle="1" w:styleId="SalutationChar">
    <w:name w:val="Salutation Char"/>
    <w:basedOn w:val="DefaultParagraphFont"/>
    <w:link w:val="Salutation"/>
    <w:rPr>
      <w:rFonts w:ascii="Times New Roman" w:eastAsia="Times New Roman" w:hAnsi="Times New Roman" w:cs="Times New Roman"/>
      <w:sz w:val="24"/>
      <w:szCs w:val="20"/>
    </w:rPr>
  </w:style>
  <w:style w:type="paragraph" w:styleId="Signature">
    <w:name w:val="Signature"/>
    <w:basedOn w:val="Normal"/>
    <w:next w:val="Enclosures"/>
    <w:link w:val="SignatureChar"/>
    <w:pPr>
      <w:tabs>
        <w:tab w:val="left" w:pos="5103"/>
      </w:tabs>
      <w:spacing w:before="1200" w:after="0" w:line="240" w:lineRule="auto"/>
      <w:ind w:left="5103"/>
      <w:jc w:val="center"/>
    </w:pPr>
    <w:rPr>
      <w:rFonts w:ascii="Times New Roman" w:eastAsia="Times New Roman" w:hAnsi="Times New Roman" w:cs="Times New Roman"/>
      <w:sz w:val="24"/>
      <w:szCs w:val="20"/>
    </w:rPr>
  </w:style>
  <w:style w:type="character" w:customStyle="1" w:styleId="SignatureChar">
    <w:name w:val="Signature Char"/>
    <w:basedOn w:val="DefaultParagraphFont"/>
    <w:link w:val="Signature"/>
    <w:rPr>
      <w:rFonts w:ascii="Times New Roman" w:eastAsia="Times New Roman" w:hAnsi="Times New Roman" w:cs="Times New Roman"/>
      <w:sz w:val="24"/>
      <w:szCs w:val="20"/>
    </w:rPr>
  </w:style>
  <w:style w:type="paragraph" w:styleId="Subtitle">
    <w:name w:val="Subtitle"/>
    <w:basedOn w:val="Normal"/>
    <w:link w:val="SubtitleChar"/>
    <w:qFormat/>
    <w:pPr>
      <w:spacing w:after="60" w:line="240" w:lineRule="auto"/>
      <w:jc w:val="center"/>
      <w:outlineLvl w:val="1"/>
    </w:pPr>
    <w:rPr>
      <w:rFonts w:ascii="Arial" w:eastAsia="Times New Roman" w:hAnsi="Arial" w:cs="Times New Roman"/>
      <w:sz w:val="24"/>
      <w:szCs w:val="20"/>
    </w:rPr>
  </w:style>
  <w:style w:type="character" w:customStyle="1" w:styleId="SubtitleChar">
    <w:name w:val="Subtitle Char"/>
    <w:basedOn w:val="DefaultParagraphFont"/>
    <w:link w:val="Subtitle"/>
    <w:rPr>
      <w:rFonts w:ascii="Arial" w:eastAsia="Times New Roman" w:hAnsi="Arial" w:cs="Times New Roman"/>
      <w:sz w:val="24"/>
      <w:szCs w:val="20"/>
    </w:rPr>
  </w:style>
  <w:style w:type="paragraph" w:customStyle="1" w:styleId="SubTitle1">
    <w:name w:val="SubTitle 1"/>
    <w:basedOn w:val="Normal"/>
    <w:next w:val="SubTitle2"/>
    <w:pPr>
      <w:spacing w:after="240" w:line="240" w:lineRule="auto"/>
      <w:jc w:val="center"/>
    </w:pPr>
    <w:rPr>
      <w:rFonts w:ascii="Times New Roman" w:eastAsia="Times New Roman" w:hAnsi="Times New Roman" w:cs="Times New Roman"/>
      <w:b/>
      <w:sz w:val="40"/>
      <w:szCs w:val="20"/>
    </w:rPr>
  </w:style>
  <w:style w:type="paragraph" w:customStyle="1" w:styleId="SubTitle2">
    <w:name w:val="SubTitle 2"/>
    <w:basedOn w:val="Normal"/>
    <w:pPr>
      <w:spacing w:after="240" w:line="240" w:lineRule="auto"/>
      <w:jc w:val="center"/>
    </w:pPr>
    <w:rPr>
      <w:rFonts w:ascii="Times New Roman" w:eastAsia="Times New Roman" w:hAnsi="Times New Roman" w:cs="Times New Roman"/>
      <w:b/>
      <w:sz w:val="32"/>
      <w:szCs w:val="20"/>
    </w:rPr>
  </w:style>
  <w:style w:type="paragraph" w:styleId="TableofAuthorities">
    <w:name w:val="table of authorities"/>
    <w:basedOn w:val="Normal"/>
    <w:next w:val="Normal"/>
    <w:pPr>
      <w:spacing w:after="240" w:line="240" w:lineRule="auto"/>
      <w:ind w:left="240" w:hanging="240"/>
      <w:jc w:val="both"/>
    </w:pPr>
    <w:rPr>
      <w:rFonts w:ascii="Times New Roman" w:eastAsia="Times New Roman" w:hAnsi="Times New Roman" w:cs="Times New Roman"/>
      <w:sz w:val="24"/>
      <w:szCs w:val="20"/>
    </w:rPr>
  </w:style>
  <w:style w:type="paragraph" w:styleId="TableofFigures">
    <w:name w:val="table of figures"/>
    <w:basedOn w:val="Normal"/>
    <w:next w:val="Normal"/>
    <w:pPr>
      <w:spacing w:after="240" w:line="240" w:lineRule="auto"/>
      <w:ind w:left="480" w:hanging="480"/>
      <w:jc w:val="both"/>
    </w:pPr>
    <w:rPr>
      <w:rFonts w:ascii="Times New Roman" w:eastAsia="Times New Roman" w:hAnsi="Times New Roman" w:cs="Times New Roman"/>
      <w:sz w:val="24"/>
      <w:szCs w:val="20"/>
    </w:rPr>
  </w:style>
  <w:style w:type="paragraph" w:styleId="Title">
    <w:name w:val="Title"/>
    <w:basedOn w:val="Normal"/>
    <w:next w:val="SubTitle1"/>
    <w:link w:val="TitleChar"/>
    <w:qFormat/>
    <w:pPr>
      <w:spacing w:after="480" w:line="240" w:lineRule="auto"/>
      <w:jc w:val="center"/>
    </w:pPr>
    <w:rPr>
      <w:rFonts w:ascii="Times New Roman" w:eastAsia="Times New Roman" w:hAnsi="Times New Roman" w:cs="Times New Roman"/>
      <w:b/>
      <w:kern w:val="28"/>
      <w:sz w:val="48"/>
      <w:szCs w:val="20"/>
    </w:rPr>
  </w:style>
  <w:style w:type="character" w:customStyle="1" w:styleId="TitleChar">
    <w:name w:val="Title Char"/>
    <w:basedOn w:val="DefaultParagraphFont"/>
    <w:link w:val="Title"/>
    <w:rPr>
      <w:rFonts w:ascii="Times New Roman" w:eastAsia="Times New Roman" w:hAnsi="Times New Roman" w:cs="Times New Roman"/>
      <w:b/>
      <w:kern w:val="28"/>
      <w:sz w:val="48"/>
      <w:szCs w:val="20"/>
    </w:rPr>
  </w:style>
  <w:style w:type="paragraph" w:styleId="TOAHeading">
    <w:name w:val="toa heading"/>
    <w:basedOn w:val="Normal"/>
    <w:next w:val="Normal"/>
    <w:pPr>
      <w:spacing w:before="120" w:after="240" w:line="240" w:lineRule="auto"/>
      <w:jc w:val="both"/>
    </w:pPr>
    <w:rPr>
      <w:rFonts w:ascii="Arial" w:eastAsia="Times New Roman" w:hAnsi="Arial" w:cs="Times New Roman"/>
      <w:b/>
      <w:sz w:val="24"/>
      <w:szCs w:val="20"/>
    </w:rPr>
  </w:style>
  <w:style w:type="paragraph" w:customStyle="1" w:styleId="YReferences">
    <w:name w:val="YReferences"/>
    <w:basedOn w:val="Normal"/>
    <w:next w:val="Normal"/>
    <w:pPr>
      <w:spacing w:after="480" w:line="240" w:lineRule="auto"/>
      <w:ind w:left="1531" w:hanging="1531"/>
      <w:jc w:val="both"/>
    </w:pPr>
    <w:rPr>
      <w:rFonts w:ascii="Times New Roman" w:eastAsia="Times New Roman" w:hAnsi="Times New Roman" w:cs="Times New Roman"/>
      <w:sz w:val="24"/>
      <w:szCs w:val="20"/>
    </w:rPr>
  </w:style>
  <w:style w:type="paragraph" w:customStyle="1" w:styleId="ListDash2">
    <w:name w:val="List Dash 2"/>
    <w:basedOn w:val="Text2"/>
    <w:pPr>
      <w:numPr>
        <w:numId w:val="30"/>
      </w:numPr>
      <w:spacing w:before="0" w:after="240"/>
    </w:pPr>
    <w:rPr>
      <w:szCs w:val="20"/>
    </w:rPr>
  </w:style>
  <w:style w:type="paragraph" w:customStyle="1" w:styleId="ListDash4">
    <w:name w:val="List Dash 4"/>
    <w:basedOn w:val="Text4"/>
    <w:pPr>
      <w:numPr>
        <w:numId w:val="31"/>
      </w:numPr>
      <w:spacing w:before="0" w:after="240"/>
    </w:pPr>
    <w:rPr>
      <w:szCs w:val="20"/>
    </w:rPr>
  </w:style>
  <w:style w:type="paragraph" w:customStyle="1" w:styleId="ListNumberLevel2">
    <w:name w:val="List Number (Level 2)"/>
    <w:basedOn w:val="Normal"/>
    <w:pPr>
      <w:numPr>
        <w:ilvl w:val="3"/>
        <w:numId w:val="32"/>
      </w:numPr>
      <w:tabs>
        <w:tab w:val="clear" w:pos="2835"/>
        <w:tab w:val="num" w:pos="1417"/>
      </w:tabs>
      <w:spacing w:after="240" w:line="240" w:lineRule="auto"/>
      <w:ind w:left="1417" w:hanging="708"/>
      <w:jc w:val="both"/>
    </w:pPr>
    <w:rPr>
      <w:rFonts w:ascii="Times New Roman" w:eastAsia="Times New Roman" w:hAnsi="Times New Roman" w:cs="Times New Roman"/>
      <w:sz w:val="24"/>
      <w:szCs w:val="20"/>
    </w:rPr>
  </w:style>
  <w:style w:type="paragraph" w:customStyle="1" w:styleId="ListNumberLevel3">
    <w:name w:val="List Number (Level 3)"/>
    <w:basedOn w:val="Normal"/>
    <w:pPr>
      <w:numPr>
        <w:ilvl w:val="2"/>
        <w:numId w:val="32"/>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pPr>
      <w:tabs>
        <w:tab w:val="num" w:pos="2835"/>
      </w:tabs>
      <w:spacing w:after="240" w:line="240" w:lineRule="auto"/>
      <w:ind w:left="2835" w:hanging="709"/>
      <w:jc w:val="both"/>
    </w:pPr>
    <w:rPr>
      <w:rFonts w:ascii="Times New Roman" w:eastAsia="Times New Roman" w:hAnsi="Times New Roman" w:cs="Times New Roman"/>
      <w:sz w:val="24"/>
      <w:szCs w:val="20"/>
    </w:rPr>
  </w:style>
  <w:style w:type="paragraph" w:customStyle="1" w:styleId="ListNumber1Level3">
    <w:name w:val="List Number 1 (Level 3)"/>
    <w:basedOn w:val="Text1"/>
    <w:pPr>
      <w:tabs>
        <w:tab w:val="num" w:pos="2608"/>
      </w:tabs>
      <w:spacing w:before="0" w:after="240"/>
      <w:ind w:left="2608" w:hanging="709"/>
    </w:pPr>
    <w:rPr>
      <w:szCs w:val="20"/>
    </w:rPr>
  </w:style>
  <w:style w:type="paragraph" w:customStyle="1" w:styleId="ListNumber1Level4">
    <w:name w:val="List Number 1 (Level 4)"/>
    <w:basedOn w:val="Text1"/>
    <w:pPr>
      <w:tabs>
        <w:tab w:val="num" w:pos="3317"/>
      </w:tabs>
      <w:spacing w:before="0" w:after="240"/>
      <w:ind w:left="3317" w:hanging="709"/>
    </w:pPr>
    <w:rPr>
      <w:szCs w:val="20"/>
    </w:rPr>
  </w:style>
  <w:style w:type="paragraph" w:customStyle="1" w:styleId="ListNumber2Level2">
    <w:name w:val="List Number 2 (Level 2)"/>
    <w:basedOn w:val="Text2"/>
    <w:pPr>
      <w:numPr>
        <w:ilvl w:val="3"/>
        <w:numId w:val="33"/>
      </w:numPr>
      <w:tabs>
        <w:tab w:val="clear" w:pos="4037"/>
        <w:tab w:val="num" w:pos="2619"/>
      </w:tabs>
      <w:spacing w:before="0" w:after="240"/>
      <w:ind w:left="2619" w:hanging="708"/>
    </w:pPr>
    <w:rPr>
      <w:szCs w:val="20"/>
    </w:rPr>
  </w:style>
  <w:style w:type="paragraph" w:customStyle="1" w:styleId="ListNumber2Level3">
    <w:name w:val="List Number 2 (Level 3)"/>
    <w:basedOn w:val="Text2"/>
    <w:pPr>
      <w:numPr>
        <w:ilvl w:val="2"/>
        <w:numId w:val="33"/>
      </w:numPr>
      <w:spacing w:before="0" w:after="240"/>
    </w:pPr>
    <w:rPr>
      <w:szCs w:val="20"/>
    </w:rPr>
  </w:style>
  <w:style w:type="paragraph" w:customStyle="1" w:styleId="ListNumber2Level4">
    <w:name w:val="List Number 2 (Level 4)"/>
    <w:basedOn w:val="Text2"/>
    <w:pPr>
      <w:tabs>
        <w:tab w:val="num" w:pos="4037"/>
      </w:tabs>
      <w:spacing w:before="0" w:after="240"/>
      <w:ind w:left="4037" w:hanging="709"/>
    </w:pPr>
    <w:rPr>
      <w:szCs w:val="20"/>
    </w:rPr>
  </w:style>
  <w:style w:type="paragraph" w:customStyle="1" w:styleId="ListNumber3Level2">
    <w:name w:val="List Number 3 (Level 2)"/>
    <w:basedOn w:val="Text3"/>
    <w:pPr>
      <w:numPr>
        <w:ilvl w:val="3"/>
        <w:numId w:val="34"/>
      </w:numPr>
      <w:tabs>
        <w:tab w:val="clear" w:pos="4037"/>
        <w:tab w:val="num" w:pos="2619"/>
      </w:tabs>
      <w:spacing w:before="0" w:after="240"/>
      <w:ind w:left="2619" w:hanging="708"/>
    </w:pPr>
    <w:rPr>
      <w:szCs w:val="20"/>
    </w:rPr>
  </w:style>
  <w:style w:type="paragraph" w:customStyle="1" w:styleId="ListNumber3Level3">
    <w:name w:val="List Number 3 (Level 3)"/>
    <w:basedOn w:val="Text3"/>
    <w:pPr>
      <w:numPr>
        <w:ilvl w:val="2"/>
        <w:numId w:val="34"/>
      </w:numPr>
      <w:spacing w:before="0" w:after="240"/>
    </w:pPr>
    <w:rPr>
      <w:szCs w:val="20"/>
    </w:rPr>
  </w:style>
  <w:style w:type="paragraph" w:customStyle="1" w:styleId="ListNumber3Level4">
    <w:name w:val="List Number 3 (Level 4)"/>
    <w:basedOn w:val="Text3"/>
    <w:pPr>
      <w:tabs>
        <w:tab w:val="num" w:pos="4037"/>
      </w:tabs>
      <w:spacing w:before="0" w:after="240"/>
      <w:ind w:left="4037" w:hanging="709"/>
    </w:pPr>
    <w:rPr>
      <w:szCs w:val="20"/>
    </w:rPr>
  </w:style>
  <w:style w:type="paragraph" w:customStyle="1" w:styleId="ListNumber4Level2">
    <w:name w:val="List Number 4 (Level 2)"/>
    <w:basedOn w:val="Text4"/>
    <w:pPr>
      <w:numPr>
        <w:ilvl w:val="3"/>
        <w:numId w:val="35"/>
      </w:numPr>
      <w:tabs>
        <w:tab w:val="clear" w:pos="4037"/>
        <w:tab w:val="num" w:pos="2619"/>
      </w:tabs>
      <w:spacing w:before="0" w:after="240"/>
      <w:ind w:left="2619" w:hanging="708"/>
    </w:pPr>
    <w:rPr>
      <w:szCs w:val="20"/>
    </w:rPr>
  </w:style>
  <w:style w:type="paragraph" w:customStyle="1" w:styleId="ListNumber4Level3">
    <w:name w:val="List Number 4 (Level 3)"/>
    <w:basedOn w:val="Text4"/>
    <w:pPr>
      <w:numPr>
        <w:ilvl w:val="2"/>
        <w:numId w:val="35"/>
      </w:numPr>
      <w:spacing w:before="0" w:after="240"/>
    </w:pPr>
    <w:rPr>
      <w:szCs w:val="20"/>
    </w:rPr>
  </w:style>
  <w:style w:type="paragraph" w:customStyle="1" w:styleId="ListNumber4Level4">
    <w:name w:val="List Number 4 (Level 4)"/>
    <w:basedOn w:val="Text4"/>
    <w:pPr>
      <w:tabs>
        <w:tab w:val="num" w:pos="4037"/>
      </w:tabs>
      <w:spacing w:before="0" w:after="240"/>
      <w:ind w:left="4037" w:hanging="709"/>
    </w:pPr>
    <w:rPr>
      <w:szCs w:val="20"/>
    </w:rPr>
  </w:style>
  <w:style w:type="paragraph" w:customStyle="1" w:styleId="Contact">
    <w:name w:val="Contact"/>
    <w:basedOn w:val="Normal"/>
    <w:next w:val="Normal"/>
    <w:pPr>
      <w:spacing w:after="480" w:line="240" w:lineRule="auto"/>
      <w:ind w:left="567" w:hanging="567"/>
    </w:pPr>
    <w:rPr>
      <w:rFonts w:ascii="Times New Roman" w:eastAsia="Times New Roman" w:hAnsi="Times New Roman" w:cs="Times New Roman"/>
      <w:sz w:val="24"/>
      <w:szCs w:val="20"/>
    </w:rPr>
  </w:style>
  <w:style w:type="paragraph" w:customStyle="1" w:styleId="Designator">
    <w:name w:val="Designator"/>
    <w:basedOn w:val="Normal"/>
    <w:pPr>
      <w:spacing w:after="0" w:line="240" w:lineRule="auto"/>
      <w:jc w:val="center"/>
    </w:pPr>
    <w:rPr>
      <w:rFonts w:ascii="Times New Roman" w:eastAsia="Times New Roman" w:hAnsi="Times New Roman" w:cs="Times New Roman"/>
      <w:b/>
      <w:caps/>
      <w:sz w:val="32"/>
      <w:szCs w:val="20"/>
    </w:rPr>
  </w:style>
  <w:style w:type="paragraph" w:customStyle="1" w:styleId="Releasable">
    <w:name w:val="Releasable"/>
    <w:basedOn w:val="Normal"/>
    <w:qFormat/>
    <w:pPr>
      <w:spacing w:after="0" w:line="240" w:lineRule="auto"/>
      <w:jc w:val="center"/>
    </w:pPr>
    <w:rPr>
      <w:rFonts w:ascii="Times New Roman" w:eastAsia="Times New Roman" w:hAnsi="Times New Roman" w:cs="Times New Roman"/>
      <w:b/>
      <w:caps/>
      <w:sz w:val="32"/>
      <w:szCs w:val="20"/>
    </w:rPr>
  </w:style>
  <w:style w:type="paragraph" w:customStyle="1" w:styleId="RUE">
    <w:name w:val="RUE"/>
    <w:basedOn w:val="Normal"/>
    <w:pPr>
      <w:spacing w:after="0" w:line="240" w:lineRule="auto"/>
      <w:jc w:val="center"/>
    </w:pPr>
    <w:rPr>
      <w:rFonts w:ascii="Times New Roman" w:eastAsia="Times New Roman" w:hAnsi="Times New Roman" w:cs="Times New Roman"/>
      <w:b/>
      <w:caps/>
      <w:sz w:val="32"/>
      <w:szCs w:val="20"/>
      <w:bdr w:val="single" w:sz="18" w:space="0" w:color="auto"/>
    </w:rPr>
  </w:style>
  <w:style w:type="paragraph" w:customStyle="1" w:styleId="ConfidentialUE">
    <w:name w:val="Confidential UE"/>
    <w:basedOn w:val="Normal"/>
    <w:pPr>
      <w:spacing w:after="0" w:line="240" w:lineRule="auto"/>
      <w:jc w:val="center"/>
    </w:pPr>
    <w:rPr>
      <w:rFonts w:ascii="Times New Roman" w:eastAsia="Times New Roman" w:hAnsi="Times New Roman" w:cs="Times New Roman"/>
      <w:b/>
      <w:caps/>
      <w:sz w:val="32"/>
      <w:szCs w:val="20"/>
      <w:bdr w:val="single" w:sz="18" w:space="0" w:color="auto"/>
    </w:rPr>
  </w:style>
  <w:style w:type="paragraph" w:customStyle="1" w:styleId="SecretUE">
    <w:name w:val="Secret UE"/>
    <w:basedOn w:val="Normal"/>
    <w:pPr>
      <w:spacing w:after="0" w:line="240" w:lineRule="auto"/>
      <w:jc w:val="center"/>
    </w:pPr>
    <w:rPr>
      <w:rFonts w:ascii="Times New Roman" w:eastAsia="Times New Roman" w:hAnsi="Times New Roman" w:cs="Times New Roman"/>
      <w:b/>
      <w:caps/>
      <w:color w:val="FF0000"/>
      <w:sz w:val="32"/>
      <w:szCs w:val="20"/>
      <w:bdr w:val="single" w:sz="18" w:space="0" w:color="FF0000"/>
    </w:rPr>
  </w:style>
  <w:style w:type="paragraph" w:customStyle="1" w:styleId="TrsSecretUE">
    <w:name w:val="Très Secret UE"/>
    <w:basedOn w:val="Normal"/>
    <w:pPr>
      <w:spacing w:after="0" w:line="240" w:lineRule="auto"/>
      <w:jc w:val="center"/>
    </w:pPr>
    <w:rPr>
      <w:rFonts w:ascii="Times New Roman" w:eastAsia="Times New Roman" w:hAnsi="Times New Roman" w:cs="Times New Roman"/>
      <w:b/>
      <w:caps/>
      <w:color w:val="FF0000"/>
      <w:sz w:val="32"/>
      <w:szCs w:val="20"/>
      <w:bdr w:val="single" w:sz="18" w:space="0" w:color="FF0000"/>
    </w:rPr>
  </w:style>
  <w:style w:type="paragraph" w:customStyle="1" w:styleId="ZCom">
    <w:name w:val="Z_Com"/>
    <w:basedOn w:val="Normal"/>
    <w:next w:val="ZDGName"/>
    <w:uiPriority w:val="99"/>
    <w:pPr>
      <w:widowControl w:val="0"/>
      <w:autoSpaceDE w:val="0"/>
      <w:autoSpaceDN w:val="0"/>
      <w:spacing w:after="0" w:line="240" w:lineRule="auto"/>
      <w:ind w:right="85"/>
      <w:jc w:val="both"/>
    </w:pPr>
    <w:rPr>
      <w:rFonts w:ascii="Arial" w:eastAsia="Times New Roman" w:hAnsi="Arial" w:cs="Arial"/>
      <w:sz w:val="24"/>
      <w:szCs w:val="24"/>
      <w:lang w:eastAsia="en-GB"/>
    </w:rPr>
  </w:style>
  <w:style w:type="paragraph" w:customStyle="1" w:styleId="ZDGName">
    <w:name w:val="Z_DGName"/>
    <w:basedOn w:val="Normal"/>
    <w:uiPriority w:val="99"/>
    <w:pPr>
      <w:widowControl w:val="0"/>
      <w:autoSpaceDE w:val="0"/>
      <w:autoSpaceDN w:val="0"/>
      <w:spacing w:after="0" w:line="240" w:lineRule="auto"/>
      <w:ind w:right="85"/>
    </w:pPr>
    <w:rPr>
      <w:rFonts w:ascii="Arial" w:eastAsia="Times New Roman" w:hAnsi="Arial" w:cs="Arial"/>
      <w:sz w:val="16"/>
      <w:szCs w:val="16"/>
      <w:lang w:eastAsia="en-GB"/>
    </w:rPr>
  </w:style>
  <w:style w:type="table" w:styleId="TableGrid">
    <w:name w:val="Table Grid"/>
    <w:basedOn w:val="TableNormal"/>
    <w:uiPriority w:val="5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uiPriority w:val="99"/>
    <w:unhideWhenUsed/>
    <w:rPr>
      <w:vertAlign w:val="superscript"/>
    </w:rPr>
  </w:style>
  <w:style w:type="paragraph" w:styleId="BalloonText">
    <w:name w:val="Balloon Text"/>
    <w:basedOn w:val="Normal"/>
    <w:link w:val="BalloonTextChar"/>
    <w:uiPriority w:val="99"/>
    <w:unhideWhenUsed/>
    <w:pPr>
      <w:spacing w:after="0" w:line="240" w:lineRule="auto"/>
      <w:jc w:val="both"/>
    </w:pPr>
    <w:rPr>
      <w:rFonts w:ascii="Tahoma" w:eastAsia="Times New Roman" w:hAnsi="Tahoma" w:cs="Times New Roman"/>
      <w:sz w:val="16"/>
      <w:szCs w:val="16"/>
    </w:rPr>
  </w:style>
  <w:style w:type="character" w:customStyle="1" w:styleId="BalloonTextChar">
    <w:name w:val="Balloon Text Char"/>
    <w:basedOn w:val="DefaultParagraphFont"/>
    <w:link w:val="BalloonText"/>
    <w:uiPriority w:val="99"/>
    <w:rPr>
      <w:rFonts w:ascii="Tahoma" w:eastAsia="Times New Roman" w:hAnsi="Tahoma" w:cs="Times New Roman"/>
      <w:sz w:val="16"/>
      <w:szCs w:val="16"/>
      <w:lang w:val="fr-FR"/>
    </w:rPr>
  </w:style>
  <w:style w:type="character" w:styleId="FollowedHyperlink">
    <w:name w:val="FollowedHyperlink"/>
    <w:uiPriority w:val="99"/>
    <w:unhideWhenUsed/>
    <w:rPr>
      <w:color w:val="800080"/>
      <w:u w:val="single"/>
    </w:rPr>
  </w:style>
  <w:style w:type="numbering" w:customStyle="1" w:styleId="NoList2">
    <w:name w:val="No List2"/>
    <w:next w:val="NoList"/>
    <w:uiPriority w:val="99"/>
    <w:semiHidden/>
  </w:style>
  <w:style w:type="character" w:styleId="CommentReference">
    <w:name w:val="annotation reference"/>
    <w:rPr>
      <w:sz w:val="16"/>
      <w:szCs w:val="16"/>
    </w:rPr>
  </w:style>
  <w:style w:type="paragraph" w:styleId="CommentSubject">
    <w:name w:val="annotation subject"/>
    <w:basedOn w:val="CommentText"/>
    <w:next w:val="CommentText"/>
    <w:link w:val="CommentSubjectChar"/>
    <w:pPr>
      <w:spacing w:before="120" w:after="120"/>
    </w:pP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rPr>
  </w:style>
  <w:style w:type="paragraph" w:customStyle="1" w:styleId="xl67">
    <w:name w:val="xl67"/>
    <w:basedOn w:val="Normal"/>
    <w:pPr>
      <w:spacing w:before="100" w:beforeAutospacing="1" w:after="100" w:afterAutospacing="1" w:line="240" w:lineRule="auto"/>
    </w:pPr>
    <w:rPr>
      <w:rFonts w:ascii="Arial" w:eastAsia="Times New Roman" w:hAnsi="Arial" w:cs="Arial"/>
      <w:sz w:val="20"/>
      <w:szCs w:val="20"/>
      <w:lang w:eastAsia="en-GB"/>
    </w:rPr>
  </w:style>
  <w:style w:type="paragraph" w:customStyle="1" w:styleId="xl68">
    <w:name w:val="xl68"/>
    <w:basedOn w:val="Normal"/>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4"/>
      <w:szCs w:val="14"/>
      <w:lang w:eastAsia="en-GB"/>
    </w:rPr>
  </w:style>
  <w:style w:type="paragraph" w:customStyle="1" w:styleId="xl69">
    <w:name w:val="xl69"/>
    <w:basedOn w:val="Normal"/>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sz w:val="14"/>
      <w:szCs w:val="14"/>
      <w:lang w:eastAsia="en-GB"/>
    </w:rPr>
  </w:style>
  <w:style w:type="paragraph" w:customStyle="1" w:styleId="xl70">
    <w:name w:val="xl70"/>
    <w:basedOn w:val="Normal"/>
    <w:pPr>
      <w:pBdr>
        <w:top w:val="single" w:sz="4" w:space="0" w:color="auto"/>
        <w:left w:val="single" w:sz="4" w:space="0" w:color="auto"/>
        <w:bottom w:val="single" w:sz="4" w:space="0" w:color="auto"/>
        <w:right w:val="single" w:sz="4" w:space="0" w:color="auto"/>
      </w:pBdr>
      <w:shd w:val="clear" w:color="FF0000" w:fill="BFBFBF"/>
      <w:spacing w:before="100" w:beforeAutospacing="1" w:after="100" w:afterAutospacing="1" w:line="240" w:lineRule="auto"/>
      <w:textAlignment w:val="center"/>
    </w:pPr>
    <w:rPr>
      <w:rFonts w:ascii="Arial" w:eastAsia="Times New Roman" w:hAnsi="Arial" w:cs="Arial"/>
      <w:b/>
      <w:bCs/>
      <w:color w:val="000000"/>
      <w:sz w:val="14"/>
      <w:szCs w:val="14"/>
      <w:lang w:eastAsia="en-GB"/>
    </w:rPr>
  </w:style>
  <w:style w:type="paragraph" w:customStyle="1" w:styleId="xl71">
    <w:name w:val="xl71"/>
    <w:basedOn w:val="Normal"/>
    <w:pPr>
      <w:pBdr>
        <w:top w:val="single" w:sz="4" w:space="0" w:color="auto"/>
        <w:left w:val="single" w:sz="4" w:space="0" w:color="auto"/>
        <w:bottom w:val="single" w:sz="4" w:space="0" w:color="auto"/>
        <w:right w:val="single" w:sz="4" w:space="0" w:color="auto"/>
      </w:pBdr>
      <w:shd w:val="clear" w:color="FF0000" w:fill="BFBFBF"/>
      <w:spacing w:before="100" w:beforeAutospacing="1" w:after="100" w:afterAutospacing="1" w:line="240" w:lineRule="auto"/>
      <w:textAlignment w:val="center"/>
    </w:pPr>
    <w:rPr>
      <w:rFonts w:ascii="Arial" w:eastAsia="Times New Roman" w:hAnsi="Arial" w:cs="Arial"/>
      <w:b/>
      <w:bCs/>
      <w:color w:val="000000"/>
      <w:sz w:val="14"/>
      <w:szCs w:val="14"/>
      <w:lang w:eastAsia="en-GB"/>
    </w:rPr>
  </w:style>
  <w:style w:type="paragraph" w:customStyle="1" w:styleId="xl72">
    <w:name w:val="xl72"/>
    <w:basedOn w:val="Normal"/>
    <w:pPr>
      <w:pBdr>
        <w:top w:val="single" w:sz="4" w:space="0" w:color="auto"/>
        <w:left w:val="single" w:sz="4" w:space="0" w:color="auto"/>
        <w:bottom w:val="single" w:sz="4" w:space="0" w:color="auto"/>
        <w:right w:val="single" w:sz="4" w:space="0" w:color="auto"/>
      </w:pBdr>
      <w:shd w:val="clear" w:color="FF0000" w:fill="BFBFBF"/>
      <w:spacing w:before="100" w:beforeAutospacing="1" w:after="100" w:afterAutospacing="1" w:line="240" w:lineRule="auto"/>
      <w:textAlignment w:val="center"/>
    </w:pPr>
    <w:rPr>
      <w:rFonts w:ascii="Arial" w:eastAsia="Times New Roman" w:hAnsi="Arial" w:cs="Arial"/>
      <w:b/>
      <w:bCs/>
      <w:color w:val="000000"/>
      <w:sz w:val="14"/>
      <w:szCs w:val="14"/>
      <w:lang w:eastAsia="en-GB"/>
    </w:rPr>
  </w:style>
  <w:style w:type="paragraph" w:customStyle="1" w:styleId="xl73">
    <w:name w:val="xl73"/>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4"/>
      <w:szCs w:val="14"/>
      <w:lang w:eastAsia="en-GB"/>
    </w:rPr>
  </w:style>
  <w:style w:type="paragraph" w:customStyle="1" w:styleId="xl74">
    <w:name w:val="xl74"/>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4"/>
      <w:szCs w:val="14"/>
      <w:lang w:eastAsia="en-GB"/>
    </w:rPr>
  </w:style>
  <w:style w:type="paragraph" w:customStyle="1" w:styleId="xl75">
    <w:name w:val="xl75"/>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4"/>
      <w:szCs w:val="14"/>
      <w:lang w:eastAsia="en-GB"/>
    </w:rPr>
  </w:style>
  <w:style w:type="paragraph" w:customStyle="1" w:styleId="xl76">
    <w:name w:val="xl76"/>
    <w:basedOn w:val="Normal"/>
    <w:pPr>
      <w:pBdr>
        <w:top w:val="single" w:sz="4" w:space="0" w:color="auto"/>
        <w:left w:val="single" w:sz="4" w:space="0" w:color="auto"/>
        <w:right w:val="single" w:sz="4" w:space="0" w:color="auto"/>
      </w:pBdr>
      <w:shd w:val="clear" w:color="FF0000" w:fill="BFBFBF"/>
      <w:spacing w:before="100" w:beforeAutospacing="1" w:after="100" w:afterAutospacing="1" w:line="240" w:lineRule="auto"/>
      <w:textAlignment w:val="center"/>
    </w:pPr>
    <w:rPr>
      <w:rFonts w:ascii="Arial" w:eastAsia="Times New Roman" w:hAnsi="Arial" w:cs="Arial"/>
      <w:b/>
      <w:bCs/>
      <w:color w:val="000000"/>
      <w:sz w:val="14"/>
      <w:szCs w:val="14"/>
      <w:lang w:eastAsia="en-GB"/>
    </w:rPr>
  </w:style>
  <w:style w:type="paragraph" w:customStyle="1" w:styleId="xl77">
    <w:name w:val="xl77"/>
    <w:basedOn w:val="Normal"/>
    <w:pPr>
      <w:pBdr>
        <w:top w:val="single" w:sz="4" w:space="0" w:color="auto"/>
        <w:left w:val="single" w:sz="4" w:space="0" w:color="auto"/>
        <w:right w:val="single" w:sz="4" w:space="0" w:color="auto"/>
      </w:pBdr>
      <w:shd w:val="clear" w:color="FF0000" w:fill="BFBFBF"/>
      <w:spacing w:before="100" w:beforeAutospacing="1" w:after="100" w:afterAutospacing="1" w:line="240" w:lineRule="auto"/>
      <w:textAlignment w:val="center"/>
    </w:pPr>
    <w:rPr>
      <w:rFonts w:ascii="Arial" w:eastAsia="Times New Roman" w:hAnsi="Arial" w:cs="Arial"/>
      <w:b/>
      <w:bCs/>
      <w:color w:val="000000"/>
      <w:sz w:val="14"/>
      <w:szCs w:val="14"/>
      <w:lang w:eastAsia="en-GB"/>
    </w:rPr>
  </w:style>
  <w:style w:type="paragraph" w:customStyle="1" w:styleId="xl78">
    <w:name w:val="xl78"/>
    <w:basedOn w:val="Normal"/>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4"/>
      <w:szCs w:val="14"/>
      <w:lang w:eastAsia="en-GB"/>
    </w:rPr>
  </w:style>
  <w:style w:type="paragraph" w:customStyle="1" w:styleId="xl79">
    <w:name w:val="xl79"/>
    <w:basedOn w:val="Normal"/>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4"/>
      <w:szCs w:val="14"/>
      <w:lang w:eastAsia="en-GB"/>
    </w:rPr>
  </w:style>
  <w:style w:type="paragraph" w:customStyle="1" w:styleId="xl80">
    <w:name w:val="xl80"/>
    <w:basedOn w:val="Normal"/>
    <w:pPr>
      <w:pBdr>
        <w:top w:val="single" w:sz="8" w:space="0" w:color="auto"/>
        <w:left w:val="single" w:sz="8" w:space="0" w:color="auto"/>
        <w:bottom w:val="single" w:sz="8" w:space="0" w:color="auto"/>
      </w:pBdr>
      <w:shd w:val="clear" w:color="000000" w:fill="BFBFBF"/>
      <w:spacing w:before="100" w:beforeAutospacing="1" w:after="100" w:afterAutospacing="1" w:line="240" w:lineRule="auto"/>
    </w:pPr>
    <w:rPr>
      <w:rFonts w:ascii="Arial" w:eastAsia="Times New Roman" w:hAnsi="Arial" w:cs="Arial"/>
      <w:b/>
      <w:bCs/>
      <w:sz w:val="14"/>
      <w:szCs w:val="14"/>
      <w:lang w:eastAsia="en-GB"/>
    </w:rPr>
  </w:style>
  <w:style w:type="paragraph" w:customStyle="1" w:styleId="xl81">
    <w:name w:val="xl81"/>
    <w:basedOn w:val="Normal"/>
    <w:pPr>
      <w:pBdr>
        <w:top w:val="single" w:sz="8" w:space="0" w:color="auto"/>
        <w:bottom w:val="single" w:sz="8" w:space="0" w:color="auto"/>
      </w:pBdr>
      <w:shd w:val="clear" w:color="000000" w:fill="BFBFBF"/>
      <w:spacing w:before="100" w:beforeAutospacing="1" w:after="100" w:afterAutospacing="1" w:line="240" w:lineRule="auto"/>
    </w:pPr>
    <w:rPr>
      <w:rFonts w:ascii="Arial" w:eastAsia="Times New Roman" w:hAnsi="Arial" w:cs="Arial"/>
      <w:b/>
      <w:bCs/>
      <w:sz w:val="14"/>
      <w:szCs w:val="14"/>
      <w:lang w:eastAsia="en-GB"/>
    </w:rPr>
  </w:style>
  <w:style w:type="paragraph" w:customStyle="1" w:styleId="xl82">
    <w:name w:val="xl82"/>
    <w:basedOn w:val="Normal"/>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4"/>
      <w:szCs w:val="14"/>
      <w:lang w:eastAsia="en-GB"/>
    </w:rPr>
  </w:style>
  <w:style w:type="paragraph" w:customStyle="1" w:styleId="xl83">
    <w:name w:val="xl83"/>
    <w:basedOn w:val="Normal"/>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4"/>
      <w:szCs w:val="14"/>
      <w:lang w:eastAsia="en-GB"/>
    </w:rPr>
  </w:style>
  <w:style w:type="paragraph" w:customStyle="1" w:styleId="xl84">
    <w:name w:val="xl84"/>
    <w:basedOn w:val="Normal"/>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sz w:val="14"/>
      <w:szCs w:val="14"/>
      <w:lang w:eastAsia="en-GB"/>
    </w:rPr>
  </w:style>
  <w:style w:type="paragraph" w:styleId="Revision">
    <w:name w:val="Revision"/>
    <w:hidden/>
    <w:uiPriority w:val="99"/>
    <w:semiHidden/>
    <w:pPr>
      <w:spacing w:after="0" w:line="240" w:lineRule="auto"/>
    </w:pPr>
    <w:rPr>
      <w:rFonts w:ascii="Calibri" w:eastAsia="Calibri" w:hAnsi="Calibri" w:cs="Times New Roman"/>
      <w:noProof/>
    </w:rPr>
  </w:style>
  <w:style w:type="paragraph" w:styleId="ListParagraph">
    <w:name w:val="List Paragraph"/>
    <w:basedOn w:val="Normal"/>
    <w:uiPriority w:val="34"/>
    <w:qFormat/>
    <w:pPr>
      <w:ind w:left="720"/>
      <w:contextualSpacing/>
    </w:pPr>
    <w:rPr>
      <w:rFonts w:ascii="Calibri" w:eastAsia="Calibri" w:hAnsi="Calibri" w:cs="Times New Roman"/>
      <w:noProof/>
    </w:rPr>
  </w:style>
  <w:style w:type="paragraph" w:customStyle="1" w:styleId="xl65">
    <w:name w:val="xl65"/>
    <w:basedOn w:val="Normal"/>
    <w:pPr>
      <w:pBdr>
        <w:top w:val="single" w:sz="4" w:space="0" w:color="000000"/>
        <w:left w:val="single" w:sz="4" w:space="0" w:color="000000"/>
        <w:bottom w:val="single" w:sz="4" w:space="0" w:color="000000"/>
        <w:right w:val="single" w:sz="4" w:space="0" w:color="000000"/>
      </w:pBdr>
      <w:shd w:val="clear" w:color="C0C0C0" w:fill="4F81BD"/>
      <w:spacing w:before="100" w:beforeAutospacing="1" w:after="100" w:afterAutospacing="1" w:line="240" w:lineRule="auto"/>
      <w:textAlignment w:val="center"/>
    </w:pPr>
    <w:rPr>
      <w:rFonts w:ascii="Times New Roman" w:eastAsia="Times New Roman" w:hAnsi="Times New Roman" w:cs="Times New Roman"/>
      <w:b/>
      <w:bCs/>
      <w:color w:val="FFFFFF"/>
      <w:sz w:val="16"/>
      <w:szCs w:val="16"/>
      <w:lang w:eastAsia="en-GB"/>
    </w:rPr>
  </w:style>
  <w:style w:type="paragraph" w:customStyle="1" w:styleId="xl66">
    <w:name w:val="xl66"/>
    <w:basedOn w:val="Normal"/>
    <w:pPr>
      <w:pBdr>
        <w:top w:val="single" w:sz="4" w:space="0" w:color="000000"/>
        <w:left w:val="single" w:sz="4" w:space="0" w:color="000000"/>
        <w:bottom w:val="single" w:sz="4" w:space="0" w:color="000000"/>
        <w:right w:val="single" w:sz="4" w:space="0" w:color="000000"/>
      </w:pBdr>
      <w:shd w:val="clear" w:color="C0C0C0" w:fill="4F81BD"/>
      <w:spacing w:before="100" w:beforeAutospacing="1" w:after="100" w:afterAutospacing="1" w:line="240" w:lineRule="auto"/>
      <w:jc w:val="center"/>
      <w:textAlignment w:val="center"/>
    </w:pPr>
    <w:rPr>
      <w:rFonts w:ascii="Times New Roman" w:eastAsia="Times New Roman" w:hAnsi="Times New Roman" w:cs="Times New Roman"/>
      <w:b/>
      <w:bCs/>
      <w:color w:val="FFFFFF"/>
      <w:sz w:val="16"/>
      <w:szCs w:val="16"/>
      <w:lang w:eastAsia="en-GB"/>
    </w:r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line="240" w:lineRule="auto"/>
      <w:jc w:val="both"/>
    </w:pPr>
    <w:rPr>
      <w:rFonts w:ascii="Times New Roman" w:hAnsi="Times New Roman" w:cs="Times New Roman"/>
      <w:sz w:val="24"/>
    </w:rPr>
  </w:style>
  <w:style w:type="paragraph" w:customStyle="1" w:styleId="SecurityMarking">
    <w:name w:val="SecurityMarking"/>
    <w:basedOn w:val="Normal"/>
    <w:pPr>
      <w:spacing w:after="0"/>
      <w:ind w:left="5103"/>
    </w:pPr>
    <w:rPr>
      <w:rFonts w:ascii="Times New Roman" w:hAnsi="Times New Roman" w:cs="Times New Roman"/>
      <w:sz w:val="28"/>
    </w:rPr>
  </w:style>
  <w:style w:type="paragraph" w:customStyle="1" w:styleId="DateMarking">
    <w:name w:val="DateMarking"/>
    <w:basedOn w:val="Normal"/>
    <w:pPr>
      <w:spacing w:after="0"/>
      <w:ind w:left="5103"/>
    </w:pPr>
    <w:rPr>
      <w:rFonts w:ascii="Times New Roman" w:hAnsi="Times New Roman" w:cs="Times New Roman"/>
      <w:i/>
      <w:sz w:val="28"/>
    </w:rPr>
  </w:style>
  <w:style w:type="paragraph" w:customStyle="1" w:styleId="ReleasableTo">
    <w:name w:val="ReleasableTo"/>
    <w:basedOn w:val="Normal"/>
    <w:pPr>
      <w:spacing w:after="0"/>
      <w:ind w:left="5103"/>
    </w:pPr>
    <w:rPr>
      <w:rFonts w:ascii="Times New Roman" w:hAnsi="Times New Roman" w:cs="Times New Roman"/>
      <w:i/>
      <w:sz w:val="28"/>
    </w:rPr>
  </w:style>
  <w:style w:type="paragraph" w:customStyle="1" w:styleId="HeaderSensitivityRight">
    <w:name w:val="Header Sensitivity Right"/>
    <w:basedOn w:val="Normal"/>
    <w:pPr>
      <w:spacing w:after="120" w:line="240" w:lineRule="auto"/>
      <w:jc w:val="right"/>
    </w:pPr>
    <w:rPr>
      <w:rFonts w:ascii="Times New Roman"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5" w:uiPriority="39"/>
    <w:lsdException w:name="toc 9" w:uiPriority="39"/>
    <w:lsdException w:name="header" w:uiPriority="99"/>
    <w:lsdException w:name="footer" w:uiPriority="99"/>
    <w:lsdException w:name="caption" w:qFormat="1"/>
    <w:lsdException w:name="line number" w:uiPriority="99"/>
    <w:lsdException w:name="page number" w:uiPriority="99"/>
    <w:lsdException w:name="endnote reference" w:uiPriority="99"/>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iPriority="20" w:unhideWhenUsed="0"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Text1"/>
    <w:link w:val="Heading1Char"/>
    <w:qFormat/>
    <w:pPr>
      <w:keepNext/>
      <w:tabs>
        <w:tab w:val="left" w:pos="850"/>
      </w:tabs>
      <w:spacing w:before="360" w:after="120" w:line="240" w:lineRule="auto"/>
      <w:ind w:left="850" w:hanging="850"/>
      <w:jc w:val="both"/>
      <w:outlineLvl w:val="0"/>
    </w:pPr>
    <w:rPr>
      <w:rFonts w:ascii="Times New Roman" w:eastAsia="Times New Roman" w:hAnsi="Times New Roman"/>
      <w:b/>
      <w:smallCaps/>
      <w:sz w:val="24"/>
      <w:szCs w:val="24"/>
    </w:rPr>
  </w:style>
  <w:style w:type="paragraph" w:styleId="Heading2">
    <w:name w:val="heading 2"/>
    <w:basedOn w:val="Normal"/>
    <w:next w:val="Text1"/>
    <w:link w:val="Heading2Char"/>
    <w:qFormat/>
    <w:pPr>
      <w:keepNext/>
      <w:tabs>
        <w:tab w:val="left" w:pos="850"/>
      </w:tabs>
      <w:spacing w:before="120" w:after="120" w:line="240" w:lineRule="auto"/>
      <w:ind w:left="850" w:hanging="850"/>
      <w:jc w:val="both"/>
      <w:outlineLvl w:val="1"/>
    </w:pPr>
    <w:rPr>
      <w:rFonts w:ascii="Times New Roman" w:eastAsia="Times New Roman" w:hAnsi="Times New Roman"/>
      <w:b/>
      <w:sz w:val="24"/>
      <w:szCs w:val="24"/>
    </w:rPr>
  </w:style>
  <w:style w:type="paragraph" w:styleId="Heading3">
    <w:name w:val="heading 3"/>
    <w:basedOn w:val="Normal"/>
    <w:next w:val="Text1"/>
    <w:link w:val="Heading3Char"/>
    <w:qFormat/>
    <w:pPr>
      <w:keepNext/>
      <w:numPr>
        <w:ilvl w:val="2"/>
        <w:numId w:val="16"/>
      </w:numPr>
      <w:tabs>
        <w:tab w:val="clear" w:pos="1920"/>
        <w:tab w:val="num" w:pos="850"/>
      </w:tabs>
      <w:spacing w:before="120" w:after="120" w:line="240" w:lineRule="auto"/>
      <w:ind w:left="850" w:hanging="850"/>
      <w:jc w:val="both"/>
      <w:outlineLvl w:val="2"/>
    </w:pPr>
    <w:rPr>
      <w:rFonts w:ascii="Times New Roman" w:eastAsia="Times New Roman" w:hAnsi="Times New Roman" w:cs="Times New Roman"/>
      <w:bCs/>
      <w:i/>
      <w:sz w:val="24"/>
      <w:szCs w:val="26"/>
    </w:rPr>
  </w:style>
  <w:style w:type="paragraph" w:styleId="Heading4">
    <w:name w:val="heading 4"/>
    <w:basedOn w:val="Normal"/>
    <w:next w:val="Text1"/>
    <w:link w:val="Heading4Char"/>
    <w:qFormat/>
    <w:pPr>
      <w:keepNext/>
      <w:numPr>
        <w:ilvl w:val="3"/>
        <w:numId w:val="16"/>
      </w:numPr>
      <w:tabs>
        <w:tab w:val="clear" w:pos="1920"/>
        <w:tab w:val="num" w:pos="850"/>
      </w:tabs>
      <w:spacing w:before="120" w:after="120" w:line="240" w:lineRule="auto"/>
      <w:ind w:left="850" w:hanging="850"/>
      <w:jc w:val="both"/>
      <w:outlineLvl w:val="3"/>
    </w:pPr>
    <w:rPr>
      <w:rFonts w:ascii="Times New Roman" w:eastAsia="Times New Roman" w:hAnsi="Times New Roman" w:cs="Times New Roman"/>
      <w:bCs/>
      <w:sz w:val="24"/>
      <w:szCs w:val="28"/>
    </w:rPr>
  </w:style>
  <w:style w:type="paragraph" w:styleId="Heading5">
    <w:name w:val="heading 5"/>
    <w:basedOn w:val="Normal"/>
    <w:next w:val="Normal"/>
    <w:link w:val="Heading5Char"/>
    <w:qFormat/>
    <w:pPr>
      <w:tabs>
        <w:tab w:val="num" w:pos="0"/>
      </w:tabs>
      <w:spacing w:before="240" w:after="60" w:line="240" w:lineRule="auto"/>
      <w:jc w:val="both"/>
      <w:outlineLvl w:val="4"/>
    </w:pPr>
    <w:rPr>
      <w:rFonts w:ascii="Arial" w:eastAsia="Times New Roman" w:hAnsi="Arial" w:cs="Times New Roman"/>
      <w:szCs w:val="20"/>
    </w:rPr>
  </w:style>
  <w:style w:type="paragraph" w:styleId="Heading6">
    <w:name w:val="heading 6"/>
    <w:basedOn w:val="Normal"/>
    <w:next w:val="Normal"/>
    <w:link w:val="Heading6Char"/>
    <w:qFormat/>
    <w:pPr>
      <w:tabs>
        <w:tab w:val="num" w:pos="0"/>
      </w:tabs>
      <w:spacing w:before="240" w:after="60" w:line="240" w:lineRule="auto"/>
      <w:jc w:val="both"/>
      <w:outlineLvl w:val="5"/>
    </w:pPr>
    <w:rPr>
      <w:rFonts w:ascii="Arial" w:eastAsia="Times New Roman" w:hAnsi="Arial" w:cs="Times New Roman"/>
      <w:i/>
      <w:szCs w:val="20"/>
    </w:rPr>
  </w:style>
  <w:style w:type="paragraph" w:styleId="Heading7">
    <w:name w:val="heading 7"/>
    <w:basedOn w:val="Normal"/>
    <w:next w:val="Normal"/>
    <w:link w:val="Heading7Char"/>
    <w:qFormat/>
    <w:pPr>
      <w:tabs>
        <w:tab w:val="num" w:pos="0"/>
      </w:tabs>
      <w:spacing w:before="240" w:after="60" w:line="240" w:lineRule="auto"/>
      <w:jc w:val="both"/>
      <w:outlineLvl w:val="6"/>
    </w:pPr>
    <w:rPr>
      <w:rFonts w:ascii="Arial" w:eastAsia="Times New Roman" w:hAnsi="Arial" w:cs="Times New Roman"/>
      <w:sz w:val="20"/>
      <w:szCs w:val="20"/>
    </w:rPr>
  </w:style>
  <w:style w:type="paragraph" w:styleId="Heading8">
    <w:name w:val="heading 8"/>
    <w:basedOn w:val="Normal"/>
    <w:next w:val="Normal"/>
    <w:link w:val="Heading8Char"/>
    <w:qFormat/>
    <w:pPr>
      <w:tabs>
        <w:tab w:val="num" w:pos="0"/>
      </w:tabs>
      <w:spacing w:before="240" w:after="60" w:line="240" w:lineRule="auto"/>
      <w:jc w:val="both"/>
      <w:outlineLvl w:val="7"/>
    </w:pPr>
    <w:rPr>
      <w:rFonts w:ascii="Arial" w:eastAsia="Times New Roman" w:hAnsi="Arial" w:cs="Times New Roman"/>
      <w:i/>
      <w:sz w:val="20"/>
      <w:szCs w:val="20"/>
    </w:rPr>
  </w:style>
  <w:style w:type="paragraph" w:styleId="Heading9">
    <w:name w:val="heading 9"/>
    <w:basedOn w:val="Normal"/>
    <w:next w:val="Normal"/>
    <w:link w:val="Heading9Char"/>
    <w:qFormat/>
    <w:pPr>
      <w:tabs>
        <w:tab w:val="num" w:pos="0"/>
      </w:tabs>
      <w:spacing w:before="240" w:after="60" w:line="240" w:lineRule="auto"/>
      <w:jc w:val="both"/>
      <w:outlineLvl w:val="8"/>
    </w:pPr>
    <w:rPr>
      <w:rFonts w:ascii="Arial" w:eastAsia="Times New Roman" w:hAnsi="Arial" w:cs="Times New Roman"/>
      <w:i/>
      <w:sz w:val="1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character" w:customStyle="1" w:styleId="Heading1Char">
    <w:name w:val="Heading 1 Char"/>
    <w:basedOn w:val="DefaultParagraphFont"/>
    <w:link w:val="Heading1"/>
    <w:rPr>
      <w:rFonts w:ascii="Times New Roman" w:eastAsia="Times New Roman" w:hAnsi="Times New Roman"/>
      <w:b/>
      <w:smallCaps/>
      <w:sz w:val="24"/>
      <w:szCs w:val="24"/>
    </w:rPr>
  </w:style>
  <w:style w:type="character" w:customStyle="1" w:styleId="Heading2Char">
    <w:name w:val="Heading 2 Char"/>
    <w:basedOn w:val="DefaultParagraphFont"/>
    <w:link w:val="Heading2"/>
    <w:rPr>
      <w:rFonts w:ascii="Times New Roman" w:eastAsia="Times New Roman" w:hAnsi="Times New Roman"/>
      <w:b/>
      <w:sz w:val="24"/>
      <w:szCs w:val="24"/>
    </w:rPr>
  </w:style>
  <w:style w:type="character" w:customStyle="1" w:styleId="Heading3Char">
    <w:name w:val="Heading 3 Char"/>
    <w:basedOn w:val="DefaultParagraphFont"/>
    <w:link w:val="Heading3"/>
    <w:rPr>
      <w:rFonts w:ascii="Times New Roman" w:eastAsia="Times New Roman" w:hAnsi="Times New Roman" w:cs="Times New Roman"/>
      <w:bCs/>
      <w:i/>
      <w:sz w:val="24"/>
      <w:szCs w:val="26"/>
    </w:rPr>
  </w:style>
  <w:style w:type="character" w:customStyle="1" w:styleId="Heading4Char">
    <w:name w:val="Heading 4 Char"/>
    <w:basedOn w:val="DefaultParagraphFont"/>
    <w:link w:val="Heading4"/>
    <w:rPr>
      <w:rFonts w:ascii="Times New Roman" w:eastAsia="Times New Roman" w:hAnsi="Times New Roman" w:cs="Times New Roman"/>
      <w:bCs/>
      <w:sz w:val="24"/>
      <w:szCs w:val="28"/>
    </w:rPr>
  </w:style>
  <w:style w:type="character" w:customStyle="1" w:styleId="Heading5Char">
    <w:name w:val="Heading 5 Char"/>
    <w:basedOn w:val="DefaultParagraphFont"/>
    <w:link w:val="Heading5"/>
    <w:rPr>
      <w:rFonts w:ascii="Arial" w:eastAsia="Times New Roman" w:hAnsi="Arial" w:cs="Times New Roman"/>
      <w:szCs w:val="20"/>
    </w:rPr>
  </w:style>
  <w:style w:type="character" w:customStyle="1" w:styleId="Heading6Char">
    <w:name w:val="Heading 6 Char"/>
    <w:basedOn w:val="DefaultParagraphFont"/>
    <w:link w:val="Heading6"/>
    <w:rPr>
      <w:rFonts w:ascii="Arial" w:eastAsia="Times New Roman" w:hAnsi="Arial" w:cs="Times New Roman"/>
      <w:i/>
      <w:szCs w:val="20"/>
    </w:rPr>
  </w:style>
  <w:style w:type="character" w:customStyle="1" w:styleId="Heading7Char">
    <w:name w:val="Heading 7 Char"/>
    <w:basedOn w:val="DefaultParagraphFont"/>
    <w:link w:val="Heading7"/>
    <w:rPr>
      <w:rFonts w:ascii="Arial" w:eastAsia="Times New Roman" w:hAnsi="Arial" w:cs="Times New Roman"/>
      <w:sz w:val="20"/>
      <w:szCs w:val="20"/>
    </w:rPr>
  </w:style>
  <w:style w:type="character" w:customStyle="1" w:styleId="Heading8Char">
    <w:name w:val="Heading 8 Char"/>
    <w:basedOn w:val="DefaultParagraphFont"/>
    <w:link w:val="Heading8"/>
    <w:rPr>
      <w:rFonts w:ascii="Arial" w:eastAsia="Times New Roman" w:hAnsi="Arial" w:cs="Times New Roman"/>
      <w:i/>
      <w:sz w:val="20"/>
      <w:szCs w:val="20"/>
    </w:rPr>
  </w:style>
  <w:style w:type="character" w:customStyle="1" w:styleId="Heading9Char">
    <w:name w:val="Heading 9 Char"/>
    <w:basedOn w:val="DefaultParagraphFont"/>
    <w:link w:val="Heading9"/>
    <w:rPr>
      <w:rFonts w:ascii="Arial" w:eastAsia="Times New Roman" w:hAnsi="Arial" w:cs="Times New Roman"/>
      <w:i/>
      <w:sz w:val="18"/>
      <w:szCs w:val="20"/>
    </w:rPr>
  </w:style>
  <w:style w:type="numbering" w:customStyle="1" w:styleId="NoList1">
    <w:name w:val="No List1"/>
    <w:next w:val="NoList"/>
    <w:uiPriority w:val="99"/>
    <w:semiHidden/>
    <w:unhideWhenUsed/>
  </w:style>
  <w:style w:type="paragraph" w:styleId="FootnoteText">
    <w:name w:val="footnote text"/>
    <w:basedOn w:val="Normal"/>
    <w:link w:val="FootnoteTextChar"/>
    <w:semiHidden/>
    <w:pPr>
      <w:spacing w:after="0" w:line="240" w:lineRule="auto"/>
      <w:ind w:left="720" w:hanging="720"/>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Pr>
      <w:rFonts w:ascii="Times New Roman" w:eastAsia="Times New Roman" w:hAnsi="Times New Roman" w:cs="Times New Roman"/>
      <w:sz w:val="20"/>
      <w:szCs w:val="20"/>
    </w:rPr>
  </w:style>
  <w:style w:type="paragraph" w:styleId="TOC1">
    <w:name w:val="toc 1"/>
    <w:basedOn w:val="Normal"/>
    <w:next w:val="Normal"/>
    <w:uiPriority w:val="39"/>
    <w:pPr>
      <w:tabs>
        <w:tab w:val="right" w:leader="dot" w:pos="9071"/>
      </w:tabs>
      <w:spacing w:before="60" w:after="120" w:line="240" w:lineRule="auto"/>
      <w:ind w:left="850" w:hanging="850"/>
    </w:pPr>
    <w:rPr>
      <w:rFonts w:ascii="Times New Roman" w:eastAsia="Times New Roman" w:hAnsi="Times New Roman" w:cs="Times New Roman"/>
      <w:sz w:val="24"/>
      <w:szCs w:val="24"/>
    </w:rPr>
  </w:style>
  <w:style w:type="paragraph" w:styleId="TOC2">
    <w:name w:val="toc 2"/>
    <w:basedOn w:val="Normal"/>
    <w:next w:val="Normal"/>
    <w:uiPriority w:val="39"/>
    <w:pPr>
      <w:tabs>
        <w:tab w:val="right" w:leader="dot" w:pos="9071"/>
      </w:tabs>
      <w:spacing w:before="60" w:after="120" w:line="240" w:lineRule="auto"/>
      <w:ind w:left="850" w:hanging="850"/>
    </w:pPr>
    <w:rPr>
      <w:rFonts w:ascii="Times New Roman" w:eastAsia="Times New Roman" w:hAnsi="Times New Roman" w:cs="Times New Roman"/>
      <w:sz w:val="24"/>
      <w:szCs w:val="24"/>
    </w:rPr>
  </w:style>
  <w:style w:type="paragraph" w:styleId="TOC3">
    <w:name w:val="toc 3"/>
    <w:basedOn w:val="Normal"/>
    <w:next w:val="Normal"/>
    <w:uiPriority w:val="39"/>
    <w:pPr>
      <w:tabs>
        <w:tab w:val="right" w:leader="dot" w:pos="9071"/>
      </w:tabs>
      <w:spacing w:before="60" w:after="120" w:line="240" w:lineRule="auto"/>
      <w:ind w:left="850" w:hanging="850"/>
    </w:pPr>
    <w:rPr>
      <w:rFonts w:ascii="Times New Roman" w:eastAsia="Times New Roman" w:hAnsi="Times New Roman" w:cs="Times New Roman"/>
      <w:sz w:val="24"/>
      <w:szCs w:val="24"/>
    </w:rPr>
  </w:style>
  <w:style w:type="paragraph" w:styleId="TOC4">
    <w:name w:val="toc 4"/>
    <w:basedOn w:val="Normal"/>
    <w:next w:val="Normal"/>
    <w:semiHidden/>
    <w:pPr>
      <w:tabs>
        <w:tab w:val="right" w:leader="dot" w:pos="9071"/>
      </w:tabs>
      <w:spacing w:before="60" w:after="120" w:line="240" w:lineRule="auto"/>
      <w:ind w:left="850" w:hanging="850"/>
    </w:pPr>
    <w:rPr>
      <w:rFonts w:ascii="Times New Roman" w:eastAsia="Times New Roman" w:hAnsi="Times New Roman" w:cs="Times New Roman"/>
      <w:sz w:val="24"/>
      <w:szCs w:val="24"/>
    </w:rPr>
  </w:style>
  <w:style w:type="paragraph" w:styleId="TOC5">
    <w:name w:val="toc 5"/>
    <w:basedOn w:val="Normal"/>
    <w:next w:val="Normal"/>
    <w:uiPriority w:val="39"/>
    <w:pPr>
      <w:tabs>
        <w:tab w:val="right" w:leader="dot" w:pos="9071"/>
      </w:tabs>
      <w:spacing w:before="300" w:after="120" w:line="240" w:lineRule="auto"/>
    </w:pPr>
    <w:rPr>
      <w:rFonts w:ascii="Times New Roman" w:eastAsia="Times New Roman" w:hAnsi="Times New Roman" w:cs="Times New Roman"/>
      <w:sz w:val="24"/>
      <w:szCs w:val="24"/>
    </w:rPr>
  </w:style>
  <w:style w:type="paragraph" w:styleId="TOC6">
    <w:name w:val="toc 6"/>
    <w:basedOn w:val="Normal"/>
    <w:next w:val="Normal"/>
    <w:semiHidden/>
    <w:pPr>
      <w:tabs>
        <w:tab w:val="right" w:leader="dot" w:pos="9071"/>
      </w:tabs>
      <w:spacing w:before="240" w:after="120" w:line="240" w:lineRule="auto"/>
    </w:pPr>
    <w:rPr>
      <w:rFonts w:ascii="Times New Roman" w:eastAsia="Times New Roman" w:hAnsi="Times New Roman" w:cs="Times New Roman"/>
      <w:sz w:val="24"/>
      <w:szCs w:val="24"/>
    </w:rPr>
  </w:style>
  <w:style w:type="paragraph" w:styleId="TOC7">
    <w:name w:val="toc 7"/>
    <w:basedOn w:val="Normal"/>
    <w:next w:val="Normal"/>
    <w:semiHidden/>
    <w:pPr>
      <w:tabs>
        <w:tab w:val="right" w:leader="dot" w:pos="9071"/>
      </w:tabs>
      <w:spacing w:before="180" w:after="120" w:line="240" w:lineRule="auto"/>
    </w:pPr>
    <w:rPr>
      <w:rFonts w:ascii="Times New Roman" w:eastAsia="Times New Roman" w:hAnsi="Times New Roman" w:cs="Times New Roman"/>
      <w:sz w:val="24"/>
      <w:szCs w:val="24"/>
    </w:rPr>
  </w:style>
  <w:style w:type="paragraph" w:styleId="TOC8">
    <w:name w:val="toc 8"/>
    <w:basedOn w:val="Normal"/>
    <w:next w:val="Normal"/>
    <w:semiHidden/>
    <w:pPr>
      <w:tabs>
        <w:tab w:val="right" w:leader="dot" w:pos="9071"/>
      </w:tabs>
      <w:spacing w:before="120" w:after="120" w:line="240" w:lineRule="auto"/>
    </w:pPr>
    <w:rPr>
      <w:rFonts w:ascii="Times New Roman" w:eastAsia="Times New Roman" w:hAnsi="Times New Roman" w:cs="Times New Roman"/>
      <w:sz w:val="24"/>
      <w:szCs w:val="24"/>
    </w:rPr>
  </w:style>
  <w:style w:type="paragraph" w:styleId="TOC9">
    <w:name w:val="toc 9"/>
    <w:basedOn w:val="Normal"/>
    <w:next w:val="Normal"/>
    <w:uiPriority w:val="39"/>
    <w:pPr>
      <w:tabs>
        <w:tab w:val="right" w:leader="dot" w:pos="9071"/>
      </w:tabs>
      <w:spacing w:before="120" w:after="120" w:line="240" w:lineRule="auto"/>
      <w:jc w:val="both"/>
    </w:pPr>
    <w:rPr>
      <w:rFonts w:ascii="Times New Roman" w:eastAsia="Times New Roman" w:hAnsi="Times New Roman" w:cs="Times New Roman"/>
      <w:sz w:val="24"/>
      <w:szCs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character" w:styleId="FootnoteReference">
    <w:name w:val="footnote reference"/>
    <w:semiHidden/>
    <w:rPr>
      <w:shd w:val="clear" w:color="auto" w:fill="auto"/>
      <w:vertAlign w:val="superscript"/>
    </w:rPr>
  </w:style>
  <w:style w:type="paragraph" w:customStyle="1" w:styleId="Text1">
    <w:name w:val="Text 1"/>
    <w:basedOn w:val="Normal"/>
    <w:pPr>
      <w:spacing w:before="120" w:after="120" w:line="240" w:lineRule="auto"/>
      <w:ind w:left="850"/>
      <w:jc w:val="both"/>
    </w:pPr>
    <w:rPr>
      <w:rFonts w:ascii="Times New Roman" w:eastAsia="Times New Roman" w:hAnsi="Times New Roman" w:cs="Times New Roman"/>
      <w:sz w:val="24"/>
      <w:szCs w:val="24"/>
    </w:rPr>
  </w:style>
  <w:style w:type="paragraph" w:customStyle="1" w:styleId="Text2">
    <w:name w:val="Text 2"/>
    <w:basedOn w:val="Normal"/>
    <w:pPr>
      <w:spacing w:before="120" w:after="120" w:line="240" w:lineRule="auto"/>
      <w:ind w:left="1417"/>
      <w:jc w:val="both"/>
    </w:pPr>
    <w:rPr>
      <w:rFonts w:ascii="Times New Roman" w:eastAsia="Times New Roman" w:hAnsi="Times New Roman" w:cs="Times New Roman"/>
      <w:sz w:val="24"/>
      <w:szCs w:val="24"/>
    </w:rPr>
  </w:style>
  <w:style w:type="paragraph" w:customStyle="1" w:styleId="Text3">
    <w:name w:val="Text 3"/>
    <w:basedOn w:val="Normal"/>
    <w:pPr>
      <w:spacing w:before="120" w:after="120" w:line="240" w:lineRule="auto"/>
      <w:ind w:left="1984"/>
      <w:jc w:val="both"/>
    </w:pPr>
    <w:rPr>
      <w:rFonts w:ascii="Times New Roman" w:eastAsia="Times New Roman" w:hAnsi="Times New Roman" w:cs="Times New Roman"/>
      <w:sz w:val="24"/>
      <w:szCs w:val="24"/>
    </w:rPr>
  </w:style>
  <w:style w:type="paragraph" w:customStyle="1" w:styleId="Text4">
    <w:name w:val="Text 4"/>
    <w:basedOn w:val="Normal"/>
    <w:pPr>
      <w:spacing w:before="120" w:after="120" w:line="240" w:lineRule="auto"/>
      <w:ind w:left="2551"/>
      <w:jc w:val="both"/>
    </w:pPr>
    <w:rPr>
      <w:rFonts w:ascii="Times New Roman" w:eastAsia="Times New Roman" w:hAnsi="Times New Roman" w:cs="Times New Roman"/>
      <w:sz w:val="24"/>
      <w:szCs w:val="24"/>
    </w:rPr>
  </w:style>
  <w:style w:type="paragraph" w:customStyle="1" w:styleId="NormalCentered">
    <w:name w:val="Normal Centered"/>
    <w:basedOn w:val="Normal"/>
    <w:pPr>
      <w:spacing w:before="120" w:after="120" w:line="240" w:lineRule="auto"/>
      <w:jc w:val="center"/>
    </w:pPr>
    <w:rPr>
      <w:rFonts w:ascii="Times New Roman" w:eastAsia="Times New Roman" w:hAnsi="Times New Roman" w:cs="Times New Roman"/>
      <w:sz w:val="24"/>
      <w:szCs w:val="24"/>
    </w:rPr>
  </w:style>
  <w:style w:type="paragraph" w:customStyle="1" w:styleId="NormalLeft">
    <w:name w:val="Normal Left"/>
    <w:basedOn w:val="Normal"/>
    <w:pPr>
      <w:spacing w:before="120" w:after="120" w:line="240" w:lineRule="auto"/>
    </w:pPr>
    <w:rPr>
      <w:rFonts w:ascii="Times New Roman" w:eastAsia="Times New Roman" w:hAnsi="Times New Roman" w:cs="Times New Roman"/>
      <w:sz w:val="24"/>
      <w:szCs w:val="24"/>
    </w:rPr>
  </w:style>
  <w:style w:type="paragraph" w:customStyle="1" w:styleId="NormalRight">
    <w:name w:val="Normal Right"/>
    <w:basedOn w:val="Normal"/>
    <w:pPr>
      <w:spacing w:before="120" w:after="120" w:line="240" w:lineRule="auto"/>
      <w:jc w:val="right"/>
    </w:pPr>
    <w:rPr>
      <w:rFonts w:ascii="Times New Roman" w:eastAsia="Times New Roman" w:hAnsi="Times New Roman" w:cs="Times New Roman"/>
      <w:sz w:val="24"/>
      <w:szCs w:val="24"/>
    </w:rPr>
  </w:style>
  <w:style w:type="paragraph" w:customStyle="1" w:styleId="QuotedText">
    <w:name w:val="Quoted Text"/>
    <w:basedOn w:val="Normal"/>
    <w:pPr>
      <w:spacing w:before="120" w:after="120" w:line="240" w:lineRule="auto"/>
      <w:ind w:left="1417"/>
      <w:jc w:val="both"/>
    </w:pPr>
    <w:rPr>
      <w:rFonts w:ascii="Times New Roman" w:eastAsia="Times New Roman" w:hAnsi="Times New Roman" w:cs="Times New Roman"/>
      <w:sz w:val="24"/>
      <w:szCs w:val="24"/>
    </w:rPr>
  </w:style>
  <w:style w:type="paragraph" w:customStyle="1" w:styleId="Point0">
    <w:name w:val="Point 0"/>
    <w:basedOn w:val="Normal"/>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Point1">
    <w:name w:val="Point 1"/>
    <w:basedOn w:val="Normal"/>
    <w:pPr>
      <w:spacing w:before="120" w:after="120" w:line="240" w:lineRule="auto"/>
      <w:ind w:left="1417" w:hanging="567"/>
      <w:jc w:val="both"/>
    </w:pPr>
    <w:rPr>
      <w:rFonts w:ascii="Times New Roman" w:eastAsia="Times New Roman" w:hAnsi="Times New Roman" w:cs="Times New Roman"/>
      <w:sz w:val="24"/>
      <w:szCs w:val="24"/>
    </w:rPr>
  </w:style>
  <w:style w:type="paragraph" w:customStyle="1" w:styleId="Point2">
    <w:name w:val="Point 2"/>
    <w:basedOn w:val="Normal"/>
    <w:pPr>
      <w:spacing w:before="120" w:after="120" w:line="240" w:lineRule="auto"/>
      <w:ind w:left="1984" w:hanging="567"/>
      <w:jc w:val="both"/>
    </w:pPr>
    <w:rPr>
      <w:rFonts w:ascii="Times New Roman" w:eastAsia="Times New Roman" w:hAnsi="Times New Roman" w:cs="Times New Roman"/>
      <w:sz w:val="24"/>
      <w:szCs w:val="24"/>
    </w:rPr>
  </w:style>
  <w:style w:type="paragraph" w:customStyle="1" w:styleId="Point3">
    <w:name w:val="Point 3"/>
    <w:basedOn w:val="Normal"/>
    <w:pPr>
      <w:spacing w:before="120" w:after="120" w:line="240" w:lineRule="auto"/>
      <w:ind w:left="2551" w:hanging="567"/>
      <w:jc w:val="both"/>
    </w:pPr>
    <w:rPr>
      <w:rFonts w:ascii="Times New Roman" w:eastAsia="Times New Roman" w:hAnsi="Times New Roman" w:cs="Times New Roman"/>
      <w:sz w:val="24"/>
      <w:szCs w:val="24"/>
    </w:rPr>
  </w:style>
  <w:style w:type="paragraph" w:customStyle="1" w:styleId="Point4">
    <w:name w:val="Point 4"/>
    <w:basedOn w:val="Normal"/>
    <w:pPr>
      <w:spacing w:before="120" w:after="120" w:line="240" w:lineRule="auto"/>
      <w:ind w:left="3118" w:hanging="567"/>
      <w:jc w:val="both"/>
    </w:pPr>
    <w:rPr>
      <w:rFonts w:ascii="Times New Roman" w:eastAsia="Times New Roman" w:hAnsi="Times New Roman" w:cs="Times New Roman"/>
      <w:sz w:val="24"/>
      <w:szCs w:val="24"/>
    </w:rPr>
  </w:style>
  <w:style w:type="paragraph" w:customStyle="1" w:styleId="Tiret0">
    <w:name w:val="Tiret 0"/>
    <w:basedOn w:val="Point0"/>
    <w:pPr>
      <w:numPr>
        <w:numId w:val="2"/>
      </w:numPr>
    </w:pPr>
  </w:style>
  <w:style w:type="paragraph" w:customStyle="1" w:styleId="Tiret1">
    <w:name w:val="Tiret 1"/>
    <w:basedOn w:val="Point1"/>
    <w:pPr>
      <w:numPr>
        <w:numId w:val="3"/>
      </w:numPr>
    </w:pPr>
  </w:style>
  <w:style w:type="paragraph" w:customStyle="1" w:styleId="Tiret2">
    <w:name w:val="Tiret 2"/>
    <w:basedOn w:val="Point2"/>
    <w:pPr>
      <w:numPr>
        <w:numId w:val="4"/>
      </w:numPr>
    </w:pPr>
  </w:style>
  <w:style w:type="paragraph" w:customStyle="1" w:styleId="Tiret3">
    <w:name w:val="Tiret 3"/>
    <w:basedOn w:val="Point3"/>
    <w:pPr>
      <w:numPr>
        <w:numId w:val="5"/>
      </w:numPr>
    </w:pPr>
  </w:style>
  <w:style w:type="paragraph" w:customStyle="1" w:styleId="Tiret4">
    <w:name w:val="Tiret 4"/>
    <w:basedOn w:val="Point4"/>
    <w:pPr>
      <w:numPr>
        <w:numId w:val="6"/>
      </w:numPr>
    </w:pPr>
  </w:style>
  <w:style w:type="paragraph" w:customStyle="1" w:styleId="PointDouble0">
    <w:name w:val="PointDouble 0"/>
    <w:basedOn w:val="Normal"/>
    <w:pPr>
      <w:tabs>
        <w:tab w:val="left" w:pos="850"/>
      </w:tabs>
      <w:spacing w:before="120" w:after="120" w:line="240" w:lineRule="auto"/>
      <w:ind w:left="1417" w:hanging="1417"/>
      <w:jc w:val="both"/>
    </w:pPr>
    <w:rPr>
      <w:rFonts w:ascii="Times New Roman" w:eastAsia="Times New Roman" w:hAnsi="Times New Roman" w:cs="Times New Roman"/>
      <w:sz w:val="24"/>
      <w:szCs w:val="24"/>
    </w:rPr>
  </w:style>
  <w:style w:type="paragraph" w:customStyle="1" w:styleId="PointDouble1">
    <w:name w:val="PointDouble 1"/>
    <w:basedOn w:val="Normal"/>
    <w:pPr>
      <w:tabs>
        <w:tab w:val="left" w:pos="1417"/>
      </w:tabs>
      <w:spacing w:before="120" w:after="120" w:line="240" w:lineRule="auto"/>
      <w:ind w:left="1984" w:hanging="1134"/>
      <w:jc w:val="both"/>
    </w:pPr>
    <w:rPr>
      <w:rFonts w:ascii="Times New Roman" w:eastAsia="Times New Roman" w:hAnsi="Times New Roman" w:cs="Times New Roman"/>
      <w:sz w:val="24"/>
      <w:szCs w:val="24"/>
    </w:rPr>
  </w:style>
  <w:style w:type="paragraph" w:customStyle="1" w:styleId="PointDouble2">
    <w:name w:val="PointDouble 2"/>
    <w:basedOn w:val="Normal"/>
    <w:pPr>
      <w:tabs>
        <w:tab w:val="left" w:pos="1984"/>
      </w:tabs>
      <w:spacing w:before="120" w:after="120" w:line="240" w:lineRule="auto"/>
      <w:ind w:left="2551" w:hanging="1134"/>
      <w:jc w:val="both"/>
    </w:pPr>
    <w:rPr>
      <w:rFonts w:ascii="Times New Roman" w:eastAsia="Times New Roman" w:hAnsi="Times New Roman" w:cs="Times New Roman"/>
      <w:sz w:val="24"/>
      <w:szCs w:val="24"/>
    </w:rPr>
  </w:style>
  <w:style w:type="paragraph" w:customStyle="1" w:styleId="PointDouble3">
    <w:name w:val="PointDouble 3"/>
    <w:basedOn w:val="Normal"/>
    <w:pPr>
      <w:tabs>
        <w:tab w:val="left" w:pos="2551"/>
      </w:tabs>
      <w:spacing w:before="120" w:after="120" w:line="240" w:lineRule="auto"/>
      <w:ind w:left="3118" w:hanging="1134"/>
      <w:jc w:val="both"/>
    </w:pPr>
    <w:rPr>
      <w:rFonts w:ascii="Times New Roman" w:eastAsia="Times New Roman" w:hAnsi="Times New Roman" w:cs="Times New Roman"/>
      <w:sz w:val="24"/>
      <w:szCs w:val="24"/>
    </w:rPr>
  </w:style>
  <w:style w:type="paragraph" w:customStyle="1" w:styleId="PointDouble4">
    <w:name w:val="PointDouble 4"/>
    <w:basedOn w:val="Normal"/>
    <w:pPr>
      <w:tabs>
        <w:tab w:val="left" w:pos="3118"/>
      </w:tabs>
      <w:spacing w:before="120" w:after="120" w:line="240" w:lineRule="auto"/>
      <w:ind w:left="3685" w:hanging="1134"/>
      <w:jc w:val="both"/>
    </w:pPr>
    <w:rPr>
      <w:rFonts w:ascii="Times New Roman" w:eastAsia="Times New Roman" w:hAnsi="Times New Roman" w:cs="Times New Roman"/>
      <w:sz w:val="24"/>
      <w:szCs w:val="24"/>
    </w:rPr>
  </w:style>
  <w:style w:type="paragraph" w:customStyle="1" w:styleId="PointTriple0">
    <w:name w:val="PointTriple 0"/>
    <w:basedOn w:val="Normal"/>
    <w:pPr>
      <w:tabs>
        <w:tab w:val="left" w:pos="850"/>
        <w:tab w:val="left" w:pos="1417"/>
      </w:tabs>
      <w:spacing w:before="120" w:after="120" w:line="240" w:lineRule="auto"/>
      <w:ind w:left="1984" w:hanging="1984"/>
      <w:jc w:val="both"/>
    </w:pPr>
    <w:rPr>
      <w:rFonts w:ascii="Times New Roman" w:eastAsia="Times New Roman" w:hAnsi="Times New Roman" w:cs="Times New Roman"/>
      <w:sz w:val="24"/>
      <w:szCs w:val="24"/>
    </w:rPr>
  </w:style>
  <w:style w:type="paragraph" w:customStyle="1" w:styleId="PointTriple1">
    <w:name w:val="PointTriple 1"/>
    <w:basedOn w:val="Normal"/>
    <w:pPr>
      <w:tabs>
        <w:tab w:val="left" w:pos="1417"/>
        <w:tab w:val="left" w:pos="1984"/>
      </w:tabs>
      <w:spacing w:before="120" w:after="120" w:line="240" w:lineRule="auto"/>
      <w:ind w:left="2551" w:hanging="1701"/>
      <w:jc w:val="both"/>
    </w:pPr>
    <w:rPr>
      <w:rFonts w:ascii="Times New Roman" w:eastAsia="Times New Roman" w:hAnsi="Times New Roman" w:cs="Times New Roman"/>
      <w:sz w:val="24"/>
      <w:szCs w:val="24"/>
    </w:rPr>
  </w:style>
  <w:style w:type="paragraph" w:customStyle="1" w:styleId="PointTriple2">
    <w:name w:val="PointTriple 2"/>
    <w:basedOn w:val="Normal"/>
    <w:pPr>
      <w:tabs>
        <w:tab w:val="left" w:pos="1984"/>
        <w:tab w:val="left" w:pos="2551"/>
      </w:tabs>
      <w:spacing w:before="120" w:after="120" w:line="240" w:lineRule="auto"/>
      <w:ind w:left="3118" w:hanging="1701"/>
      <w:jc w:val="both"/>
    </w:pPr>
    <w:rPr>
      <w:rFonts w:ascii="Times New Roman" w:eastAsia="Times New Roman" w:hAnsi="Times New Roman" w:cs="Times New Roman"/>
      <w:sz w:val="24"/>
      <w:szCs w:val="24"/>
    </w:rPr>
  </w:style>
  <w:style w:type="paragraph" w:customStyle="1" w:styleId="PointTriple3">
    <w:name w:val="PointTriple 3"/>
    <w:basedOn w:val="Normal"/>
    <w:pPr>
      <w:tabs>
        <w:tab w:val="left" w:pos="2551"/>
        <w:tab w:val="left" w:pos="3118"/>
      </w:tabs>
      <w:spacing w:before="120" w:after="120" w:line="240" w:lineRule="auto"/>
      <w:ind w:left="3685" w:hanging="1701"/>
      <w:jc w:val="both"/>
    </w:pPr>
    <w:rPr>
      <w:rFonts w:ascii="Times New Roman" w:eastAsia="Times New Roman" w:hAnsi="Times New Roman" w:cs="Times New Roman"/>
      <w:sz w:val="24"/>
      <w:szCs w:val="24"/>
    </w:rPr>
  </w:style>
  <w:style w:type="paragraph" w:customStyle="1" w:styleId="PointTriple4">
    <w:name w:val="PointTriple 4"/>
    <w:basedOn w:val="Normal"/>
    <w:pPr>
      <w:tabs>
        <w:tab w:val="left" w:pos="3118"/>
        <w:tab w:val="left" w:pos="3685"/>
      </w:tabs>
      <w:spacing w:before="120" w:after="120" w:line="240" w:lineRule="auto"/>
      <w:ind w:left="4252" w:hanging="1701"/>
      <w:jc w:val="both"/>
    </w:pPr>
    <w:rPr>
      <w:rFonts w:ascii="Times New Roman" w:eastAsia="Times New Roman" w:hAnsi="Times New Roman" w:cs="Times New Roman"/>
      <w:sz w:val="24"/>
      <w:szCs w:val="24"/>
    </w:rPr>
  </w:style>
  <w:style w:type="paragraph" w:customStyle="1" w:styleId="NumPar1">
    <w:name w:val="NumPar 1"/>
    <w:basedOn w:val="Normal"/>
    <w:next w:val="Text1"/>
    <w:pPr>
      <w:numPr>
        <w:numId w:val="7"/>
      </w:numPr>
      <w:spacing w:before="120" w:after="120" w:line="240" w:lineRule="auto"/>
      <w:jc w:val="both"/>
    </w:pPr>
    <w:rPr>
      <w:rFonts w:ascii="Times New Roman" w:eastAsia="Times New Roman" w:hAnsi="Times New Roman" w:cs="Times New Roman"/>
      <w:sz w:val="24"/>
      <w:szCs w:val="24"/>
    </w:rPr>
  </w:style>
  <w:style w:type="paragraph" w:customStyle="1" w:styleId="NumPar2">
    <w:name w:val="NumPar 2"/>
    <w:basedOn w:val="Normal"/>
    <w:next w:val="Text1"/>
    <w:pPr>
      <w:numPr>
        <w:ilvl w:val="1"/>
        <w:numId w:val="7"/>
      </w:numPr>
      <w:spacing w:before="120" w:after="120" w:line="240" w:lineRule="auto"/>
      <w:jc w:val="both"/>
    </w:pPr>
    <w:rPr>
      <w:rFonts w:ascii="Times New Roman" w:eastAsia="Times New Roman" w:hAnsi="Times New Roman" w:cs="Times New Roman"/>
      <w:sz w:val="24"/>
      <w:szCs w:val="24"/>
    </w:rPr>
  </w:style>
  <w:style w:type="paragraph" w:customStyle="1" w:styleId="NumPar3">
    <w:name w:val="NumPar 3"/>
    <w:basedOn w:val="Normal"/>
    <w:next w:val="Text1"/>
    <w:pPr>
      <w:numPr>
        <w:ilvl w:val="2"/>
        <w:numId w:val="7"/>
      </w:numPr>
      <w:spacing w:before="120" w:after="120" w:line="240" w:lineRule="auto"/>
      <w:jc w:val="both"/>
    </w:pPr>
    <w:rPr>
      <w:rFonts w:ascii="Times New Roman" w:eastAsia="Times New Roman" w:hAnsi="Times New Roman" w:cs="Times New Roman"/>
      <w:sz w:val="24"/>
      <w:szCs w:val="24"/>
    </w:rPr>
  </w:style>
  <w:style w:type="paragraph" w:customStyle="1" w:styleId="NumPar4">
    <w:name w:val="NumPar 4"/>
    <w:basedOn w:val="Normal"/>
    <w:next w:val="Text1"/>
    <w:pPr>
      <w:numPr>
        <w:ilvl w:val="3"/>
        <w:numId w:val="7"/>
      </w:numPr>
      <w:spacing w:before="120" w:after="120" w:line="240" w:lineRule="auto"/>
      <w:jc w:val="both"/>
    </w:pPr>
    <w:rPr>
      <w:rFonts w:ascii="Times New Roman" w:eastAsia="Times New Roman" w:hAnsi="Times New Roman" w:cs="Times New Roman"/>
      <w:sz w:val="24"/>
      <w:szCs w:val="24"/>
    </w:rPr>
  </w:style>
  <w:style w:type="paragraph" w:customStyle="1" w:styleId="ManualNumPar1">
    <w:name w:val="Manual NumPar 1"/>
    <w:basedOn w:val="Normal"/>
    <w:next w:val="Text1"/>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ManualNumPar2">
    <w:name w:val="Manual NumPar 2"/>
    <w:basedOn w:val="Normal"/>
    <w:next w:val="Text1"/>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ManualNumPar3">
    <w:name w:val="Manual NumPar 3"/>
    <w:basedOn w:val="Normal"/>
    <w:next w:val="Text1"/>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ManualNumPar4">
    <w:name w:val="Manual NumPar 4"/>
    <w:basedOn w:val="Normal"/>
    <w:next w:val="Text1"/>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QuotedNumPar">
    <w:name w:val="Quoted NumPar"/>
    <w:basedOn w:val="Normal"/>
    <w:pPr>
      <w:spacing w:before="120" w:after="120" w:line="240" w:lineRule="auto"/>
      <w:ind w:left="1417" w:hanging="567"/>
      <w:jc w:val="both"/>
    </w:pPr>
    <w:rPr>
      <w:rFonts w:ascii="Times New Roman" w:eastAsia="Times New Roman" w:hAnsi="Times New Roman" w:cs="Times New Roman"/>
      <w:sz w:val="24"/>
      <w:szCs w:val="24"/>
    </w:rPr>
  </w:style>
  <w:style w:type="paragraph" w:customStyle="1" w:styleId="ManualHeading1">
    <w:name w:val="Manual Heading 1"/>
    <w:basedOn w:val="Normal"/>
    <w:next w:val="Text1"/>
    <w:pPr>
      <w:keepNext/>
      <w:tabs>
        <w:tab w:val="left" w:pos="850"/>
      </w:tabs>
      <w:spacing w:before="360" w:after="120" w:line="240" w:lineRule="auto"/>
      <w:ind w:left="850" w:hanging="850"/>
      <w:jc w:val="both"/>
      <w:outlineLvl w:val="0"/>
    </w:pPr>
    <w:rPr>
      <w:rFonts w:ascii="Times New Roman" w:eastAsia="Times New Roman" w:hAnsi="Times New Roman" w:cs="Times New Roman"/>
      <w:b/>
      <w:smallCaps/>
      <w:sz w:val="24"/>
      <w:szCs w:val="24"/>
    </w:rPr>
  </w:style>
  <w:style w:type="paragraph" w:customStyle="1" w:styleId="ManualHeading2">
    <w:name w:val="Manual Heading 2"/>
    <w:basedOn w:val="Normal"/>
    <w:next w:val="Text1"/>
    <w:pPr>
      <w:keepNext/>
      <w:tabs>
        <w:tab w:val="left" w:pos="850"/>
      </w:tabs>
      <w:spacing w:before="120" w:after="120" w:line="240" w:lineRule="auto"/>
      <w:ind w:left="850" w:hanging="850"/>
      <w:jc w:val="both"/>
      <w:outlineLvl w:val="1"/>
    </w:pPr>
    <w:rPr>
      <w:rFonts w:ascii="Times New Roman" w:eastAsia="Times New Roman" w:hAnsi="Times New Roman" w:cs="Times New Roman"/>
      <w:b/>
      <w:sz w:val="24"/>
      <w:szCs w:val="24"/>
    </w:rPr>
  </w:style>
  <w:style w:type="paragraph" w:customStyle="1" w:styleId="ManualHeading3">
    <w:name w:val="Manual Heading 3"/>
    <w:basedOn w:val="Normal"/>
    <w:next w:val="Text1"/>
    <w:pPr>
      <w:keepNext/>
      <w:tabs>
        <w:tab w:val="left" w:pos="850"/>
      </w:tabs>
      <w:spacing w:before="120" w:after="120" w:line="240" w:lineRule="auto"/>
      <w:ind w:left="850" w:hanging="850"/>
      <w:jc w:val="both"/>
      <w:outlineLvl w:val="2"/>
    </w:pPr>
    <w:rPr>
      <w:rFonts w:ascii="Times New Roman" w:eastAsia="Times New Roman" w:hAnsi="Times New Roman" w:cs="Times New Roman"/>
      <w:i/>
      <w:sz w:val="24"/>
      <w:szCs w:val="24"/>
    </w:rPr>
  </w:style>
  <w:style w:type="paragraph" w:customStyle="1" w:styleId="ManualHeading4">
    <w:name w:val="Manual Heading 4"/>
    <w:basedOn w:val="Normal"/>
    <w:next w:val="Text1"/>
    <w:pPr>
      <w:keepNext/>
      <w:tabs>
        <w:tab w:val="left" w:pos="850"/>
      </w:tabs>
      <w:spacing w:before="120" w:after="120" w:line="240" w:lineRule="auto"/>
      <w:ind w:left="850" w:hanging="850"/>
      <w:jc w:val="both"/>
      <w:outlineLvl w:val="3"/>
    </w:pPr>
    <w:rPr>
      <w:rFonts w:ascii="Times New Roman" w:eastAsia="Times New Roman" w:hAnsi="Times New Roman" w:cs="Times New Roman"/>
      <w:sz w:val="24"/>
      <w:szCs w:val="24"/>
    </w:rPr>
  </w:style>
  <w:style w:type="paragraph" w:customStyle="1" w:styleId="ChapterTitle">
    <w:name w:val="ChapterTitle"/>
    <w:basedOn w:val="Normal"/>
    <w:next w:val="Normal"/>
    <w:pPr>
      <w:keepNext/>
      <w:spacing w:before="120" w:after="360" w:line="240" w:lineRule="auto"/>
      <w:jc w:val="center"/>
    </w:pPr>
    <w:rPr>
      <w:rFonts w:ascii="Times New Roman" w:eastAsia="Times New Roman" w:hAnsi="Times New Roman" w:cs="Times New Roman"/>
      <w:b/>
      <w:sz w:val="32"/>
      <w:szCs w:val="24"/>
    </w:rPr>
  </w:style>
  <w:style w:type="paragraph" w:customStyle="1" w:styleId="PartTitle">
    <w:name w:val="PartTitle"/>
    <w:basedOn w:val="Normal"/>
    <w:next w:val="ChapterTitle"/>
    <w:pPr>
      <w:keepNext/>
      <w:pageBreakBefore/>
      <w:spacing w:before="120" w:after="360" w:line="240" w:lineRule="auto"/>
      <w:jc w:val="center"/>
    </w:pPr>
    <w:rPr>
      <w:rFonts w:ascii="Times New Roman" w:eastAsia="Times New Roman" w:hAnsi="Times New Roman" w:cs="Times New Roman"/>
      <w:b/>
      <w:sz w:val="36"/>
      <w:szCs w:val="24"/>
    </w:rPr>
  </w:style>
  <w:style w:type="paragraph" w:customStyle="1" w:styleId="SectionTitle">
    <w:name w:val="SectionTitle"/>
    <w:basedOn w:val="Normal"/>
    <w:next w:val="Heading1"/>
    <w:pPr>
      <w:keepNext/>
      <w:spacing w:before="120" w:after="360" w:line="240" w:lineRule="auto"/>
      <w:jc w:val="center"/>
    </w:pPr>
    <w:rPr>
      <w:rFonts w:ascii="Times New Roman" w:eastAsia="Times New Roman" w:hAnsi="Times New Roman" w:cs="Times New Roman"/>
      <w:b/>
      <w:smallCaps/>
      <w:sz w:val="28"/>
      <w:szCs w:val="24"/>
    </w:rPr>
  </w:style>
  <w:style w:type="paragraph" w:customStyle="1" w:styleId="TableTitle">
    <w:name w:val="Table Title"/>
    <w:basedOn w:val="Normal"/>
    <w:next w:val="Normal"/>
    <w:pPr>
      <w:spacing w:before="120" w:after="120" w:line="240" w:lineRule="auto"/>
      <w:jc w:val="center"/>
    </w:pPr>
    <w:rPr>
      <w:rFonts w:ascii="Times New Roman" w:eastAsia="Times New Roman" w:hAnsi="Times New Roman" w:cs="Times New Roman"/>
      <w:b/>
      <w:sz w:val="24"/>
      <w:szCs w:val="24"/>
    </w:rPr>
  </w:style>
  <w:style w:type="character" w:customStyle="1" w:styleId="Marker1">
    <w:name w:val="Marker1"/>
    <w:rPr>
      <w:color w:val="008000"/>
      <w:shd w:val="clear" w:color="auto" w:fill="auto"/>
    </w:rPr>
  </w:style>
  <w:style w:type="character" w:customStyle="1" w:styleId="Marker2">
    <w:name w:val="Marker2"/>
    <w:rPr>
      <w:color w:val="FF0000"/>
      <w:shd w:val="clear" w:color="auto" w:fill="auto"/>
    </w:rPr>
  </w:style>
  <w:style w:type="paragraph" w:styleId="TOCHeading">
    <w:name w:val="TOC Heading"/>
    <w:basedOn w:val="Normal"/>
    <w:next w:val="Normal"/>
    <w:uiPriority w:val="39"/>
    <w:qFormat/>
    <w:pPr>
      <w:spacing w:before="120" w:after="240" w:line="240" w:lineRule="auto"/>
      <w:jc w:val="center"/>
    </w:pPr>
    <w:rPr>
      <w:rFonts w:ascii="Times New Roman" w:eastAsia="Times New Roman" w:hAnsi="Times New Roman" w:cs="Times New Roman"/>
      <w:b/>
      <w:sz w:val="28"/>
      <w:szCs w:val="24"/>
    </w:rPr>
  </w:style>
  <w:style w:type="paragraph" w:customStyle="1" w:styleId="Point0number">
    <w:name w:val="Point 0 (number)"/>
    <w:basedOn w:val="Normal"/>
    <w:pPr>
      <w:numPr>
        <w:numId w:val="9"/>
      </w:numPr>
      <w:spacing w:before="120" w:after="120" w:line="240" w:lineRule="auto"/>
      <w:jc w:val="both"/>
    </w:pPr>
    <w:rPr>
      <w:rFonts w:ascii="Times New Roman" w:eastAsia="Times New Roman" w:hAnsi="Times New Roman" w:cs="Times New Roman"/>
      <w:sz w:val="24"/>
      <w:szCs w:val="24"/>
    </w:rPr>
  </w:style>
  <w:style w:type="paragraph" w:customStyle="1" w:styleId="Point1number">
    <w:name w:val="Point 1 (number)"/>
    <w:basedOn w:val="Normal"/>
    <w:pPr>
      <w:numPr>
        <w:ilvl w:val="2"/>
        <w:numId w:val="9"/>
      </w:numPr>
      <w:spacing w:before="120" w:after="120" w:line="240" w:lineRule="auto"/>
      <w:jc w:val="both"/>
    </w:pPr>
    <w:rPr>
      <w:rFonts w:ascii="Times New Roman" w:eastAsia="Times New Roman" w:hAnsi="Times New Roman" w:cs="Times New Roman"/>
      <w:sz w:val="24"/>
      <w:szCs w:val="24"/>
    </w:rPr>
  </w:style>
  <w:style w:type="paragraph" w:customStyle="1" w:styleId="Point2number">
    <w:name w:val="Point 2 (number)"/>
    <w:basedOn w:val="Normal"/>
    <w:pPr>
      <w:numPr>
        <w:ilvl w:val="4"/>
        <w:numId w:val="9"/>
      </w:numPr>
      <w:spacing w:before="120" w:after="120" w:line="240" w:lineRule="auto"/>
      <w:jc w:val="both"/>
    </w:pPr>
    <w:rPr>
      <w:rFonts w:ascii="Times New Roman" w:eastAsia="Times New Roman" w:hAnsi="Times New Roman" w:cs="Times New Roman"/>
      <w:sz w:val="24"/>
      <w:szCs w:val="24"/>
    </w:rPr>
  </w:style>
  <w:style w:type="paragraph" w:customStyle="1" w:styleId="Point3number">
    <w:name w:val="Point 3 (number)"/>
    <w:basedOn w:val="Normal"/>
    <w:pPr>
      <w:numPr>
        <w:ilvl w:val="6"/>
        <w:numId w:val="9"/>
      </w:numPr>
      <w:spacing w:before="120" w:after="120" w:line="240" w:lineRule="auto"/>
      <w:jc w:val="both"/>
    </w:pPr>
    <w:rPr>
      <w:rFonts w:ascii="Times New Roman" w:eastAsia="Times New Roman" w:hAnsi="Times New Roman" w:cs="Times New Roman"/>
      <w:sz w:val="24"/>
      <w:szCs w:val="24"/>
    </w:rPr>
  </w:style>
  <w:style w:type="paragraph" w:customStyle="1" w:styleId="Point0letter">
    <w:name w:val="Point 0 (letter)"/>
    <w:basedOn w:val="Normal"/>
    <w:pPr>
      <w:numPr>
        <w:ilvl w:val="1"/>
        <w:numId w:val="9"/>
      </w:numPr>
      <w:spacing w:before="120" w:after="120" w:line="240" w:lineRule="auto"/>
      <w:jc w:val="both"/>
    </w:pPr>
    <w:rPr>
      <w:rFonts w:ascii="Times New Roman" w:eastAsia="Times New Roman" w:hAnsi="Times New Roman" w:cs="Times New Roman"/>
      <w:sz w:val="24"/>
      <w:szCs w:val="24"/>
    </w:rPr>
  </w:style>
  <w:style w:type="paragraph" w:customStyle="1" w:styleId="Point1letter">
    <w:name w:val="Point 1 (letter)"/>
    <w:basedOn w:val="Normal"/>
    <w:pPr>
      <w:numPr>
        <w:ilvl w:val="3"/>
        <w:numId w:val="9"/>
      </w:numPr>
      <w:spacing w:before="120" w:after="120" w:line="240" w:lineRule="auto"/>
      <w:jc w:val="both"/>
    </w:pPr>
    <w:rPr>
      <w:rFonts w:ascii="Times New Roman" w:eastAsia="Times New Roman" w:hAnsi="Times New Roman" w:cs="Times New Roman"/>
      <w:sz w:val="24"/>
      <w:szCs w:val="24"/>
    </w:rPr>
  </w:style>
  <w:style w:type="paragraph" w:customStyle="1" w:styleId="Point2letter">
    <w:name w:val="Point 2 (letter)"/>
    <w:basedOn w:val="Normal"/>
    <w:pPr>
      <w:numPr>
        <w:ilvl w:val="5"/>
        <w:numId w:val="9"/>
      </w:numPr>
      <w:spacing w:before="120" w:after="120" w:line="240" w:lineRule="auto"/>
      <w:jc w:val="both"/>
    </w:pPr>
    <w:rPr>
      <w:rFonts w:ascii="Times New Roman" w:eastAsia="Times New Roman" w:hAnsi="Times New Roman" w:cs="Times New Roman"/>
      <w:sz w:val="24"/>
      <w:szCs w:val="24"/>
    </w:rPr>
  </w:style>
  <w:style w:type="paragraph" w:customStyle="1" w:styleId="Point3letter">
    <w:name w:val="Point 3 (letter)"/>
    <w:basedOn w:val="Normal"/>
    <w:pPr>
      <w:numPr>
        <w:ilvl w:val="7"/>
        <w:numId w:val="9"/>
      </w:numPr>
      <w:spacing w:before="120" w:after="120" w:line="240" w:lineRule="auto"/>
      <w:jc w:val="both"/>
    </w:pPr>
    <w:rPr>
      <w:rFonts w:ascii="Times New Roman" w:eastAsia="Times New Roman" w:hAnsi="Times New Roman" w:cs="Times New Roman"/>
      <w:sz w:val="24"/>
      <w:szCs w:val="24"/>
    </w:rPr>
  </w:style>
  <w:style w:type="paragraph" w:customStyle="1" w:styleId="Point4letter">
    <w:name w:val="Point 4 (letter)"/>
    <w:basedOn w:val="Normal"/>
    <w:pPr>
      <w:numPr>
        <w:ilvl w:val="8"/>
        <w:numId w:val="9"/>
      </w:numPr>
      <w:spacing w:before="120" w:after="120" w:line="240" w:lineRule="auto"/>
      <w:jc w:val="both"/>
    </w:pPr>
    <w:rPr>
      <w:rFonts w:ascii="Times New Roman" w:eastAsia="Times New Roman" w:hAnsi="Times New Roman" w:cs="Times New Roman"/>
      <w:sz w:val="24"/>
      <w:szCs w:val="24"/>
    </w:rPr>
  </w:style>
  <w:style w:type="paragraph" w:customStyle="1" w:styleId="Bullet0">
    <w:name w:val="Bullet 0"/>
    <w:basedOn w:val="Normal"/>
    <w:pPr>
      <w:numPr>
        <w:numId w:val="10"/>
      </w:numPr>
      <w:spacing w:before="120" w:after="120" w:line="240" w:lineRule="auto"/>
      <w:jc w:val="both"/>
    </w:pPr>
    <w:rPr>
      <w:rFonts w:ascii="Times New Roman" w:eastAsia="Times New Roman" w:hAnsi="Times New Roman" w:cs="Times New Roman"/>
      <w:sz w:val="24"/>
      <w:szCs w:val="24"/>
    </w:rPr>
  </w:style>
  <w:style w:type="paragraph" w:customStyle="1" w:styleId="Bullet1">
    <w:name w:val="Bullet 1"/>
    <w:basedOn w:val="Normal"/>
    <w:pPr>
      <w:numPr>
        <w:numId w:val="11"/>
      </w:numPr>
      <w:spacing w:before="120" w:after="120" w:line="240" w:lineRule="auto"/>
      <w:jc w:val="both"/>
    </w:pPr>
    <w:rPr>
      <w:rFonts w:ascii="Times New Roman" w:eastAsia="Times New Roman" w:hAnsi="Times New Roman" w:cs="Times New Roman"/>
      <w:sz w:val="24"/>
      <w:szCs w:val="24"/>
    </w:rPr>
  </w:style>
  <w:style w:type="paragraph" w:customStyle="1" w:styleId="Bullet2">
    <w:name w:val="Bullet 2"/>
    <w:basedOn w:val="Normal"/>
    <w:pPr>
      <w:numPr>
        <w:numId w:val="12"/>
      </w:numPr>
      <w:spacing w:before="120" w:after="120" w:line="240" w:lineRule="auto"/>
      <w:jc w:val="both"/>
    </w:pPr>
    <w:rPr>
      <w:rFonts w:ascii="Times New Roman" w:eastAsia="Times New Roman" w:hAnsi="Times New Roman" w:cs="Times New Roman"/>
      <w:sz w:val="24"/>
      <w:szCs w:val="24"/>
    </w:rPr>
  </w:style>
  <w:style w:type="paragraph" w:customStyle="1" w:styleId="Bullet3">
    <w:name w:val="Bullet 3"/>
    <w:basedOn w:val="Normal"/>
    <w:pPr>
      <w:numPr>
        <w:numId w:val="13"/>
      </w:numPr>
      <w:spacing w:before="120" w:after="120" w:line="240" w:lineRule="auto"/>
      <w:jc w:val="both"/>
    </w:pPr>
    <w:rPr>
      <w:rFonts w:ascii="Times New Roman" w:eastAsia="Times New Roman" w:hAnsi="Times New Roman" w:cs="Times New Roman"/>
      <w:sz w:val="24"/>
      <w:szCs w:val="24"/>
    </w:rPr>
  </w:style>
  <w:style w:type="paragraph" w:customStyle="1" w:styleId="Bullet4">
    <w:name w:val="Bullet 4"/>
    <w:basedOn w:val="Normal"/>
    <w:pPr>
      <w:numPr>
        <w:numId w:val="14"/>
      </w:numPr>
      <w:spacing w:before="120" w:after="120" w:line="240" w:lineRule="auto"/>
      <w:jc w:val="both"/>
    </w:pPr>
    <w:rPr>
      <w:rFonts w:ascii="Times New Roman" w:eastAsia="Times New Roman" w:hAnsi="Times New Roman" w:cs="Times New Roman"/>
      <w:sz w:val="24"/>
      <w:szCs w:val="24"/>
    </w:rPr>
  </w:style>
  <w:style w:type="paragraph" w:customStyle="1" w:styleId="Annexetitreexpos">
    <w:name w:val="Annexe titre (exposé)"/>
    <w:basedOn w:val="Normal"/>
    <w:next w:val="Normal"/>
    <w:pPr>
      <w:spacing w:before="120" w:after="120" w:line="240" w:lineRule="auto"/>
      <w:jc w:val="center"/>
    </w:pPr>
    <w:rPr>
      <w:rFonts w:ascii="Times New Roman" w:eastAsia="Times New Roman" w:hAnsi="Times New Roman" w:cs="Times New Roman"/>
      <w:b/>
      <w:sz w:val="24"/>
      <w:szCs w:val="24"/>
      <w:u w:val="single"/>
    </w:rPr>
  </w:style>
  <w:style w:type="paragraph" w:customStyle="1" w:styleId="Annexetitre">
    <w:name w:val="Annexe titre"/>
    <w:basedOn w:val="Normal"/>
    <w:next w:val="Normal"/>
    <w:pPr>
      <w:spacing w:before="120" w:after="120" w:line="240" w:lineRule="auto"/>
      <w:jc w:val="center"/>
    </w:pPr>
    <w:rPr>
      <w:rFonts w:ascii="Times New Roman" w:eastAsia="Times New Roman" w:hAnsi="Times New Roman" w:cs="Times New Roman"/>
      <w:b/>
      <w:sz w:val="24"/>
      <w:szCs w:val="24"/>
      <w:u w:val="single"/>
    </w:rPr>
  </w:style>
  <w:style w:type="paragraph" w:customStyle="1" w:styleId="Annexetitrefichefinancire">
    <w:name w:val="Annexe titre (fiche financière)"/>
    <w:basedOn w:val="Normal"/>
    <w:next w:val="Normal"/>
    <w:pPr>
      <w:spacing w:before="120" w:after="120" w:line="240" w:lineRule="auto"/>
      <w:jc w:val="center"/>
    </w:pPr>
    <w:rPr>
      <w:rFonts w:ascii="Times New Roman" w:eastAsia="Times New Roman" w:hAnsi="Times New Roman" w:cs="Times New Roman"/>
      <w:b/>
      <w:sz w:val="24"/>
      <w:szCs w:val="24"/>
      <w:u w:val="single"/>
    </w:rPr>
  </w:style>
  <w:style w:type="paragraph" w:customStyle="1" w:styleId="Applicationdirecte">
    <w:name w:val="Application directe"/>
    <w:basedOn w:val="Normal"/>
    <w:next w:val="Fait"/>
    <w:pPr>
      <w:spacing w:before="480" w:after="120" w:line="240" w:lineRule="auto"/>
      <w:jc w:val="both"/>
    </w:pPr>
    <w:rPr>
      <w:rFonts w:ascii="Times New Roman" w:eastAsia="Times New Roman" w:hAnsi="Times New Roman" w:cs="Times New Roman"/>
      <w:sz w:val="24"/>
      <w:szCs w:val="24"/>
    </w:rPr>
  </w:style>
  <w:style w:type="paragraph" w:customStyle="1" w:styleId="Avertissementtitre">
    <w:name w:val="Avertissement titre"/>
    <w:basedOn w:val="Normal"/>
    <w:next w:val="Normal"/>
    <w:pPr>
      <w:keepNext/>
      <w:spacing w:before="480" w:after="120" w:line="240" w:lineRule="auto"/>
      <w:jc w:val="both"/>
    </w:pPr>
    <w:rPr>
      <w:rFonts w:ascii="Times New Roman" w:eastAsia="Times New Roman" w:hAnsi="Times New Roman" w:cs="Times New Roman"/>
      <w:sz w:val="24"/>
      <w:szCs w:val="24"/>
      <w:u w:val="single"/>
    </w:rPr>
  </w:style>
  <w:style w:type="paragraph" w:customStyle="1" w:styleId="Confidence">
    <w:name w:val="Confidence"/>
    <w:basedOn w:val="Normal"/>
    <w:next w:val="Normal"/>
    <w:pPr>
      <w:spacing w:before="360" w:after="120" w:line="240" w:lineRule="auto"/>
      <w:jc w:val="center"/>
    </w:pPr>
    <w:rPr>
      <w:rFonts w:ascii="Times New Roman" w:eastAsia="Times New Roman" w:hAnsi="Times New Roman" w:cs="Times New Roman"/>
      <w:sz w:val="24"/>
      <w:szCs w:val="24"/>
    </w:rPr>
  </w:style>
  <w:style w:type="paragraph" w:customStyle="1" w:styleId="Confidentialit">
    <w:name w:val="Confidentialité"/>
    <w:basedOn w:val="Normal"/>
    <w:next w:val="TypedudocumentPagedecouverture"/>
    <w:pPr>
      <w:spacing w:before="240" w:after="240" w:line="240" w:lineRule="auto"/>
      <w:ind w:left="5103"/>
      <w:jc w:val="both"/>
    </w:pPr>
    <w:rPr>
      <w:rFonts w:ascii="Times New Roman" w:eastAsia="Times New Roman" w:hAnsi="Times New Roman" w:cs="Times New Roman"/>
      <w:i/>
      <w:sz w:val="32"/>
      <w:szCs w:val="24"/>
    </w:rPr>
  </w:style>
  <w:style w:type="paragraph" w:customStyle="1" w:styleId="Considrant">
    <w:name w:val="Considérant"/>
    <w:basedOn w:val="Normal"/>
    <w:pPr>
      <w:numPr>
        <w:numId w:val="15"/>
      </w:numPr>
      <w:spacing w:before="120" w:after="120" w:line="240" w:lineRule="auto"/>
      <w:jc w:val="both"/>
    </w:pPr>
    <w:rPr>
      <w:rFonts w:ascii="Times New Roman" w:eastAsia="Times New Roman" w:hAnsi="Times New Roman" w:cs="Times New Roman"/>
      <w:sz w:val="24"/>
      <w:szCs w:val="24"/>
    </w:rPr>
  </w:style>
  <w:style w:type="paragraph" w:customStyle="1" w:styleId="Corrigendum">
    <w:name w:val="Corrigendum"/>
    <w:basedOn w:val="Normal"/>
    <w:next w:val="Normal"/>
    <w:pPr>
      <w:spacing w:after="240" w:line="240" w:lineRule="auto"/>
    </w:pPr>
    <w:rPr>
      <w:rFonts w:ascii="Times New Roman" w:eastAsia="Times New Roman" w:hAnsi="Times New Roman" w:cs="Times New Roman"/>
      <w:sz w:val="24"/>
      <w:szCs w:val="24"/>
    </w:rPr>
  </w:style>
  <w:style w:type="paragraph" w:customStyle="1" w:styleId="Datedadoption">
    <w:name w:val="Date d'adoption"/>
    <w:basedOn w:val="Normal"/>
    <w:next w:val="Titreobjet"/>
    <w:pPr>
      <w:spacing w:before="360" w:after="0" w:line="240" w:lineRule="auto"/>
      <w:jc w:val="center"/>
    </w:pPr>
    <w:rPr>
      <w:rFonts w:ascii="Times New Roman" w:eastAsia="Times New Roman" w:hAnsi="Times New Roman" w:cs="Times New Roman"/>
      <w:b/>
      <w:sz w:val="24"/>
      <w:szCs w:val="24"/>
    </w:rPr>
  </w:style>
  <w:style w:type="paragraph" w:customStyle="1" w:styleId="Emission">
    <w:name w:val="Emission"/>
    <w:basedOn w:val="Normal"/>
    <w:next w:val="Rfrenceinstitutionnelle"/>
    <w:pPr>
      <w:spacing w:after="0" w:line="240" w:lineRule="auto"/>
      <w:ind w:left="5103"/>
    </w:pPr>
    <w:rPr>
      <w:rFonts w:ascii="Times New Roman" w:eastAsia="Times New Roman" w:hAnsi="Times New Roman" w:cs="Times New Roman"/>
      <w:sz w:val="24"/>
      <w:szCs w:val="24"/>
    </w:rPr>
  </w:style>
  <w:style w:type="paragraph" w:customStyle="1" w:styleId="Exposdesmotifstitre">
    <w:name w:val="Exposé des motifs titre"/>
    <w:basedOn w:val="Normal"/>
    <w:next w:val="Normal"/>
    <w:pPr>
      <w:spacing w:before="120" w:after="120" w:line="240" w:lineRule="auto"/>
      <w:jc w:val="center"/>
    </w:pPr>
    <w:rPr>
      <w:rFonts w:ascii="Times New Roman" w:eastAsia="Times New Roman" w:hAnsi="Times New Roman" w:cs="Times New Roman"/>
      <w:b/>
      <w:sz w:val="24"/>
      <w:szCs w:val="24"/>
      <w:u w:val="single"/>
    </w:rPr>
  </w:style>
  <w:style w:type="paragraph" w:customStyle="1" w:styleId="Fait">
    <w:name w:val="Fait à"/>
    <w:basedOn w:val="Normal"/>
    <w:next w:val="Institutionquisigne"/>
    <w:pPr>
      <w:keepNext/>
      <w:spacing w:before="120" w:after="0" w:line="240" w:lineRule="auto"/>
      <w:jc w:val="both"/>
    </w:pPr>
    <w:rPr>
      <w:rFonts w:ascii="Times New Roman" w:eastAsia="Times New Roman" w:hAnsi="Times New Roman" w:cs="Times New Roman"/>
      <w:sz w:val="24"/>
      <w:szCs w:val="24"/>
    </w:rPr>
  </w:style>
  <w:style w:type="paragraph" w:customStyle="1" w:styleId="Formuledadoption">
    <w:name w:val="Formule d'adoption"/>
    <w:basedOn w:val="Normal"/>
    <w:next w:val="Titrearticle"/>
    <w:pPr>
      <w:keepNext/>
      <w:spacing w:before="120" w:after="120" w:line="240" w:lineRule="auto"/>
      <w:jc w:val="both"/>
    </w:pPr>
    <w:rPr>
      <w:rFonts w:ascii="Times New Roman" w:eastAsia="Times New Roman" w:hAnsi="Times New Roman" w:cs="Times New Roman"/>
      <w:sz w:val="24"/>
      <w:szCs w:val="24"/>
    </w:rPr>
  </w:style>
  <w:style w:type="paragraph" w:customStyle="1" w:styleId="Institutionquiagit">
    <w:name w:val="Institution qui agit"/>
    <w:basedOn w:val="Normal"/>
    <w:next w:val="Normal"/>
    <w:pPr>
      <w:keepNext/>
      <w:spacing w:before="600" w:after="120" w:line="240" w:lineRule="auto"/>
      <w:jc w:val="both"/>
    </w:pPr>
    <w:rPr>
      <w:rFonts w:ascii="Times New Roman" w:eastAsia="Times New Roman" w:hAnsi="Times New Roman" w:cs="Times New Roman"/>
      <w:sz w:val="24"/>
      <w:szCs w:val="24"/>
    </w:rPr>
  </w:style>
  <w:style w:type="paragraph" w:customStyle="1" w:styleId="Institutionquisigne">
    <w:name w:val="Institution qui signe"/>
    <w:basedOn w:val="Normal"/>
    <w:next w:val="Personnequisigne"/>
    <w:pPr>
      <w:keepNext/>
      <w:tabs>
        <w:tab w:val="left" w:pos="4252"/>
      </w:tabs>
      <w:spacing w:before="720" w:after="0" w:line="240" w:lineRule="auto"/>
      <w:jc w:val="both"/>
    </w:pPr>
    <w:rPr>
      <w:rFonts w:ascii="Times New Roman" w:eastAsia="Times New Roman" w:hAnsi="Times New Roman" w:cs="Times New Roman"/>
      <w:i/>
      <w:sz w:val="24"/>
      <w:szCs w:val="24"/>
    </w:rPr>
  </w:style>
  <w:style w:type="paragraph" w:customStyle="1" w:styleId="Langue">
    <w:name w:val="Langue"/>
    <w:basedOn w:val="Normal"/>
    <w:next w:val="Rfrenceinterne"/>
    <w:pPr>
      <w:framePr w:wrap="around" w:vAnchor="page" w:hAnchor="text" w:xAlign="center" w:y="14741"/>
      <w:spacing w:after="600" w:line="240" w:lineRule="auto"/>
      <w:jc w:val="center"/>
    </w:pPr>
    <w:rPr>
      <w:rFonts w:ascii="Times New Roman" w:eastAsia="Times New Roman" w:hAnsi="Times New Roman" w:cs="Times New Roman"/>
      <w:b/>
      <w:caps/>
      <w:sz w:val="24"/>
      <w:szCs w:val="24"/>
    </w:rPr>
  </w:style>
  <w:style w:type="paragraph" w:customStyle="1" w:styleId="ManualConsidrant">
    <w:name w:val="Manual Considérant"/>
    <w:basedOn w:val="Normal"/>
    <w:pPr>
      <w:spacing w:before="120" w:after="120" w:line="240" w:lineRule="auto"/>
      <w:ind w:left="709" w:hanging="709"/>
      <w:jc w:val="both"/>
    </w:pPr>
    <w:rPr>
      <w:rFonts w:ascii="Times New Roman" w:eastAsia="Times New Roman" w:hAnsi="Times New Roman" w:cs="Times New Roman"/>
      <w:sz w:val="24"/>
      <w:szCs w:val="24"/>
    </w:rPr>
  </w:style>
  <w:style w:type="paragraph" w:customStyle="1" w:styleId="Nomdelinstitution">
    <w:name w:val="Nom de l'institution"/>
    <w:basedOn w:val="Normal"/>
    <w:next w:val="Emission"/>
    <w:pPr>
      <w:spacing w:after="0" w:line="240" w:lineRule="auto"/>
    </w:pPr>
    <w:rPr>
      <w:rFonts w:ascii="Arial" w:eastAsia="Times New Roman" w:hAnsi="Arial" w:cs="Arial"/>
      <w:sz w:val="24"/>
      <w:szCs w:val="24"/>
    </w:rPr>
  </w:style>
  <w:style w:type="paragraph" w:customStyle="1" w:styleId="Personnequisigne">
    <w:name w:val="Personne qui signe"/>
    <w:basedOn w:val="Normal"/>
    <w:next w:val="Institutionquisigne"/>
    <w:pPr>
      <w:tabs>
        <w:tab w:val="left" w:pos="4252"/>
      </w:tabs>
      <w:spacing w:after="0" w:line="240" w:lineRule="auto"/>
    </w:pPr>
    <w:rPr>
      <w:rFonts w:ascii="Times New Roman" w:eastAsia="Times New Roman" w:hAnsi="Times New Roman" w:cs="Times New Roman"/>
      <w:i/>
      <w:sz w:val="24"/>
      <w:szCs w:val="24"/>
    </w:rPr>
  </w:style>
  <w:style w:type="paragraph" w:customStyle="1" w:styleId="Rfrenceinstitutionnelle">
    <w:name w:val="Référence institutionnelle"/>
    <w:basedOn w:val="Normal"/>
    <w:next w:val="Confidentialit"/>
    <w:pPr>
      <w:spacing w:after="240" w:line="240" w:lineRule="auto"/>
      <w:ind w:left="5103"/>
    </w:pPr>
    <w:rPr>
      <w:rFonts w:ascii="Times New Roman" w:eastAsia="Times New Roman" w:hAnsi="Times New Roman" w:cs="Times New Roman"/>
      <w:sz w:val="24"/>
      <w:szCs w:val="24"/>
    </w:rPr>
  </w:style>
  <w:style w:type="paragraph" w:customStyle="1" w:styleId="Rfrenceinterinstitutionnelle">
    <w:name w:val="Référence interinstitutionnelle"/>
    <w:basedOn w:val="Normal"/>
    <w:next w:val="Statut"/>
    <w:pPr>
      <w:spacing w:after="0" w:line="240" w:lineRule="auto"/>
      <w:ind w:left="5103"/>
    </w:pPr>
    <w:rPr>
      <w:rFonts w:ascii="Times New Roman" w:eastAsia="Times New Roman" w:hAnsi="Times New Roman" w:cs="Times New Roman"/>
      <w:sz w:val="24"/>
      <w:szCs w:val="24"/>
    </w:rPr>
  </w:style>
  <w:style w:type="paragraph" w:customStyle="1" w:styleId="Rfrenceinterne">
    <w:name w:val="Référence interne"/>
    <w:basedOn w:val="Normal"/>
    <w:next w:val="Rfrenceinterinstitutionnelle"/>
    <w:pPr>
      <w:spacing w:after="0" w:line="240" w:lineRule="auto"/>
      <w:ind w:left="5103"/>
    </w:pPr>
    <w:rPr>
      <w:rFonts w:ascii="Times New Roman" w:eastAsia="Times New Roman" w:hAnsi="Times New Roman" w:cs="Times New Roman"/>
      <w:sz w:val="24"/>
      <w:szCs w:val="24"/>
    </w:rPr>
  </w:style>
  <w:style w:type="paragraph" w:customStyle="1" w:styleId="Sous-titreobjet">
    <w:name w:val="Sous-titre objet"/>
    <w:basedOn w:val="Normal"/>
    <w:pPr>
      <w:spacing w:after="0" w:line="240" w:lineRule="auto"/>
      <w:jc w:val="center"/>
    </w:pPr>
    <w:rPr>
      <w:rFonts w:ascii="Times New Roman" w:eastAsia="Times New Roman" w:hAnsi="Times New Roman" w:cs="Times New Roman"/>
      <w:b/>
      <w:sz w:val="24"/>
      <w:szCs w:val="24"/>
    </w:rPr>
  </w:style>
  <w:style w:type="paragraph" w:customStyle="1" w:styleId="Statut">
    <w:name w:val="Statut"/>
    <w:basedOn w:val="Normal"/>
    <w:next w:val="Typedudocument"/>
    <w:pPr>
      <w:spacing w:before="360" w:after="0" w:line="240" w:lineRule="auto"/>
      <w:jc w:val="center"/>
    </w:pPr>
    <w:rPr>
      <w:rFonts w:ascii="Times New Roman" w:eastAsia="Times New Roman" w:hAnsi="Times New Roman" w:cs="Times New Roman"/>
      <w:sz w:val="24"/>
      <w:szCs w:val="24"/>
    </w:rPr>
  </w:style>
  <w:style w:type="paragraph" w:customStyle="1" w:styleId="Titrearticle">
    <w:name w:val="Titre article"/>
    <w:basedOn w:val="Normal"/>
    <w:next w:val="Normal"/>
    <w:pPr>
      <w:keepNext/>
      <w:spacing w:before="360" w:after="120" w:line="240" w:lineRule="auto"/>
      <w:jc w:val="center"/>
    </w:pPr>
    <w:rPr>
      <w:rFonts w:ascii="Times New Roman" w:eastAsia="Times New Roman" w:hAnsi="Times New Roman" w:cs="Times New Roman"/>
      <w:i/>
      <w:sz w:val="24"/>
      <w:szCs w:val="24"/>
    </w:rPr>
  </w:style>
  <w:style w:type="paragraph" w:customStyle="1" w:styleId="Titreobjet">
    <w:name w:val="Titre objet"/>
    <w:basedOn w:val="Normal"/>
    <w:next w:val="Sous-titreobjet"/>
    <w:pPr>
      <w:spacing w:before="360" w:after="360" w:line="240" w:lineRule="auto"/>
      <w:jc w:val="center"/>
    </w:pPr>
    <w:rPr>
      <w:rFonts w:ascii="Times New Roman" w:eastAsia="Times New Roman" w:hAnsi="Times New Roman" w:cs="Times New Roman"/>
      <w:b/>
      <w:sz w:val="24"/>
      <w:szCs w:val="24"/>
    </w:rPr>
  </w:style>
  <w:style w:type="paragraph" w:customStyle="1" w:styleId="Typedudocument">
    <w:name w:val="Type du document"/>
    <w:basedOn w:val="Normal"/>
    <w:next w:val="Titreobjet"/>
    <w:pPr>
      <w:spacing w:before="360" w:after="0" w:line="240" w:lineRule="auto"/>
      <w:jc w:val="center"/>
    </w:pPr>
    <w:rPr>
      <w:rFonts w:ascii="Times New Roman" w:eastAsia="Times New Roman" w:hAnsi="Times New Roman" w:cs="Times New Roman"/>
      <w:b/>
      <w:sz w:val="24"/>
      <w:szCs w:val="24"/>
    </w:rPr>
  </w:style>
  <w:style w:type="character" w:customStyle="1" w:styleId="Added">
    <w:name w:val="Added"/>
    <w:rPr>
      <w:b/>
      <w:u w:val="single"/>
      <w:shd w:val="clear" w:color="auto" w:fill="auto"/>
    </w:rPr>
  </w:style>
  <w:style w:type="character" w:customStyle="1" w:styleId="Deleted">
    <w:name w:val="Deleted"/>
    <w:rPr>
      <w:strike/>
      <w:shd w:val="clear" w:color="auto" w:fill="auto"/>
    </w:rPr>
  </w:style>
  <w:style w:type="paragraph" w:customStyle="1" w:styleId="Address">
    <w:name w:val="Address"/>
    <w:basedOn w:val="Normal"/>
    <w:next w:val="Normal"/>
    <w:pPr>
      <w:keepLines/>
      <w:spacing w:before="120" w:after="120" w:line="360" w:lineRule="auto"/>
      <w:ind w:left="3402"/>
    </w:pPr>
    <w:rPr>
      <w:rFonts w:ascii="Times New Roman" w:eastAsia="Times New Roman" w:hAnsi="Times New Roman" w:cs="Times New Roman"/>
      <w:sz w:val="24"/>
      <w:szCs w:val="24"/>
    </w:rPr>
  </w:style>
  <w:style w:type="paragraph" w:customStyle="1" w:styleId="Objetexterne">
    <w:name w:val="Objet externe"/>
    <w:basedOn w:val="Normal"/>
    <w:next w:val="Normal"/>
    <w:pPr>
      <w:spacing w:before="120" w:after="120" w:line="240" w:lineRule="auto"/>
      <w:jc w:val="both"/>
    </w:pPr>
    <w:rPr>
      <w:rFonts w:ascii="Times New Roman" w:eastAsia="Times New Roman" w:hAnsi="Times New Roman" w:cs="Times New Roman"/>
      <w:i/>
      <w:caps/>
      <w:sz w:val="24"/>
      <w:szCs w:val="24"/>
    </w:rPr>
  </w:style>
  <w:style w:type="paragraph" w:customStyle="1" w:styleId="Supertitre">
    <w:name w:val="Supertitre"/>
    <w:basedOn w:val="Normal"/>
    <w:next w:val="Normal"/>
    <w:pPr>
      <w:spacing w:after="600" w:line="240" w:lineRule="auto"/>
      <w:jc w:val="center"/>
    </w:pPr>
    <w:rPr>
      <w:rFonts w:ascii="Times New Roman" w:eastAsia="Times New Roman" w:hAnsi="Times New Roman" w:cs="Times New Roman"/>
      <w:b/>
      <w:sz w:val="24"/>
      <w:szCs w:val="24"/>
    </w:rPr>
  </w:style>
  <w:style w:type="paragraph" w:customStyle="1" w:styleId="Languesfaisantfoi">
    <w:name w:val="Langues faisant foi"/>
    <w:basedOn w:val="Normal"/>
    <w:next w:val="Normal"/>
    <w:pPr>
      <w:spacing w:before="360" w:after="0" w:line="240" w:lineRule="auto"/>
      <w:jc w:val="center"/>
    </w:pPr>
    <w:rPr>
      <w:rFonts w:ascii="Times New Roman" w:eastAsia="Times New Roman" w:hAnsi="Times New Roman" w:cs="Times New Roman"/>
      <w:sz w:val="24"/>
      <w:szCs w:val="24"/>
    </w:rPr>
  </w:style>
  <w:style w:type="paragraph" w:customStyle="1" w:styleId="Rfrencecroise">
    <w:name w:val="Référence croisée"/>
    <w:basedOn w:val="Normal"/>
    <w:pPr>
      <w:spacing w:after="0" w:line="240" w:lineRule="auto"/>
      <w:jc w:val="center"/>
    </w:pPr>
    <w:rPr>
      <w:rFonts w:ascii="Times New Roman" w:eastAsia="Times New Roman" w:hAnsi="Times New Roman" w:cs="Times New Roman"/>
      <w:sz w:val="24"/>
      <w:szCs w:val="24"/>
    </w:rPr>
  </w:style>
  <w:style w:type="paragraph" w:customStyle="1" w:styleId="Fichefinanciretitre">
    <w:name w:val="Fiche financière titre"/>
    <w:basedOn w:val="Normal"/>
    <w:next w:val="Normal"/>
    <w:pPr>
      <w:spacing w:before="120" w:after="120" w:line="240" w:lineRule="auto"/>
      <w:jc w:val="center"/>
    </w:pPr>
    <w:rPr>
      <w:rFonts w:ascii="Times New Roman" w:eastAsia="Times New Roman" w:hAnsi="Times New Roman" w:cs="Times New Roman"/>
      <w:b/>
      <w:sz w:val="24"/>
      <w:szCs w:val="24"/>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after="240" w:line="240" w:lineRule="auto"/>
      <w:ind w:left="5103"/>
    </w:pPr>
    <w:rPr>
      <w:rFonts w:ascii="Times New Roman" w:eastAsia="Times New Roman" w:hAnsi="Times New Roman" w:cs="Times New Roman"/>
      <w:sz w:val="24"/>
      <w:szCs w:val="24"/>
    </w:r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after="240" w:line="240" w:lineRule="auto"/>
      <w:jc w:val="center"/>
    </w:pPr>
    <w:rPr>
      <w:rFonts w:ascii="Times New Roman" w:eastAsia="Times New Roman" w:hAnsi="Times New Roman" w:cs="Times New Roman"/>
      <w:b/>
      <w:i/>
      <w:sz w:val="24"/>
      <w:szCs w:val="24"/>
    </w:rPr>
  </w:style>
  <w:style w:type="paragraph" w:customStyle="1" w:styleId="Typeacteprincipal">
    <w:name w:val="Type acte principal"/>
    <w:basedOn w:val="Normal"/>
    <w:next w:val="Objetacteprincipal"/>
    <w:pPr>
      <w:spacing w:after="240" w:line="240" w:lineRule="auto"/>
      <w:jc w:val="center"/>
    </w:pPr>
    <w:rPr>
      <w:rFonts w:ascii="Times New Roman" w:eastAsia="Times New Roman" w:hAnsi="Times New Roman" w:cs="Times New Roman"/>
      <w:b/>
      <w:sz w:val="24"/>
      <w:szCs w:val="24"/>
    </w:rPr>
  </w:style>
  <w:style w:type="paragraph" w:customStyle="1" w:styleId="Objetacteprincipal">
    <w:name w:val="Objet acte principal"/>
    <w:basedOn w:val="Normal"/>
    <w:next w:val="Titrearticle"/>
    <w:pPr>
      <w:spacing w:after="360" w:line="240" w:lineRule="auto"/>
      <w:jc w:val="center"/>
    </w:pPr>
    <w:rPr>
      <w:rFonts w:ascii="Times New Roman" w:eastAsia="Times New Roman" w:hAnsi="Times New Roman" w:cs="Times New Roman"/>
      <w:b/>
      <w:sz w:val="24"/>
      <w:szCs w:val="24"/>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line="240" w:lineRule="auto"/>
      <w:jc w:val="center"/>
    </w:pPr>
    <w:rPr>
      <w:rFonts w:ascii="Times New Roman" w:eastAsia="Times New Roman" w:hAnsi="Times New Roman" w:cs="Times New Roman"/>
      <w:sz w:val="24"/>
      <w:szCs w:val="24"/>
    </w:rPr>
  </w:style>
  <w:style w:type="paragraph" w:styleId="ListBullet3">
    <w:name w:val="List Bullet 3"/>
    <w:basedOn w:val="Text3"/>
    <w:pPr>
      <w:numPr>
        <w:numId w:val="18"/>
      </w:numPr>
      <w:spacing w:before="0" w:after="240"/>
    </w:pPr>
    <w:rPr>
      <w:szCs w:val="20"/>
    </w:rPr>
  </w:style>
  <w:style w:type="paragraph" w:customStyle="1" w:styleId="ListBullet1">
    <w:name w:val="List Bullet 1"/>
    <w:basedOn w:val="Text1"/>
    <w:pPr>
      <w:numPr>
        <w:numId w:val="17"/>
      </w:numPr>
      <w:spacing w:before="0" w:after="240"/>
    </w:pPr>
    <w:rPr>
      <w:szCs w:val="20"/>
    </w:rPr>
  </w:style>
  <w:style w:type="paragraph" w:customStyle="1" w:styleId="ListDash">
    <w:name w:val="List Dash"/>
    <w:basedOn w:val="Normal"/>
    <w:pPr>
      <w:numPr>
        <w:numId w:val="19"/>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Text1"/>
    <w:pPr>
      <w:numPr>
        <w:numId w:val="20"/>
      </w:numPr>
      <w:spacing w:before="0" w:after="240"/>
    </w:pPr>
    <w:rPr>
      <w:szCs w:val="20"/>
    </w:rPr>
  </w:style>
  <w:style w:type="paragraph" w:customStyle="1" w:styleId="ListDash3">
    <w:name w:val="List Dash 3"/>
    <w:basedOn w:val="Text3"/>
    <w:pPr>
      <w:numPr>
        <w:numId w:val="21"/>
      </w:numPr>
      <w:spacing w:before="0" w:after="240"/>
    </w:pPr>
    <w:rPr>
      <w:szCs w:val="20"/>
    </w:rPr>
  </w:style>
  <w:style w:type="paragraph" w:customStyle="1" w:styleId="ListNumber1">
    <w:name w:val="List Number 1"/>
    <w:basedOn w:val="Text1"/>
    <w:pPr>
      <w:numPr>
        <w:ilvl w:val="2"/>
        <w:numId w:val="22"/>
      </w:numPr>
      <w:tabs>
        <w:tab w:val="clear" w:pos="2608"/>
        <w:tab w:val="num" w:pos="1191"/>
      </w:tabs>
      <w:spacing w:before="0" w:after="240"/>
      <w:ind w:left="1191"/>
    </w:pPr>
    <w:rPr>
      <w:szCs w:val="20"/>
    </w:rPr>
  </w:style>
  <w:style w:type="paragraph" w:customStyle="1" w:styleId="ListNumber1Level2">
    <w:name w:val="List Number 1 (Level 2)"/>
    <w:basedOn w:val="Text1"/>
    <w:pPr>
      <w:numPr>
        <w:ilvl w:val="3"/>
        <w:numId w:val="22"/>
      </w:numPr>
      <w:tabs>
        <w:tab w:val="clear" w:pos="3317"/>
        <w:tab w:val="num" w:pos="1899"/>
      </w:tabs>
      <w:spacing w:before="0" w:after="240"/>
      <w:ind w:left="1899" w:hanging="708"/>
    </w:pPr>
    <w:rPr>
      <w:szCs w:val="20"/>
    </w:rPr>
  </w:style>
  <w:style w:type="character" w:styleId="Hyperlink">
    <w:name w:val="Hyperlink"/>
    <w:uiPriority w:val="99"/>
    <w:unhideWhenUsed/>
    <w:rPr>
      <w:color w:val="0000FF"/>
      <w:u w:val="single"/>
    </w:rPr>
  </w:style>
  <w:style w:type="numbering" w:customStyle="1" w:styleId="NoList11">
    <w:name w:val="No List11"/>
    <w:next w:val="NoList"/>
    <w:uiPriority w:val="99"/>
    <w:semiHidden/>
  </w:style>
  <w:style w:type="paragraph" w:customStyle="1" w:styleId="AddressTL">
    <w:name w:val="AddressTL"/>
    <w:basedOn w:val="Normal"/>
    <w:next w:val="Normal"/>
    <w:pPr>
      <w:spacing w:after="720" w:line="240" w:lineRule="auto"/>
    </w:pPr>
    <w:rPr>
      <w:rFonts w:ascii="Times New Roman" w:eastAsia="Times New Roman" w:hAnsi="Times New Roman" w:cs="Times New Roman"/>
      <w:sz w:val="24"/>
      <w:szCs w:val="20"/>
    </w:rPr>
  </w:style>
  <w:style w:type="paragraph" w:customStyle="1" w:styleId="AddressTR">
    <w:name w:val="AddressTR"/>
    <w:basedOn w:val="Normal"/>
    <w:next w:val="Normal"/>
    <w:pPr>
      <w:spacing w:after="720" w:line="240" w:lineRule="auto"/>
      <w:ind w:left="5103"/>
    </w:pPr>
    <w:rPr>
      <w:rFonts w:ascii="Times New Roman" w:eastAsia="Times New Roman" w:hAnsi="Times New Roman" w:cs="Times New Roman"/>
      <w:sz w:val="24"/>
      <w:szCs w:val="20"/>
    </w:rPr>
  </w:style>
  <w:style w:type="paragraph" w:styleId="BlockText">
    <w:name w:val="Block Text"/>
    <w:basedOn w:val="Normal"/>
    <w:pPr>
      <w:spacing w:after="120" w:line="240" w:lineRule="auto"/>
      <w:ind w:left="1440" w:right="1440"/>
      <w:jc w:val="both"/>
    </w:pPr>
    <w:rPr>
      <w:rFonts w:ascii="Times New Roman" w:eastAsia="Times New Roman" w:hAnsi="Times New Roman" w:cs="Times New Roman"/>
      <w:sz w:val="24"/>
      <w:szCs w:val="20"/>
    </w:rPr>
  </w:style>
  <w:style w:type="paragraph" w:styleId="BodyText">
    <w:name w:val="Body Text"/>
    <w:basedOn w:val="Normal"/>
    <w:link w:val="BodyTextChar"/>
    <w:pPr>
      <w:spacing w:after="12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Pr>
      <w:rFonts w:ascii="Times New Roman" w:eastAsia="Times New Roman" w:hAnsi="Times New Roman" w:cs="Times New Roman"/>
      <w:sz w:val="24"/>
      <w:szCs w:val="20"/>
    </w:rPr>
  </w:style>
  <w:style w:type="paragraph" w:styleId="BodyText2">
    <w:name w:val="Body Text 2"/>
    <w:basedOn w:val="Normal"/>
    <w:link w:val="BodyText2Char"/>
    <w:pPr>
      <w:spacing w:after="120" w:line="480" w:lineRule="auto"/>
      <w:jc w:val="both"/>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Pr>
      <w:rFonts w:ascii="Times New Roman" w:eastAsia="Times New Roman" w:hAnsi="Times New Roman" w:cs="Times New Roman"/>
      <w:sz w:val="24"/>
      <w:szCs w:val="20"/>
    </w:rPr>
  </w:style>
  <w:style w:type="paragraph" w:styleId="BodyText3">
    <w:name w:val="Body Text 3"/>
    <w:basedOn w:val="Normal"/>
    <w:link w:val="BodyText3Char"/>
    <w:pPr>
      <w:spacing w:after="120" w:line="240" w:lineRule="auto"/>
      <w:jc w:val="both"/>
    </w:pPr>
    <w:rPr>
      <w:rFonts w:ascii="Times New Roman" w:eastAsia="Times New Roman" w:hAnsi="Times New Roman" w:cs="Times New Roman"/>
      <w:sz w:val="16"/>
      <w:szCs w:val="20"/>
    </w:rPr>
  </w:style>
  <w:style w:type="character" w:customStyle="1" w:styleId="BodyText3Char">
    <w:name w:val="Body Text 3 Char"/>
    <w:basedOn w:val="DefaultParagraphFont"/>
    <w:link w:val="BodyText3"/>
    <w:rPr>
      <w:rFonts w:ascii="Times New Roman" w:eastAsia="Times New Roman" w:hAnsi="Times New Roman" w:cs="Times New Roman"/>
      <w:sz w:val="16"/>
      <w:szCs w:val="20"/>
    </w:rPr>
  </w:style>
  <w:style w:type="paragraph" w:styleId="BodyTextFirstIndent">
    <w:name w:val="Body Text First Indent"/>
    <w:basedOn w:val="BodyText"/>
    <w:link w:val="BodyTextFirstIndentChar"/>
    <w:pPr>
      <w:ind w:firstLine="210"/>
    </w:pPr>
  </w:style>
  <w:style w:type="character" w:customStyle="1" w:styleId="BodyTextFirstIndentChar">
    <w:name w:val="Body Text First Indent Char"/>
    <w:basedOn w:val="BodyTextChar"/>
    <w:link w:val="BodyTextFirstIndent"/>
    <w:rPr>
      <w:rFonts w:ascii="Times New Roman" w:eastAsia="Times New Roman" w:hAnsi="Times New Roman" w:cs="Times New Roman"/>
      <w:sz w:val="24"/>
      <w:szCs w:val="20"/>
    </w:rPr>
  </w:style>
  <w:style w:type="paragraph" w:styleId="BodyTextIndent">
    <w:name w:val="Body Text Indent"/>
    <w:basedOn w:val="Normal"/>
    <w:link w:val="BodyTextIndentChar"/>
    <w:pPr>
      <w:spacing w:after="120" w:line="240" w:lineRule="auto"/>
      <w:ind w:left="283"/>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Pr>
      <w:rFonts w:ascii="Times New Roman" w:eastAsia="Times New Roman" w:hAnsi="Times New Roman" w:cs="Times New Roman"/>
      <w:sz w:val="24"/>
      <w:szCs w:val="20"/>
    </w:rPr>
  </w:style>
  <w:style w:type="paragraph" w:styleId="BodyTextFirstIndent2">
    <w:name w:val="Body Text First Indent 2"/>
    <w:basedOn w:val="BodyTextIndent"/>
    <w:link w:val="BodyTextFirstIndent2Char"/>
    <w:pPr>
      <w:ind w:firstLine="210"/>
    </w:pPr>
  </w:style>
  <w:style w:type="character" w:customStyle="1" w:styleId="BodyTextFirstIndent2Char">
    <w:name w:val="Body Text First Indent 2 Char"/>
    <w:basedOn w:val="BodyTextIndentChar"/>
    <w:link w:val="BodyTextFirstIndent2"/>
    <w:rPr>
      <w:rFonts w:ascii="Times New Roman" w:eastAsia="Times New Roman" w:hAnsi="Times New Roman" w:cs="Times New Roman"/>
      <w:sz w:val="24"/>
      <w:szCs w:val="20"/>
    </w:rPr>
  </w:style>
  <w:style w:type="paragraph" w:styleId="BodyTextIndent2">
    <w:name w:val="Body Text Indent 2"/>
    <w:basedOn w:val="Normal"/>
    <w:link w:val="BodyTextIndent2Char"/>
    <w:pPr>
      <w:spacing w:after="120" w:line="480" w:lineRule="auto"/>
      <w:ind w:left="283"/>
      <w:jc w:val="both"/>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Pr>
      <w:rFonts w:ascii="Times New Roman" w:eastAsia="Times New Roman" w:hAnsi="Times New Roman" w:cs="Times New Roman"/>
      <w:sz w:val="24"/>
      <w:szCs w:val="20"/>
    </w:rPr>
  </w:style>
  <w:style w:type="paragraph" w:styleId="BodyTextIndent3">
    <w:name w:val="Body Text Indent 3"/>
    <w:basedOn w:val="Normal"/>
    <w:link w:val="BodyTextIndent3Char"/>
    <w:pPr>
      <w:spacing w:after="120" w:line="240" w:lineRule="auto"/>
      <w:ind w:left="283"/>
      <w:jc w:val="both"/>
    </w:pPr>
    <w:rPr>
      <w:rFonts w:ascii="Times New Roman" w:eastAsia="Times New Roman" w:hAnsi="Times New Roman" w:cs="Times New Roman"/>
      <w:sz w:val="16"/>
      <w:szCs w:val="20"/>
    </w:rPr>
  </w:style>
  <w:style w:type="character" w:customStyle="1" w:styleId="BodyTextIndent3Char">
    <w:name w:val="Body Text Indent 3 Char"/>
    <w:basedOn w:val="DefaultParagraphFont"/>
    <w:link w:val="BodyTextIndent3"/>
    <w:rPr>
      <w:rFonts w:ascii="Times New Roman" w:eastAsia="Times New Roman" w:hAnsi="Times New Roman" w:cs="Times New Roman"/>
      <w:sz w:val="16"/>
      <w:szCs w:val="20"/>
    </w:rPr>
  </w:style>
  <w:style w:type="paragraph" w:styleId="Caption">
    <w:name w:val="caption"/>
    <w:basedOn w:val="Normal"/>
    <w:next w:val="Normal"/>
    <w:qFormat/>
    <w:pPr>
      <w:spacing w:before="120" w:after="120" w:line="240" w:lineRule="auto"/>
      <w:jc w:val="both"/>
    </w:pPr>
    <w:rPr>
      <w:rFonts w:ascii="Times New Roman" w:eastAsia="Times New Roman" w:hAnsi="Times New Roman" w:cs="Times New Roman"/>
      <w:b/>
      <w:sz w:val="24"/>
      <w:szCs w:val="20"/>
    </w:rPr>
  </w:style>
  <w:style w:type="paragraph" w:styleId="Closing">
    <w:name w:val="Closing"/>
    <w:basedOn w:val="Normal"/>
    <w:link w:val="ClosingChar"/>
    <w:pPr>
      <w:spacing w:after="240" w:line="240" w:lineRule="auto"/>
      <w:ind w:left="4252"/>
      <w:jc w:val="both"/>
    </w:pPr>
    <w:rPr>
      <w:rFonts w:ascii="Times New Roman" w:eastAsia="Times New Roman" w:hAnsi="Times New Roman" w:cs="Times New Roman"/>
      <w:sz w:val="24"/>
      <w:szCs w:val="20"/>
    </w:rPr>
  </w:style>
  <w:style w:type="character" w:customStyle="1" w:styleId="ClosingChar">
    <w:name w:val="Closing Char"/>
    <w:basedOn w:val="DefaultParagraphFont"/>
    <w:link w:val="Closing"/>
    <w:rPr>
      <w:rFonts w:ascii="Times New Roman" w:eastAsia="Times New Roman" w:hAnsi="Times New Roman" w:cs="Times New Roman"/>
      <w:sz w:val="24"/>
      <w:szCs w:val="20"/>
    </w:rPr>
  </w:style>
  <w:style w:type="paragraph" w:styleId="CommentText">
    <w:name w:val="annotation text"/>
    <w:basedOn w:val="Normal"/>
    <w:link w:val="CommentTextChar"/>
    <w:pPr>
      <w:spacing w:after="240" w:line="240" w:lineRule="auto"/>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rPr>
  </w:style>
  <w:style w:type="paragraph" w:styleId="Date">
    <w:name w:val="Date"/>
    <w:basedOn w:val="Normal"/>
    <w:next w:val="References"/>
    <w:link w:val="DateChar"/>
    <w:pPr>
      <w:spacing w:after="0" w:line="240" w:lineRule="auto"/>
      <w:ind w:left="5103" w:right="-567"/>
    </w:pPr>
    <w:rPr>
      <w:rFonts w:ascii="Times New Roman" w:eastAsia="Times New Roman" w:hAnsi="Times New Roman" w:cs="Times New Roman"/>
      <w:sz w:val="24"/>
      <w:szCs w:val="20"/>
    </w:rPr>
  </w:style>
  <w:style w:type="character" w:customStyle="1" w:styleId="DateChar">
    <w:name w:val="Date Char"/>
    <w:basedOn w:val="DefaultParagraphFont"/>
    <w:link w:val="Date"/>
    <w:rPr>
      <w:rFonts w:ascii="Times New Roman" w:eastAsia="Times New Roman" w:hAnsi="Times New Roman" w:cs="Times New Roman"/>
      <w:sz w:val="24"/>
      <w:szCs w:val="20"/>
    </w:rPr>
  </w:style>
  <w:style w:type="paragraph" w:customStyle="1" w:styleId="References">
    <w:name w:val="References"/>
    <w:basedOn w:val="Normal"/>
    <w:next w:val="AddressTR"/>
    <w:pPr>
      <w:spacing w:after="240" w:line="240" w:lineRule="auto"/>
      <w:ind w:left="5103"/>
    </w:pPr>
    <w:rPr>
      <w:rFonts w:ascii="Times New Roman" w:eastAsia="Times New Roman" w:hAnsi="Times New Roman" w:cs="Times New Roman"/>
      <w:sz w:val="20"/>
      <w:szCs w:val="20"/>
    </w:rPr>
  </w:style>
  <w:style w:type="paragraph" w:styleId="DocumentMap">
    <w:name w:val="Document Map"/>
    <w:basedOn w:val="Normal"/>
    <w:link w:val="DocumentMapChar"/>
    <w:pPr>
      <w:shd w:val="clear" w:color="auto" w:fill="000080"/>
      <w:spacing w:after="240" w:line="240" w:lineRule="auto"/>
      <w:jc w:val="both"/>
    </w:pPr>
    <w:rPr>
      <w:rFonts w:ascii="Tahoma" w:eastAsia="Times New Roman" w:hAnsi="Tahoma" w:cs="Times New Roman"/>
      <w:sz w:val="24"/>
      <w:szCs w:val="20"/>
    </w:rPr>
  </w:style>
  <w:style w:type="character" w:customStyle="1" w:styleId="DocumentMapChar">
    <w:name w:val="Document Map Char"/>
    <w:basedOn w:val="DefaultParagraphFont"/>
    <w:link w:val="DocumentMap"/>
    <w:rPr>
      <w:rFonts w:ascii="Tahoma" w:eastAsia="Times New Roman" w:hAnsi="Tahoma" w:cs="Times New Roman"/>
      <w:sz w:val="24"/>
      <w:szCs w:val="20"/>
      <w:shd w:val="clear" w:color="auto" w:fill="000080"/>
    </w:rPr>
  </w:style>
  <w:style w:type="paragraph" w:customStyle="1" w:styleId="DoubSign">
    <w:name w:val="DoubSign"/>
    <w:basedOn w:val="Normal"/>
    <w:next w:val="Enclosures"/>
    <w:pPr>
      <w:tabs>
        <w:tab w:val="left" w:pos="5103"/>
      </w:tabs>
      <w:spacing w:before="1200" w:after="0" w:line="240" w:lineRule="auto"/>
    </w:pPr>
    <w:rPr>
      <w:rFonts w:ascii="Times New Roman" w:eastAsia="Times New Roman" w:hAnsi="Times New Roman" w:cs="Times New Roman"/>
      <w:sz w:val="24"/>
      <w:szCs w:val="20"/>
    </w:rPr>
  </w:style>
  <w:style w:type="paragraph" w:customStyle="1" w:styleId="Enclosures">
    <w:name w:val="Enclosures"/>
    <w:basedOn w:val="Normal"/>
    <w:pPr>
      <w:keepNext/>
      <w:keepLines/>
      <w:tabs>
        <w:tab w:val="left" w:pos="5642"/>
      </w:tabs>
      <w:spacing w:before="480" w:after="0" w:line="240" w:lineRule="auto"/>
      <w:ind w:left="1191" w:hanging="1191"/>
    </w:pPr>
    <w:rPr>
      <w:rFonts w:ascii="Times New Roman" w:eastAsia="Times New Roman" w:hAnsi="Times New Roman" w:cs="Times New Roman"/>
      <w:sz w:val="24"/>
      <w:szCs w:val="20"/>
    </w:rPr>
  </w:style>
  <w:style w:type="paragraph" w:styleId="EndnoteText">
    <w:name w:val="endnote text"/>
    <w:basedOn w:val="Normal"/>
    <w:link w:val="EndnoteTextChar"/>
    <w:pPr>
      <w:spacing w:after="240" w:line="240" w:lineRule="auto"/>
      <w:jc w:val="both"/>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Pr>
      <w:rFonts w:ascii="Times New Roman" w:eastAsia="Times New Roman" w:hAnsi="Times New Roman" w:cs="Times New Roman"/>
      <w:sz w:val="20"/>
      <w:szCs w:val="20"/>
    </w:rPr>
  </w:style>
  <w:style w:type="paragraph" w:styleId="EnvelopeAddress">
    <w:name w:val="envelope address"/>
    <w:basedOn w:val="Normal"/>
    <w:pPr>
      <w:framePr w:w="7920" w:h="1980" w:hRule="exact" w:hSpace="180" w:wrap="auto" w:hAnchor="page" w:xAlign="center" w:yAlign="bottom"/>
      <w:spacing w:after="0" w:line="240" w:lineRule="auto"/>
      <w:jc w:val="both"/>
    </w:pPr>
    <w:rPr>
      <w:rFonts w:ascii="Times New Roman" w:eastAsia="Times New Roman" w:hAnsi="Times New Roman" w:cs="Times New Roman"/>
      <w:sz w:val="24"/>
      <w:szCs w:val="20"/>
    </w:rPr>
  </w:style>
  <w:style w:type="paragraph" w:styleId="EnvelopeReturn">
    <w:name w:val="envelope return"/>
    <w:basedOn w:val="Normal"/>
    <w:pPr>
      <w:spacing w:after="0" w:line="240" w:lineRule="auto"/>
      <w:jc w:val="both"/>
    </w:pPr>
    <w:rPr>
      <w:rFonts w:ascii="Times New Roman" w:eastAsia="Times New Roman" w:hAnsi="Times New Roman" w:cs="Times New Roman"/>
      <w:sz w:val="20"/>
      <w:szCs w:val="20"/>
    </w:rPr>
  </w:style>
  <w:style w:type="paragraph" w:styleId="Index1">
    <w:name w:val="index 1"/>
    <w:basedOn w:val="Normal"/>
    <w:next w:val="Normal"/>
    <w:autoRedefine/>
    <w:pPr>
      <w:spacing w:after="240" w:line="240" w:lineRule="auto"/>
      <w:ind w:left="240" w:hanging="240"/>
      <w:jc w:val="both"/>
    </w:pPr>
    <w:rPr>
      <w:rFonts w:ascii="Times New Roman" w:eastAsia="Times New Roman" w:hAnsi="Times New Roman" w:cs="Times New Roman"/>
      <w:sz w:val="24"/>
      <w:szCs w:val="20"/>
    </w:rPr>
  </w:style>
  <w:style w:type="paragraph" w:styleId="Index2">
    <w:name w:val="index 2"/>
    <w:basedOn w:val="Normal"/>
    <w:next w:val="Normal"/>
    <w:autoRedefine/>
    <w:pPr>
      <w:spacing w:after="240" w:line="240" w:lineRule="auto"/>
      <w:ind w:left="480" w:hanging="240"/>
      <w:jc w:val="both"/>
    </w:pPr>
    <w:rPr>
      <w:rFonts w:ascii="Times New Roman" w:eastAsia="Times New Roman" w:hAnsi="Times New Roman" w:cs="Times New Roman"/>
      <w:sz w:val="24"/>
      <w:szCs w:val="20"/>
    </w:rPr>
  </w:style>
  <w:style w:type="paragraph" w:styleId="Index3">
    <w:name w:val="index 3"/>
    <w:basedOn w:val="Normal"/>
    <w:next w:val="Normal"/>
    <w:autoRedefine/>
    <w:pPr>
      <w:spacing w:after="240" w:line="240" w:lineRule="auto"/>
      <w:ind w:left="720" w:hanging="240"/>
      <w:jc w:val="both"/>
    </w:pPr>
    <w:rPr>
      <w:rFonts w:ascii="Times New Roman" w:eastAsia="Times New Roman" w:hAnsi="Times New Roman" w:cs="Times New Roman"/>
      <w:sz w:val="24"/>
      <w:szCs w:val="20"/>
    </w:rPr>
  </w:style>
  <w:style w:type="paragraph" w:styleId="Index4">
    <w:name w:val="index 4"/>
    <w:basedOn w:val="Normal"/>
    <w:next w:val="Normal"/>
    <w:autoRedefine/>
    <w:pPr>
      <w:spacing w:after="240" w:line="240" w:lineRule="auto"/>
      <w:ind w:left="960" w:hanging="240"/>
      <w:jc w:val="both"/>
    </w:pPr>
    <w:rPr>
      <w:rFonts w:ascii="Times New Roman" w:eastAsia="Times New Roman" w:hAnsi="Times New Roman" w:cs="Times New Roman"/>
      <w:sz w:val="24"/>
      <w:szCs w:val="20"/>
    </w:rPr>
  </w:style>
  <w:style w:type="paragraph" w:styleId="Index5">
    <w:name w:val="index 5"/>
    <w:basedOn w:val="Normal"/>
    <w:next w:val="Normal"/>
    <w:autoRedefine/>
    <w:pPr>
      <w:spacing w:after="240" w:line="240" w:lineRule="auto"/>
      <w:ind w:left="1200" w:hanging="240"/>
      <w:jc w:val="both"/>
    </w:pPr>
    <w:rPr>
      <w:rFonts w:ascii="Times New Roman" w:eastAsia="Times New Roman" w:hAnsi="Times New Roman" w:cs="Times New Roman"/>
      <w:sz w:val="24"/>
      <w:szCs w:val="20"/>
    </w:rPr>
  </w:style>
  <w:style w:type="paragraph" w:styleId="Index6">
    <w:name w:val="index 6"/>
    <w:basedOn w:val="Normal"/>
    <w:next w:val="Normal"/>
    <w:autoRedefine/>
    <w:pPr>
      <w:spacing w:after="240" w:line="240" w:lineRule="auto"/>
      <w:ind w:left="1440" w:hanging="240"/>
      <w:jc w:val="both"/>
    </w:pPr>
    <w:rPr>
      <w:rFonts w:ascii="Times New Roman" w:eastAsia="Times New Roman" w:hAnsi="Times New Roman" w:cs="Times New Roman"/>
      <w:sz w:val="24"/>
      <w:szCs w:val="20"/>
    </w:rPr>
  </w:style>
  <w:style w:type="paragraph" w:styleId="Index7">
    <w:name w:val="index 7"/>
    <w:basedOn w:val="Normal"/>
    <w:next w:val="Normal"/>
    <w:autoRedefine/>
    <w:pPr>
      <w:spacing w:after="240" w:line="240" w:lineRule="auto"/>
      <w:ind w:left="1680" w:hanging="240"/>
      <w:jc w:val="both"/>
    </w:pPr>
    <w:rPr>
      <w:rFonts w:ascii="Times New Roman" w:eastAsia="Times New Roman" w:hAnsi="Times New Roman" w:cs="Times New Roman"/>
      <w:sz w:val="24"/>
      <w:szCs w:val="20"/>
    </w:rPr>
  </w:style>
  <w:style w:type="paragraph" w:styleId="Index8">
    <w:name w:val="index 8"/>
    <w:basedOn w:val="Normal"/>
    <w:next w:val="Normal"/>
    <w:autoRedefine/>
    <w:pPr>
      <w:spacing w:after="240" w:line="240" w:lineRule="auto"/>
      <w:ind w:left="1920" w:hanging="240"/>
      <w:jc w:val="both"/>
    </w:pPr>
    <w:rPr>
      <w:rFonts w:ascii="Times New Roman" w:eastAsia="Times New Roman" w:hAnsi="Times New Roman" w:cs="Times New Roman"/>
      <w:sz w:val="24"/>
      <w:szCs w:val="20"/>
    </w:rPr>
  </w:style>
  <w:style w:type="paragraph" w:styleId="Index9">
    <w:name w:val="index 9"/>
    <w:basedOn w:val="Normal"/>
    <w:next w:val="Normal"/>
    <w:autoRedefine/>
    <w:pPr>
      <w:spacing w:after="240" w:line="240" w:lineRule="auto"/>
      <w:ind w:left="2160" w:hanging="240"/>
      <w:jc w:val="both"/>
    </w:pPr>
    <w:rPr>
      <w:rFonts w:ascii="Times New Roman" w:eastAsia="Times New Roman" w:hAnsi="Times New Roman" w:cs="Times New Roman"/>
      <w:sz w:val="24"/>
      <w:szCs w:val="20"/>
    </w:rPr>
  </w:style>
  <w:style w:type="paragraph" w:styleId="IndexHeading">
    <w:name w:val="index heading"/>
    <w:basedOn w:val="Normal"/>
    <w:next w:val="Index1"/>
    <w:pPr>
      <w:spacing w:after="240" w:line="240" w:lineRule="auto"/>
      <w:jc w:val="both"/>
    </w:pPr>
    <w:rPr>
      <w:rFonts w:ascii="Arial" w:eastAsia="Times New Roman" w:hAnsi="Arial" w:cs="Times New Roman"/>
      <w:b/>
      <w:sz w:val="24"/>
      <w:szCs w:val="20"/>
    </w:rPr>
  </w:style>
  <w:style w:type="paragraph" w:styleId="List">
    <w:name w:val="List"/>
    <w:basedOn w:val="Normal"/>
    <w:pPr>
      <w:spacing w:after="240" w:line="240" w:lineRule="auto"/>
      <w:ind w:left="283" w:hanging="283"/>
      <w:jc w:val="both"/>
    </w:pPr>
    <w:rPr>
      <w:rFonts w:ascii="Times New Roman" w:eastAsia="Times New Roman" w:hAnsi="Times New Roman" w:cs="Times New Roman"/>
      <w:sz w:val="24"/>
      <w:szCs w:val="20"/>
    </w:rPr>
  </w:style>
  <w:style w:type="paragraph" w:styleId="List2">
    <w:name w:val="List 2"/>
    <w:basedOn w:val="Normal"/>
    <w:pPr>
      <w:spacing w:after="240" w:line="240" w:lineRule="auto"/>
      <w:ind w:left="566" w:hanging="283"/>
      <w:jc w:val="both"/>
    </w:pPr>
    <w:rPr>
      <w:rFonts w:ascii="Times New Roman" w:eastAsia="Times New Roman" w:hAnsi="Times New Roman" w:cs="Times New Roman"/>
      <w:sz w:val="24"/>
      <w:szCs w:val="20"/>
    </w:rPr>
  </w:style>
  <w:style w:type="paragraph" w:styleId="List3">
    <w:name w:val="List 3"/>
    <w:basedOn w:val="Normal"/>
    <w:pPr>
      <w:spacing w:after="240" w:line="240" w:lineRule="auto"/>
      <w:ind w:left="849" w:hanging="283"/>
      <w:jc w:val="both"/>
    </w:pPr>
    <w:rPr>
      <w:rFonts w:ascii="Times New Roman" w:eastAsia="Times New Roman" w:hAnsi="Times New Roman" w:cs="Times New Roman"/>
      <w:sz w:val="24"/>
      <w:szCs w:val="20"/>
    </w:rPr>
  </w:style>
  <w:style w:type="paragraph" w:styleId="List4">
    <w:name w:val="List 4"/>
    <w:basedOn w:val="Normal"/>
    <w:pPr>
      <w:spacing w:after="240" w:line="240" w:lineRule="auto"/>
      <w:ind w:left="1132" w:hanging="283"/>
      <w:jc w:val="both"/>
    </w:pPr>
    <w:rPr>
      <w:rFonts w:ascii="Times New Roman" w:eastAsia="Times New Roman" w:hAnsi="Times New Roman" w:cs="Times New Roman"/>
      <w:sz w:val="24"/>
      <w:szCs w:val="20"/>
    </w:rPr>
  </w:style>
  <w:style w:type="paragraph" w:styleId="List5">
    <w:name w:val="List 5"/>
    <w:basedOn w:val="Normal"/>
    <w:pPr>
      <w:spacing w:after="240" w:line="240" w:lineRule="auto"/>
      <w:ind w:left="1415" w:hanging="283"/>
      <w:jc w:val="both"/>
    </w:pPr>
    <w:rPr>
      <w:rFonts w:ascii="Times New Roman" w:eastAsia="Times New Roman" w:hAnsi="Times New Roman" w:cs="Times New Roman"/>
      <w:sz w:val="24"/>
      <w:szCs w:val="20"/>
    </w:rPr>
  </w:style>
  <w:style w:type="paragraph" w:styleId="ListBullet">
    <w:name w:val="List Bullet"/>
    <w:basedOn w:val="Normal"/>
    <w:pPr>
      <w:numPr>
        <w:numId w:val="27"/>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Text2"/>
    <w:pPr>
      <w:numPr>
        <w:numId w:val="28"/>
      </w:numPr>
      <w:spacing w:before="0" w:after="240"/>
    </w:pPr>
    <w:rPr>
      <w:szCs w:val="20"/>
    </w:rPr>
  </w:style>
  <w:style w:type="paragraph" w:styleId="ListBullet4">
    <w:name w:val="List Bullet 4"/>
    <w:basedOn w:val="Text4"/>
    <w:pPr>
      <w:numPr>
        <w:numId w:val="29"/>
      </w:numPr>
      <w:spacing w:before="0" w:after="240"/>
    </w:pPr>
    <w:rPr>
      <w:szCs w:val="20"/>
    </w:rPr>
  </w:style>
  <w:style w:type="paragraph" w:styleId="ListBullet5">
    <w:name w:val="List Bullet 5"/>
    <w:basedOn w:val="Normal"/>
    <w:autoRedefine/>
    <w:pPr>
      <w:numPr>
        <w:numId w:val="25"/>
      </w:numPr>
      <w:spacing w:after="240" w:line="240" w:lineRule="auto"/>
      <w:jc w:val="both"/>
    </w:pPr>
    <w:rPr>
      <w:rFonts w:ascii="Times New Roman" w:eastAsia="Times New Roman" w:hAnsi="Times New Roman" w:cs="Times New Roman"/>
      <w:sz w:val="24"/>
      <w:szCs w:val="20"/>
    </w:rPr>
  </w:style>
  <w:style w:type="paragraph" w:styleId="ListContinue">
    <w:name w:val="List Continue"/>
    <w:basedOn w:val="Normal"/>
    <w:pPr>
      <w:spacing w:after="120" w:line="240" w:lineRule="auto"/>
      <w:ind w:left="283"/>
      <w:jc w:val="both"/>
    </w:pPr>
    <w:rPr>
      <w:rFonts w:ascii="Times New Roman" w:eastAsia="Times New Roman" w:hAnsi="Times New Roman" w:cs="Times New Roman"/>
      <w:sz w:val="24"/>
      <w:szCs w:val="20"/>
    </w:rPr>
  </w:style>
  <w:style w:type="paragraph" w:styleId="ListContinue2">
    <w:name w:val="List Continue 2"/>
    <w:basedOn w:val="Normal"/>
    <w:pPr>
      <w:spacing w:after="120" w:line="240" w:lineRule="auto"/>
      <w:ind w:left="566"/>
      <w:jc w:val="both"/>
    </w:pPr>
    <w:rPr>
      <w:rFonts w:ascii="Times New Roman" w:eastAsia="Times New Roman" w:hAnsi="Times New Roman" w:cs="Times New Roman"/>
      <w:sz w:val="24"/>
      <w:szCs w:val="20"/>
    </w:rPr>
  </w:style>
  <w:style w:type="paragraph" w:styleId="ListContinue3">
    <w:name w:val="List Continue 3"/>
    <w:basedOn w:val="Normal"/>
    <w:pPr>
      <w:spacing w:after="120" w:line="240" w:lineRule="auto"/>
      <w:ind w:left="849"/>
      <w:jc w:val="both"/>
    </w:pPr>
    <w:rPr>
      <w:rFonts w:ascii="Times New Roman" w:eastAsia="Times New Roman" w:hAnsi="Times New Roman" w:cs="Times New Roman"/>
      <w:sz w:val="24"/>
      <w:szCs w:val="20"/>
    </w:rPr>
  </w:style>
  <w:style w:type="paragraph" w:styleId="ListContinue4">
    <w:name w:val="List Continue 4"/>
    <w:basedOn w:val="Normal"/>
    <w:pPr>
      <w:spacing w:after="120" w:line="240" w:lineRule="auto"/>
      <w:ind w:left="1132"/>
      <w:jc w:val="both"/>
    </w:pPr>
    <w:rPr>
      <w:rFonts w:ascii="Times New Roman" w:eastAsia="Times New Roman" w:hAnsi="Times New Roman" w:cs="Times New Roman"/>
      <w:sz w:val="24"/>
      <w:szCs w:val="20"/>
    </w:rPr>
  </w:style>
  <w:style w:type="paragraph" w:styleId="ListContinue5">
    <w:name w:val="List Continue 5"/>
    <w:basedOn w:val="Normal"/>
    <w:pPr>
      <w:spacing w:after="120" w:line="240" w:lineRule="auto"/>
      <w:ind w:left="1415"/>
      <w:jc w:val="both"/>
    </w:pPr>
    <w:rPr>
      <w:rFonts w:ascii="Times New Roman" w:eastAsia="Times New Roman" w:hAnsi="Times New Roman" w:cs="Times New Roman"/>
      <w:sz w:val="24"/>
      <w:szCs w:val="20"/>
    </w:rPr>
  </w:style>
  <w:style w:type="paragraph" w:styleId="ListNumber">
    <w:name w:val="List Number"/>
    <w:basedOn w:val="Normal"/>
    <w:pPr>
      <w:numPr>
        <w:numId w:val="32"/>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Text2"/>
    <w:pPr>
      <w:numPr>
        <w:numId w:val="33"/>
      </w:numPr>
      <w:spacing w:before="0" w:after="240"/>
    </w:pPr>
    <w:rPr>
      <w:szCs w:val="20"/>
    </w:rPr>
  </w:style>
  <w:style w:type="paragraph" w:styleId="ListNumber3">
    <w:name w:val="List Number 3"/>
    <w:basedOn w:val="Text3"/>
    <w:pPr>
      <w:numPr>
        <w:numId w:val="34"/>
      </w:numPr>
      <w:spacing w:before="0" w:after="240"/>
    </w:pPr>
    <w:rPr>
      <w:szCs w:val="20"/>
    </w:rPr>
  </w:style>
  <w:style w:type="paragraph" w:styleId="ListNumber4">
    <w:name w:val="List Number 4"/>
    <w:basedOn w:val="Text4"/>
    <w:pPr>
      <w:numPr>
        <w:numId w:val="35"/>
      </w:numPr>
      <w:spacing w:before="0" w:after="240"/>
    </w:pPr>
    <w:rPr>
      <w:szCs w:val="20"/>
    </w:rPr>
  </w:style>
  <w:style w:type="paragraph" w:styleId="ListNumber5">
    <w:name w:val="List Number 5"/>
    <w:basedOn w:val="Normal"/>
    <w:pPr>
      <w:numPr>
        <w:numId w:val="26"/>
      </w:numPr>
      <w:spacing w:after="240" w:line="240" w:lineRule="auto"/>
      <w:jc w:val="both"/>
    </w:pPr>
    <w:rPr>
      <w:rFonts w:ascii="Times New Roman" w:eastAsia="Times New Roman" w:hAnsi="Times New Roman" w:cs="Times New Roman"/>
      <w:sz w:val="24"/>
      <w:szCs w:val="20"/>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spacing w:after="240" w:line="240" w:lineRule="auto"/>
      <w:jc w:val="both"/>
    </w:pPr>
    <w:rPr>
      <w:rFonts w:ascii="Courier New" w:eastAsia="Times New Roman" w:hAnsi="Courier New" w:cs="Times New Roman"/>
      <w:sz w:val="20"/>
      <w:szCs w:val="20"/>
    </w:rPr>
  </w:style>
  <w:style w:type="character" w:customStyle="1" w:styleId="MacroTextChar">
    <w:name w:val="Macro Text Char"/>
    <w:basedOn w:val="DefaultParagraphFont"/>
    <w:link w:val="MacroText"/>
    <w:rPr>
      <w:rFonts w:ascii="Courier New" w:eastAsia="Times New Roman" w:hAnsi="Courier New" w:cs="Times New Roman"/>
      <w:sz w:val="20"/>
      <w:szCs w:val="20"/>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spacing w:after="240" w:line="240" w:lineRule="auto"/>
      <w:ind w:left="1134" w:hanging="1134"/>
      <w:jc w:val="both"/>
    </w:pPr>
    <w:rPr>
      <w:rFonts w:ascii="Arial" w:eastAsia="Times New Roman" w:hAnsi="Arial" w:cs="Times New Roman"/>
      <w:sz w:val="24"/>
      <w:szCs w:val="20"/>
    </w:rPr>
  </w:style>
  <w:style w:type="character" w:customStyle="1" w:styleId="MessageHeaderChar">
    <w:name w:val="Message Header Char"/>
    <w:basedOn w:val="DefaultParagraphFont"/>
    <w:link w:val="MessageHeader"/>
    <w:rPr>
      <w:rFonts w:ascii="Arial" w:eastAsia="Times New Roman" w:hAnsi="Arial" w:cs="Times New Roman"/>
      <w:sz w:val="24"/>
      <w:szCs w:val="20"/>
      <w:shd w:val="pct20" w:color="auto" w:fill="auto"/>
    </w:rPr>
  </w:style>
  <w:style w:type="paragraph" w:styleId="NormalIndent">
    <w:name w:val="Normal Indent"/>
    <w:basedOn w:val="Normal"/>
    <w:pPr>
      <w:spacing w:after="240" w:line="240" w:lineRule="auto"/>
      <w:ind w:left="720"/>
      <w:jc w:val="both"/>
    </w:pPr>
    <w:rPr>
      <w:rFonts w:ascii="Times New Roman" w:eastAsia="Times New Roman" w:hAnsi="Times New Roman" w:cs="Times New Roman"/>
      <w:sz w:val="24"/>
      <w:szCs w:val="20"/>
    </w:rPr>
  </w:style>
  <w:style w:type="paragraph" w:styleId="NoteHeading">
    <w:name w:val="Note Heading"/>
    <w:basedOn w:val="Normal"/>
    <w:next w:val="Normal"/>
    <w:link w:val="NoteHeadingChar"/>
    <w:pPr>
      <w:spacing w:after="240" w:line="240" w:lineRule="auto"/>
      <w:jc w:val="both"/>
    </w:pPr>
    <w:rPr>
      <w:rFonts w:ascii="Times New Roman" w:eastAsia="Times New Roman" w:hAnsi="Times New Roman" w:cs="Times New Roman"/>
      <w:sz w:val="24"/>
      <w:szCs w:val="20"/>
    </w:rPr>
  </w:style>
  <w:style w:type="character" w:customStyle="1" w:styleId="NoteHeadingChar">
    <w:name w:val="Note Heading Char"/>
    <w:basedOn w:val="DefaultParagraphFont"/>
    <w:link w:val="NoteHeading"/>
    <w:rPr>
      <w:rFonts w:ascii="Times New Roman" w:eastAsia="Times New Roman" w:hAnsi="Times New Roman" w:cs="Times New Roman"/>
      <w:sz w:val="24"/>
      <w:szCs w:val="20"/>
    </w:rPr>
  </w:style>
  <w:style w:type="paragraph" w:customStyle="1" w:styleId="NoteHead">
    <w:name w:val="NoteHead"/>
    <w:basedOn w:val="Normal"/>
    <w:next w:val="Subject"/>
    <w:pPr>
      <w:spacing w:before="720" w:after="720" w:line="240" w:lineRule="auto"/>
      <w:jc w:val="center"/>
    </w:pPr>
    <w:rPr>
      <w:rFonts w:ascii="Times New Roman" w:eastAsia="Times New Roman" w:hAnsi="Times New Roman" w:cs="Times New Roman"/>
      <w:b/>
      <w:smallCaps/>
      <w:sz w:val="24"/>
      <w:szCs w:val="20"/>
    </w:rPr>
  </w:style>
  <w:style w:type="paragraph" w:customStyle="1" w:styleId="Subject">
    <w:name w:val="Subject"/>
    <w:basedOn w:val="Normal"/>
    <w:next w:val="Normal"/>
    <w:pPr>
      <w:spacing w:after="480" w:line="240" w:lineRule="auto"/>
      <w:ind w:left="1531" w:hanging="1531"/>
    </w:pPr>
    <w:rPr>
      <w:rFonts w:ascii="Times New Roman" w:eastAsia="Times New Roman" w:hAnsi="Times New Roman" w:cs="Times New Roman"/>
      <w:b/>
      <w:sz w:val="24"/>
      <w:szCs w:val="20"/>
    </w:rPr>
  </w:style>
  <w:style w:type="paragraph" w:customStyle="1" w:styleId="NoteList">
    <w:name w:val="NoteList"/>
    <w:basedOn w:val="Normal"/>
    <w:next w:val="Subject"/>
    <w:pPr>
      <w:tabs>
        <w:tab w:val="left" w:pos="5823"/>
      </w:tabs>
      <w:spacing w:before="720" w:after="720" w:line="240" w:lineRule="auto"/>
      <w:ind w:left="5104" w:hanging="3119"/>
    </w:pPr>
    <w:rPr>
      <w:rFonts w:ascii="Times New Roman" w:eastAsia="Times New Roman" w:hAnsi="Times New Roman" w:cs="Times New Roman"/>
      <w:b/>
      <w:smallCaps/>
      <w:sz w:val="24"/>
      <w:szCs w:val="20"/>
    </w:rPr>
  </w:style>
  <w:style w:type="paragraph" w:styleId="PlainText">
    <w:name w:val="Plain Text"/>
    <w:basedOn w:val="Normal"/>
    <w:link w:val="PlainTextChar"/>
    <w:pPr>
      <w:spacing w:after="240" w:line="240" w:lineRule="auto"/>
      <w:jc w:val="both"/>
    </w:pPr>
    <w:rPr>
      <w:rFonts w:ascii="Courier New" w:eastAsia="Times New Roman" w:hAnsi="Courier New" w:cs="Times New Roman"/>
      <w:sz w:val="20"/>
      <w:szCs w:val="20"/>
    </w:rPr>
  </w:style>
  <w:style w:type="character" w:customStyle="1" w:styleId="PlainTextChar">
    <w:name w:val="Plain Text Char"/>
    <w:basedOn w:val="DefaultParagraphFont"/>
    <w:link w:val="PlainText"/>
    <w:rPr>
      <w:rFonts w:ascii="Courier New" w:eastAsia="Times New Roman" w:hAnsi="Courier New" w:cs="Times New Roman"/>
      <w:sz w:val="20"/>
      <w:szCs w:val="20"/>
    </w:rPr>
  </w:style>
  <w:style w:type="paragraph" w:styleId="Salutation">
    <w:name w:val="Salutation"/>
    <w:basedOn w:val="Normal"/>
    <w:next w:val="Normal"/>
    <w:link w:val="SalutationChar"/>
    <w:pPr>
      <w:spacing w:after="240" w:line="240" w:lineRule="auto"/>
      <w:jc w:val="both"/>
    </w:pPr>
    <w:rPr>
      <w:rFonts w:ascii="Times New Roman" w:eastAsia="Times New Roman" w:hAnsi="Times New Roman" w:cs="Times New Roman"/>
      <w:sz w:val="24"/>
      <w:szCs w:val="20"/>
    </w:rPr>
  </w:style>
  <w:style w:type="character" w:customStyle="1" w:styleId="SalutationChar">
    <w:name w:val="Salutation Char"/>
    <w:basedOn w:val="DefaultParagraphFont"/>
    <w:link w:val="Salutation"/>
    <w:rPr>
      <w:rFonts w:ascii="Times New Roman" w:eastAsia="Times New Roman" w:hAnsi="Times New Roman" w:cs="Times New Roman"/>
      <w:sz w:val="24"/>
      <w:szCs w:val="20"/>
    </w:rPr>
  </w:style>
  <w:style w:type="paragraph" w:styleId="Signature">
    <w:name w:val="Signature"/>
    <w:basedOn w:val="Normal"/>
    <w:next w:val="Enclosures"/>
    <w:link w:val="SignatureChar"/>
    <w:pPr>
      <w:tabs>
        <w:tab w:val="left" w:pos="5103"/>
      </w:tabs>
      <w:spacing w:before="1200" w:after="0" w:line="240" w:lineRule="auto"/>
      <w:ind w:left="5103"/>
      <w:jc w:val="center"/>
    </w:pPr>
    <w:rPr>
      <w:rFonts w:ascii="Times New Roman" w:eastAsia="Times New Roman" w:hAnsi="Times New Roman" w:cs="Times New Roman"/>
      <w:sz w:val="24"/>
      <w:szCs w:val="20"/>
    </w:rPr>
  </w:style>
  <w:style w:type="character" w:customStyle="1" w:styleId="SignatureChar">
    <w:name w:val="Signature Char"/>
    <w:basedOn w:val="DefaultParagraphFont"/>
    <w:link w:val="Signature"/>
    <w:rPr>
      <w:rFonts w:ascii="Times New Roman" w:eastAsia="Times New Roman" w:hAnsi="Times New Roman" w:cs="Times New Roman"/>
      <w:sz w:val="24"/>
      <w:szCs w:val="20"/>
    </w:rPr>
  </w:style>
  <w:style w:type="paragraph" w:styleId="Subtitle">
    <w:name w:val="Subtitle"/>
    <w:basedOn w:val="Normal"/>
    <w:link w:val="SubtitleChar"/>
    <w:qFormat/>
    <w:pPr>
      <w:spacing w:after="60" w:line="240" w:lineRule="auto"/>
      <w:jc w:val="center"/>
      <w:outlineLvl w:val="1"/>
    </w:pPr>
    <w:rPr>
      <w:rFonts w:ascii="Arial" w:eastAsia="Times New Roman" w:hAnsi="Arial" w:cs="Times New Roman"/>
      <w:sz w:val="24"/>
      <w:szCs w:val="20"/>
    </w:rPr>
  </w:style>
  <w:style w:type="character" w:customStyle="1" w:styleId="SubtitleChar">
    <w:name w:val="Subtitle Char"/>
    <w:basedOn w:val="DefaultParagraphFont"/>
    <w:link w:val="Subtitle"/>
    <w:rPr>
      <w:rFonts w:ascii="Arial" w:eastAsia="Times New Roman" w:hAnsi="Arial" w:cs="Times New Roman"/>
      <w:sz w:val="24"/>
      <w:szCs w:val="20"/>
    </w:rPr>
  </w:style>
  <w:style w:type="paragraph" w:customStyle="1" w:styleId="SubTitle1">
    <w:name w:val="SubTitle 1"/>
    <w:basedOn w:val="Normal"/>
    <w:next w:val="SubTitle2"/>
    <w:pPr>
      <w:spacing w:after="240" w:line="240" w:lineRule="auto"/>
      <w:jc w:val="center"/>
    </w:pPr>
    <w:rPr>
      <w:rFonts w:ascii="Times New Roman" w:eastAsia="Times New Roman" w:hAnsi="Times New Roman" w:cs="Times New Roman"/>
      <w:b/>
      <w:sz w:val="40"/>
      <w:szCs w:val="20"/>
    </w:rPr>
  </w:style>
  <w:style w:type="paragraph" w:customStyle="1" w:styleId="SubTitle2">
    <w:name w:val="SubTitle 2"/>
    <w:basedOn w:val="Normal"/>
    <w:pPr>
      <w:spacing w:after="240" w:line="240" w:lineRule="auto"/>
      <w:jc w:val="center"/>
    </w:pPr>
    <w:rPr>
      <w:rFonts w:ascii="Times New Roman" w:eastAsia="Times New Roman" w:hAnsi="Times New Roman" w:cs="Times New Roman"/>
      <w:b/>
      <w:sz w:val="32"/>
      <w:szCs w:val="20"/>
    </w:rPr>
  </w:style>
  <w:style w:type="paragraph" w:styleId="TableofAuthorities">
    <w:name w:val="table of authorities"/>
    <w:basedOn w:val="Normal"/>
    <w:next w:val="Normal"/>
    <w:pPr>
      <w:spacing w:after="240" w:line="240" w:lineRule="auto"/>
      <w:ind w:left="240" w:hanging="240"/>
      <w:jc w:val="both"/>
    </w:pPr>
    <w:rPr>
      <w:rFonts w:ascii="Times New Roman" w:eastAsia="Times New Roman" w:hAnsi="Times New Roman" w:cs="Times New Roman"/>
      <w:sz w:val="24"/>
      <w:szCs w:val="20"/>
    </w:rPr>
  </w:style>
  <w:style w:type="paragraph" w:styleId="TableofFigures">
    <w:name w:val="table of figures"/>
    <w:basedOn w:val="Normal"/>
    <w:next w:val="Normal"/>
    <w:pPr>
      <w:spacing w:after="240" w:line="240" w:lineRule="auto"/>
      <w:ind w:left="480" w:hanging="480"/>
      <w:jc w:val="both"/>
    </w:pPr>
    <w:rPr>
      <w:rFonts w:ascii="Times New Roman" w:eastAsia="Times New Roman" w:hAnsi="Times New Roman" w:cs="Times New Roman"/>
      <w:sz w:val="24"/>
      <w:szCs w:val="20"/>
    </w:rPr>
  </w:style>
  <w:style w:type="paragraph" w:styleId="Title">
    <w:name w:val="Title"/>
    <w:basedOn w:val="Normal"/>
    <w:next w:val="SubTitle1"/>
    <w:link w:val="TitleChar"/>
    <w:qFormat/>
    <w:pPr>
      <w:spacing w:after="480" w:line="240" w:lineRule="auto"/>
      <w:jc w:val="center"/>
    </w:pPr>
    <w:rPr>
      <w:rFonts w:ascii="Times New Roman" w:eastAsia="Times New Roman" w:hAnsi="Times New Roman" w:cs="Times New Roman"/>
      <w:b/>
      <w:kern w:val="28"/>
      <w:sz w:val="48"/>
      <w:szCs w:val="20"/>
    </w:rPr>
  </w:style>
  <w:style w:type="character" w:customStyle="1" w:styleId="TitleChar">
    <w:name w:val="Title Char"/>
    <w:basedOn w:val="DefaultParagraphFont"/>
    <w:link w:val="Title"/>
    <w:rPr>
      <w:rFonts w:ascii="Times New Roman" w:eastAsia="Times New Roman" w:hAnsi="Times New Roman" w:cs="Times New Roman"/>
      <w:b/>
      <w:kern w:val="28"/>
      <w:sz w:val="48"/>
      <w:szCs w:val="20"/>
    </w:rPr>
  </w:style>
  <w:style w:type="paragraph" w:styleId="TOAHeading">
    <w:name w:val="toa heading"/>
    <w:basedOn w:val="Normal"/>
    <w:next w:val="Normal"/>
    <w:pPr>
      <w:spacing w:before="120" w:after="240" w:line="240" w:lineRule="auto"/>
      <w:jc w:val="both"/>
    </w:pPr>
    <w:rPr>
      <w:rFonts w:ascii="Arial" w:eastAsia="Times New Roman" w:hAnsi="Arial" w:cs="Times New Roman"/>
      <w:b/>
      <w:sz w:val="24"/>
      <w:szCs w:val="20"/>
    </w:rPr>
  </w:style>
  <w:style w:type="paragraph" w:customStyle="1" w:styleId="YReferences">
    <w:name w:val="YReferences"/>
    <w:basedOn w:val="Normal"/>
    <w:next w:val="Normal"/>
    <w:pPr>
      <w:spacing w:after="480" w:line="240" w:lineRule="auto"/>
      <w:ind w:left="1531" w:hanging="1531"/>
      <w:jc w:val="both"/>
    </w:pPr>
    <w:rPr>
      <w:rFonts w:ascii="Times New Roman" w:eastAsia="Times New Roman" w:hAnsi="Times New Roman" w:cs="Times New Roman"/>
      <w:sz w:val="24"/>
      <w:szCs w:val="20"/>
    </w:rPr>
  </w:style>
  <w:style w:type="paragraph" w:customStyle="1" w:styleId="ListDash2">
    <w:name w:val="List Dash 2"/>
    <w:basedOn w:val="Text2"/>
    <w:pPr>
      <w:numPr>
        <w:numId w:val="30"/>
      </w:numPr>
      <w:spacing w:before="0" w:after="240"/>
    </w:pPr>
    <w:rPr>
      <w:szCs w:val="20"/>
    </w:rPr>
  </w:style>
  <w:style w:type="paragraph" w:customStyle="1" w:styleId="ListDash4">
    <w:name w:val="List Dash 4"/>
    <w:basedOn w:val="Text4"/>
    <w:pPr>
      <w:numPr>
        <w:numId w:val="31"/>
      </w:numPr>
      <w:spacing w:before="0" w:after="240"/>
    </w:pPr>
    <w:rPr>
      <w:szCs w:val="20"/>
    </w:rPr>
  </w:style>
  <w:style w:type="paragraph" w:customStyle="1" w:styleId="ListNumberLevel2">
    <w:name w:val="List Number (Level 2)"/>
    <w:basedOn w:val="Normal"/>
    <w:pPr>
      <w:numPr>
        <w:ilvl w:val="3"/>
        <w:numId w:val="32"/>
      </w:numPr>
      <w:tabs>
        <w:tab w:val="clear" w:pos="2835"/>
        <w:tab w:val="num" w:pos="1417"/>
      </w:tabs>
      <w:spacing w:after="240" w:line="240" w:lineRule="auto"/>
      <w:ind w:left="1417" w:hanging="708"/>
      <w:jc w:val="both"/>
    </w:pPr>
    <w:rPr>
      <w:rFonts w:ascii="Times New Roman" w:eastAsia="Times New Roman" w:hAnsi="Times New Roman" w:cs="Times New Roman"/>
      <w:sz w:val="24"/>
      <w:szCs w:val="20"/>
    </w:rPr>
  </w:style>
  <w:style w:type="paragraph" w:customStyle="1" w:styleId="ListNumberLevel3">
    <w:name w:val="List Number (Level 3)"/>
    <w:basedOn w:val="Normal"/>
    <w:pPr>
      <w:numPr>
        <w:ilvl w:val="2"/>
        <w:numId w:val="32"/>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pPr>
      <w:tabs>
        <w:tab w:val="num" w:pos="2835"/>
      </w:tabs>
      <w:spacing w:after="240" w:line="240" w:lineRule="auto"/>
      <w:ind w:left="2835" w:hanging="709"/>
      <w:jc w:val="both"/>
    </w:pPr>
    <w:rPr>
      <w:rFonts w:ascii="Times New Roman" w:eastAsia="Times New Roman" w:hAnsi="Times New Roman" w:cs="Times New Roman"/>
      <w:sz w:val="24"/>
      <w:szCs w:val="20"/>
    </w:rPr>
  </w:style>
  <w:style w:type="paragraph" w:customStyle="1" w:styleId="ListNumber1Level3">
    <w:name w:val="List Number 1 (Level 3)"/>
    <w:basedOn w:val="Text1"/>
    <w:pPr>
      <w:tabs>
        <w:tab w:val="num" w:pos="2608"/>
      </w:tabs>
      <w:spacing w:before="0" w:after="240"/>
      <w:ind w:left="2608" w:hanging="709"/>
    </w:pPr>
    <w:rPr>
      <w:szCs w:val="20"/>
    </w:rPr>
  </w:style>
  <w:style w:type="paragraph" w:customStyle="1" w:styleId="ListNumber1Level4">
    <w:name w:val="List Number 1 (Level 4)"/>
    <w:basedOn w:val="Text1"/>
    <w:pPr>
      <w:tabs>
        <w:tab w:val="num" w:pos="3317"/>
      </w:tabs>
      <w:spacing w:before="0" w:after="240"/>
      <w:ind w:left="3317" w:hanging="709"/>
    </w:pPr>
    <w:rPr>
      <w:szCs w:val="20"/>
    </w:rPr>
  </w:style>
  <w:style w:type="paragraph" w:customStyle="1" w:styleId="ListNumber2Level2">
    <w:name w:val="List Number 2 (Level 2)"/>
    <w:basedOn w:val="Text2"/>
    <w:pPr>
      <w:numPr>
        <w:ilvl w:val="3"/>
        <w:numId w:val="33"/>
      </w:numPr>
      <w:tabs>
        <w:tab w:val="clear" w:pos="4037"/>
        <w:tab w:val="num" w:pos="2619"/>
      </w:tabs>
      <w:spacing w:before="0" w:after="240"/>
      <w:ind w:left="2619" w:hanging="708"/>
    </w:pPr>
    <w:rPr>
      <w:szCs w:val="20"/>
    </w:rPr>
  </w:style>
  <w:style w:type="paragraph" w:customStyle="1" w:styleId="ListNumber2Level3">
    <w:name w:val="List Number 2 (Level 3)"/>
    <w:basedOn w:val="Text2"/>
    <w:pPr>
      <w:numPr>
        <w:ilvl w:val="2"/>
        <w:numId w:val="33"/>
      </w:numPr>
      <w:spacing w:before="0" w:after="240"/>
    </w:pPr>
    <w:rPr>
      <w:szCs w:val="20"/>
    </w:rPr>
  </w:style>
  <w:style w:type="paragraph" w:customStyle="1" w:styleId="ListNumber2Level4">
    <w:name w:val="List Number 2 (Level 4)"/>
    <w:basedOn w:val="Text2"/>
    <w:pPr>
      <w:tabs>
        <w:tab w:val="num" w:pos="4037"/>
      </w:tabs>
      <w:spacing w:before="0" w:after="240"/>
      <w:ind w:left="4037" w:hanging="709"/>
    </w:pPr>
    <w:rPr>
      <w:szCs w:val="20"/>
    </w:rPr>
  </w:style>
  <w:style w:type="paragraph" w:customStyle="1" w:styleId="ListNumber3Level2">
    <w:name w:val="List Number 3 (Level 2)"/>
    <w:basedOn w:val="Text3"/>
    <w:pPr>
      <w:numPr>
        <w:ilvl w:val="3"/>
        <w:numId w:val="34"/>
      </w:numPr>
      <w:tabs>
        <w:tab w:val="clear" w:pos="4037"/>
        <w:tab w:val="num" w:pos="2619"/>
      </w:tabs>
      <w:spacing w:before="0" w:after="240"/>
      <w:ind w:left="2619" w:hanging="708"/>
    </w:pPr>
    <w:rPr>
      <w:szCs w:val="20"/>
    </w:rPr>
  </w:style>
  <w:style w:type="paragraph" w:customStyle="1" w:styleId="ListNumber3Level3">
    <w:name w:val="List Number 3 (Level 3)"/>
    <w:basedOn w:val="Text3"/>
    <w:pPr>
      <w:numPr>
        <w:ilvl w:val="2"/>
        <w:numId w:val="34"/>
      </w:numPr>
      <w:spacing w:before="0" w:after="240"/>
    </w:pPr>
    <w:rPr>
      <w:szCs w:val="20"/>
    </w:rPr>
  </w:style>
  <w:style w:type="paragraph" w:customStyle="1" w:styleId="ListNumber3Level4">
    <w:name w:val="List Number 3 (Level 4)"/>
    <w:basedOn w:val="Text3"/>
    <w:pPr>
      <w:tabs>
        <w:tab w:val="num" w:pos="4037"/>
      </w:tabs>
      <w:spacing w:before="0" w:after="240"/>
      <w:ind w:left="4037" w:hanging="709"/>
    </w:pPr>
    <w:rPr>
      <w:szCs w:val="20"/>
    </w:rPr>
  </w:style>
  <w:style w:type="paragraph" w:customStyle="1" w:styleId="ListNumber4Level2">
    <w:name w:val="List Number 4 (Level 2)"/>
    <w:basedOn w:val="Text4"/>
    <w:pPr>
      <w:numPr>
        <w:ilvl w:val="3"/>
        <w:numId w:val="35"/>
      </w:numPr>
      <w:tabs>
        <w:tab w:val="clear" w:pos="4037"/>
        <w:tab w:val="num" w:pos="2619"/>
      </w:tabs>
      <w:spacing w:before="0" w:after="240"/>
      <w:ind w:left="2619" w:hanging="708"/>
    </w:pPr>
    <w:rPr>
      <w:szCs w:val="20"/>
    </w:rPr>
  </w:style>
  <w:style w:type="paragraph" w:customStyle="1" w:styleId="ListNumber4Level3">
    <w:name w:val="List Number 4 (Level 3)"/>
    <w:basedOn w:val="Text4"/>
    <w:pPr>
      <w:numPr>
        <w:ilvl w:val="2"/>
        <w:numId w:val="35"/>
      </w:numPr>
      <w:spacing w:before="0" w:after="240"/>
    </w:pPr>
    <w:rPr>
      <w:szCs w:val="20"/>
    </w:rPr>
  </w:style>
  <w:style w:type="paragraph" w:customStyle="1" w:styleId="ListNumber4Level4">
    <w:name w:val="List Number 4 (Level 4)"/>
    <w:basedOn w:val="Text4"/>
    <w:pPr>
      <w:tabs>
        <w:tab w:val="num" w:pos="4037"/>
      </w:tabs>
      <w:spacing w:before="0" w:after="240"/>
      <w:ind w:left="4037" w:hanging="709"/>
    </w:pPr>
    <w:rPr>
      <w:szCs w:val="20"/>
    </w:rPr>
  </w:style>
  <w:style w:type="paragraph" w:customStyle="1" w:styleId="Contact">
    <w:name w:val="Contact"/>
    <w:basedOn w:val="Normal"/>
    <w:next w:val="Normal"/>
    <w:pPr>
      <w:spacing w:after="480" w:line="240" w:lineRule="auto"/>
      <w:ind w:left="567" w:hanging="567"/>
    </w:pPr>
    <w:rPr>
      <w:rFonts w:ascii="Times New Roman" w:eastAsia="Times New Roman" w:hAnsi="Times New Roman" w:cs="Times New Roman"/>
      <w:sz w:val="24"/>
      <w:szCs w:val="20"/>
    </w:rPr>
  </w:style>
  <w:style w:type="paragraph" w:customStyle="1" w:styleId="Designator">
    <w:name w:val="Designator"/>
    <w:basedOn w:val="Normal"/>
    <w:pPr>
      <w:spacing w:after="0" w:line="240" w:lineRule="auto"/>
      <w:jc w:val="center"/>
    </w:pPr>
    <w:rPr>
      <w:rFonts w:ascii="Times New Roman" w:eastAsia="Times New Roman" w:hAnsi="Times New Roman" w:cs="Times New Roman"/>
      <w:b/>
      <w:caps/>
      <w:sz w:val="32"/>
      <w:szCs w:val="20"/>
    </w:rPr>
  </w:style>
  <w:style w:type="paragraph" w:customStyle="1" w:styleId="Releasable">
    <w:name w:val="Releasable"/>
    <w:basedOn w:val="Normal"/>
    <w:qFormat/>
    <w:pPr>
      <w:spacing w:after="0" w:line="240" w:lineRule="auto"/>
      <w:jc w:val="center"/>
    </w:pPr>
    <w:rPr>
      <w:rFonts w:ascii="Times New Roman" w:eastAsia="Times New Roman" w:hAnsi="Times New Roman" w:cs="Times New Roman"/>
      <w:b/>
      <w:caps/>
      <w:sz w:val="32"/>
      <w:szCs w:val="20"/>
    </w:rPr>
  </w:style>
  <w:style w:type="paragraph" w:customStyle="1" w:styleId="RUE">
    <w:name w:val="RUE"/>
    <w:basedOn w:val="Normal"/>
    <w:pPr>
      <w:spacing w:after="0" w:line="240" w:lineRule="auto"/>
      <w:jc w:val="center"/>
    </w:pPr>
    <w:rPr>
      <w:rFonts w:ascii="Times New Roman" w:eastAsia="Times New Roman" w:hAnsi="Times New Roman" w:cs="Times New Roman"/>
      <w:b/>
      <w:caps/>
      <w:sz w:val="32"/>
      <w:szCs w:val="20"/>
      <w:bdr w:val="single" w:sz="18" w:space="0" w:color="auto"/>
    </w:rPr>
  </w:style>
  <w:style w:type="paragraph" w:customStyle="1" w:styleId="ConfidentialUE">
    <w:name w:val="Confidential UE"/>
    <w:basedOn w:val="Normal"/>
    <w:pPr>
      <w:spacing w:after="0" w:line="240" w:lineRule="auto"/>
      <w:jc w:val="center"/>
    </w:pPr>
    <w:rPr>
      <w:rFonts w:ascii="Times New Roman" w:eastAsia="Times New Roman" w:hAnsi="Times New Roman" w:cs="Times New Roman"/>
      <w:b/>
      <w:caps/>
      <w:sz w:val="32"/>
      <w:szCs w:val="20"/>
      <w:bdr w:val="single" w:sz="18" w:space="0" w:color="auto"/>
    </w:rPr>
  </w:style>
  <w:style w:type="paragraph" w:customStyle="1" w:styleId="SecretUE">
    <w:name w:val="Secret UE"/>
    <w:basedOn w:val="Normal"/>
    <w:pPr>
      <w:spacing w:after="0" w:line="240" w:lineRule="auto"/>
      <w:jc w:val="center"/>
    </w:pPr>
    <w:rPr>
      <w:rFonts w:ascii="Times New Roman" w:eastAsia="Times New Roman" w:hAnsi="Times New Roman" w:cs="Times New Roman"/>
      <w:b/>
      <w:caps/>
      <w:color w:val="FF0000"/>
      <w:sz w:val="32"/>
      <w:szCs w:val="20"/>
      <w:bdr w:val="single" w:sz="18" w:space="0" w:color="FF0000"/>
    </w:rPr>
  </w:style>
  <w:style w:type="paragraph" w:customStyle="1" w:styleId="TrsSecretUE">
    <w:name w:val="Très Secret UE"/>
    <w:basedOn w:val="Normal"/>
    <w:pPr>
      <w:spacing w:after="0" w:line="240" w:lineRule="auto"/>
      <w:jc w:val="center"/>
    </w:pPr>
    <w:rPr>
      <w:rFonts w:ascii="Times New Roman" w:eastAsia="Times New Roman" w:hAnsi="Times New Roman" w:cs="Times New Roman"/>
      <w:b/>
      <w:caps/>
      <w:color w:val="FF0000"/>
      <w:sz w:val="32"/>
      <w:szCs w:val="20"/>
      <w:bdr w:val="single" w:sz="18" w:space="0" w:color="FF0000"/>
    </w:rPr>
  </w:style>
  <w:style w:type="paragraph" w:customStyle="1" w:styleId="ZCom">
    <w:name w:val="Z_Com"/>
    <w:basedOn w:val="Normal"/>
    <w:next w:val="ZDGName"/>
    <w:uiPriority w:val="99"/>
    <w:pPr>
      <w:widowControl w:val="0"/>
      <w:autoSpaceDE w:val="0"/>
      <w:autoSpaceDN w:val="0"/>
      <w:spacing w:after="0" w:line="240" w:lineRule="auto"/>
      <w:ind w:right="85"/>
      <w:jc w:val="both"/>
    </w:pPr>
    <w:rPr>
      <w:rFonts w:ascii="Arial" w:eastAsia="Times New Roman" w:hAnsi="Arial" w:cs="Arial"/>
      <w:sz w:val="24"/>
      <w:szCs w:val="24"/>
      <w:lang w:eastAsia="en-GB"/>
    </w:rPr>
  </w:style>
  <w:style w:type="paragraph" w:customStyle="1" w:styleId="ZDGName">
    <w:name w:val="Z_DGName"/>
    <w:basedOn w:val="Normal"/>
    <w:uiPriority w:val="99"/>
    <w:pPr>
      <w:widowControl w:val="0"/>
      <w:autoSpaceDE w:val="0"/>
      <w:autoSpaceDN w:val="0"/>
      <w:spacing w:after="0" w:line="240" w:lineRule="auto"/>
      <w:ind w:right="85"/>
    </w:pPr>
    <w:rPr>
      <w:rFonts w:ascii="Arial" w:eastAsia="Times New Roman" w:hAnsi="Arial" w:cs="Arial"/>
      <w:sz w:val="16"/>
      <w:szCs w:val="16"/>
      <w:lang w:eastAsia="en-GB"/>
    </w:rPr>
  </w:style>
  <w:style w:type="table" w:styleId="TableGrid">
    <w:name w:val="Table Grid"/>
    <w:basedOn w:val="TableNormal"/>
    <w:uiPriority w:val="5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uiPriority w:val="99"/>
    <w:unhideWhenUsed/>
    <w:rPr>
      <w:vertAlign w:val="superscript"/>
    </w:rPr>
  </w:style>
  <w:style w:type="paragraph" w:styleId="BalloonText">
    <w:name w:val="Balloon Text"/>
    <w:basedOn w:val="Normal"/>
    <w:link w:val="BalloonTextChar"/>
    <w:uiPriority w:val="99"/>
    <w:unhideWhenUsed/>
    <w:pPr>
      <w:spacing w:after="0" w:line="240" w:lineRule="auto"/>
      <w:jc w:val="both"/>
    </w:pPr>
    <w:rPr>
      <w:rFonts w:ascii="Tahoma" w:eastAsia="Times New Roman" w:hAnsi="Tahoma" w:cs="Times New Roman"/>
      <w:sz w:val="16"/>
      <w:szCs w:val="16"/>
    </w:rPr>
  </w:style>
  <w:style w:type="character" w:customStyle="1" w:styleId="BalloonTextChar">
    <w:name w:val="Balloon Text Char"/>
    <w:basedOn w:val="DefaultParagraphFont"/>
    <w:link w:val="BalloonText"/>
    <w:uiPriority w:val="99"/>
    <w:rPr>
      <w:rFonts w:ascii="Tahoma" w:eastAsia="Times New Roman" w:hAnsi="Tahoma" w:cs="Times New Roman"/>
      <w:sz w:val="16"/>
      <w:szCs w:val="16"/>
      <w:lang w:val="fr-FR"/>
    </w:rPr>
  </w:style>
  <w:style w:type="character" w:styleId="FollowedHyperlink">
    <w:name w:val="FollowedHyperlink"/>
    <w:uiPriority w:val="99"/>
    <w:unhideWhenUsed/>
    <w:rPr>
      <w:color w:val="800080"/>
      <w:u w:val="single"/>
    </w:rPr>
  </w:style>
  <w:style w:type="numbering" w:customStyle="1" w:styleId="NoList2">
    <w:name w:val="No List2"/>
    <w:next w:val="NoList"/>
    <w:uiPriority w:val="99"/>
    <w:semiHidden/>
  </w:style>
  <w:style w:type="character" w:styleId="CommentReference">
    <w:name w:val="annotation reference"/>
    <w:rPr>
      <w:sz w:val="16"/>
      <w:szCs w:val="16"/>
    </w:rPr>
  </w:style>
  <w:style w:type="paragraph" w:styleId="CommentSubject">
    <w:name w:val="annotation subject"/>
    <w:basedOn w:val="CommentText"/>
    <w:next w:val="CommentText"/>
    <w:link w:val="CommentSubjectChar"/>
    <w:pPr>
      <w:spacing w:before="120" w:after="120"/>
    </w:pP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rPr>
  </w:style>
  <w:style w:type="paragraph" w:customStyle="1" w:styleId="xl67">
    <w:name w:val="xl67"/>
    <w:basedOn w:val="Normal"/>
    <w:pPr>
      <w:spacing w:before="100" w:beforeAutospacing="1" w:after="100" w:afterAutospacing="1" w:line="240" w:lineRule="auto"/>
    </w:pPr>
    <w:rPr>
      <w:rFonts w:ascii="Arial" w:eastAsia="Times New Roman" w:hAnsi="Arial" w:cs="Arial"/>
      <w:sz w:val="20"/>
      <w:szCs w:val="20"/>
      <w:lang w:eastAsia="en-GB"/>
    </w:rPr>
  </w:style>
  <w:style w:type="paragraph" w:customStyle="1" w:styleId="xl68">
    <w:name w:val="xl68"/>
    <w:basedOn w:val="Normal"/>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4"/>
      <w:szCs w:val="14"/>
      <w:lang w:eastAsia="en-GB"/>
    </w:rPr>
  </w:style>
  <w:style w:type="paragraph" w:customStyle="1" w:styleId="xl69">
    <w:name w:val="xl69"/>
    <w:basedOn w:val="Normal"/>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sz w:val="14"/>
      <w:szCs w:val="14"/>
      <w:lang w:eastAsia="en-GB"/>
    </w:rPr>
  </w:style>
  <w:style w:type="paragraph" w:customStyle="1" w:styleId="xl70">
    <w:name w:val="xl70"/>
    <w:basedOn w:val="Normal"/>
    <w:pPr>
      <w:pBdr>
        <w:top w:val="single" w:sz="4" w:space="0" w:color="auto"/>
        <w:left w:val="single" w:sz="4" w:space="0" w:color="auto"/>
        <w:bottom w:val="single" w:sz="4" w:space="0" w:color="auto"/>
        <w:right w:val="single" w:sz="4" w:space="0" w:color="auto"/>
      </w:pBdr>
      <w:shd w:val="clear" w:color="FF0000" w:fill="BFBFBF"/>
      <w:spacing w:before="100" w:beforeAutospacing="1" w:after="100" w:afterAutospacing="1" w:line="240" w:lineRule="auto"/>
      <w:textAlignment w:val="center"/>
    </w:pPr>
    <w:rPr>
      <w:rFonts w:ascii="Arial" w:eastAsia="Times New Roman" w:hAnsi="Arial" w:cs="Arial"/>
      <w:b/>
      <w:bCs/>
      <w:color w:val="000000"/>
      <w:sz w:val="14"/>
      <w:szCs w:val="14"/>
      <w:lang w:eastAsia="en-GB"/>
    </w:rPr>
  </w:style>
  <w:style w:type="paragraph" w:customStyle="1" w:styleId="xl71">
    <w:name w:val="xl71"/>
    <w:basedOn w:val="Normal"/>
    <w:pPr>
      <w:pBdr>
        <w:top w:val="single" w:sz="4" w:space="0" w:color="auto"/>
        <w:left w:val="single" w:sz="4" w:space="0" w:color="auto"/>
        <w:bottom w:val="single" w:sz="4" w:space="0" w:color="auto"/>
        <w:right w:val="single" w:sz="4" w:space="0" w:color="auto"/>
      </w:pBdr>
      <w:shd w:val="clear" w:color="FF0000" w:fill="BFBFBF"/>
      <w:spacing w:before="100" w:beforeAutospacing="1" w:after="100" w:afterAutospacing="1" w:line="240" w:lineRule="auto"/>
      <w:textAlignment w:val="center"/>
    </w:pPr>
    <w:rPr>
      <w:rFonts w:ascii="Arial" w:eastAsia="Times New Roman" w:hAnsi="Arial" w:cs="Arial"/>
      <w:b/>
      <w:bCs/>
      <w:color w:val="000000"/>
      <w:sz w:val="14"/>
      <w:szCs w:val="14"/>
      <w:lang w:eastAsia="en-GB"/>
    </w:rPr>
  </w:style>
  <w:style w:type="paragraph" w:customStyle="1" w:styleId="xl72">
    <w:name w:val="xl72"/>
    <w:basedOn w:val="Normal"/>
    <w:pPr>
      <w:pBdr>
        <w:top w:val="single" w:sz="4" w:space="0" w:color="auto"/>
        <w:left w:val="single" w:sz="4" w:space="0" w:color="auto"/>
        <w:bottom w:val="single" w:sz="4" w:space="0" w:color="auto"/>
        <w:right w:val="single" w:sz="4" w:space="0" w:color="auto"/>
      </w:pBdr>
      <w:shd w:val="clear" w:color="FF0000" w:fill="BFBFBF"/>
      <w:spacing w:before="100" w:beforeAutospacing="1" w:after="100" w:afterAutospacing="1" w:line="240" w:lineRule="auto"/>
      <w:textAlignment w:val="center"/>
    </w:pPr>
    <w:rPr>
      <w:rFonts w:ascii="Arial" w:eastAsia="Times New Roman" w:hAnsi="Arial" w:cs="Arial"/>
      <w:b/>
      <w:bCs/>
      <w:color w:val="000000"/>
      <w:sz w:val="14"/>
      <w:szCs w:val="14"/>
      <w:lang w:eastAsia="en-GB"/>
    </w:rPr>
  </w:style>
  <w:style w:type="paragraph" w:customStyle="1" w:styleId="xl73">
    <w:name w:val="xl73"/>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4"/>
      <w:szCs w:val="14"/>
      <w:lang w:eastAsia="en-GB"/>
    </w:rPr>
  </w:style>
  <w:style w:type="paragraph" w:customStyle="1" w:styleId="xl74">
    <w:name w:val="xl74"/>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4"/>
      <w:szCs w:val="14"/>
      <w:lang w:eastAsia="en-GB"/>
    </w:rPr>
  </w:style>
  <w:style w:type="paragraph" w:customStyle="1" w:styleId="xl75">
    <w:name w:val="xl75"/>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4"/>
      <w:szCs w:val="14"/>
      <w:lang w:eastAsia="en-GB"/>
    </w:rPr>
  </w:style>
  <w:style w:type="paragraph" w:customStyle="1" w:styleId="xl76">
    <w:name w:val="xl76"/>
    <w:basedOn w:val="Normal"/>
    <w:pPr>
      <w:pBdr>
        <w:top w:val="single" w:sz="4" w:space="0" w:color="auto"/>
        <w:left w:val="single" w:sz="4" w:space="0" w:color="auto"/>
        <w:right w:val="single" w:sz="4" w:space="0" w:color="auto"/>
      </w:pBdr>
      <w:shd w:val="clear" w:color="FF0000" w:fill="BFBFBF"/>
      <w:spacing w:before="100" w:beforeAutospacing="1" w:after="100" w:afterAutospacing="1" w:line="240" w:lineRule="auto"/>
      <w:textAlignment w:val="center"/>
    </w:pPr>
    <w:rPr>
      <w:rFonts w:ascii="Arial" w:eastAsia="Times New Roman" w:hAnsi="Arial" w:cs="Arial"/>
      <w:b/>
      <w:bCs/>
      <w:color w:val="000000"/>
      <w:sz w:val="14"/>
      <w:szCs w:val="14"/>
      <w:lang w:eastAsia="en-GB"/>
    </w:rPr>
  </w:style>
  <w:style w:type="paragraph" w:customStyle="1" w:styleId="xl77">
    <w:name w:val="xl77"/>
    <w:basedOn w:val="Normal"/>
    <w:pPr>
      <w:pBdr>
        <w:top w:val="single" w:sz="4" w:space="0" w:color="auto"/>
        <w:left w:val="single" w:sz="4" w:space="0" w:color="auto"/>
        <w:right w:val="single" w:sz="4" w:space="0" w:color="auto"/>
      </w:pBdr>
      <w:shd w:val="clear" w:color="FF0000" w:fill="BFBFBF"/>
      <w:spacing w:before="100" w:beforeAutospacing="1" w:after="100" w:afterAutospacing="1" w:line="240" w:lineRule="auto"/>
      <w:textAlignment w:val="center"/>
    </w:pPr>
    <w:rPr>
      <w:rFonts w:ascii="Arial" w:eastAsia="Times New Roman" w:hAnsi="Arial" w:cs="Arial"/>
      <w:b/>
      <w:bCs/>
      <w:color w:val="000000"/>
      <w:sz w:val="14"/>
      <w:szCs w:val="14"/>
      <w:lang w:eastAsia="en-GB"/>
    </w:rPr>
  </w:style>
  <w:style w:type="paragraph" w:customStyle="1" w:styleId="xl78">
    <w:name w:val="xl78"/>
    <w:basedOn w:val="Normal"/>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4"/>
      <w:szCs w:val="14"/>
      <w:lang w:eastAsia="en-GB"/>
    </w:rPr>
  </w:style>
  <w:style w:type="paragraph" w:customStyle="1" w:styleId="xl79">
    <w:name w:val="xl79"/>
    <w:basedOn w:val="Normal"/>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4"/>
      <w:szCs w:val="14"/>
      <w:lang w:eastAsia="en-GB"/>
    </w:rPr>
  </w:style>
  <w:style w:type="paragraph" w:customStyle="1" w:styleId="xl80">
    <w:name w:val="xl80"/>
    <w:basedOn w:val="Normal"/>
    <w:pPr>
      <w:pBdr>
        <w:top w:val="single" w:sz="8" w:space="0" w:color="auto"/>
        <w:left w:val="single" w:sz="8" w:space="0" w:color="auto"/>
        <w:bottom w:val="single" w:sz="8" w:space="0" w:color="auto"/>
      </w:pBdr>
      <w:shd w:val="clear" w:color="000000" w:fill="BFBFBF"/>
      <w:spacing w:before="100" w:beforeAutospacing="1" w:after="100" w:afterAutospacing="1" w:line="240" w:lineRule="auto"/>
    </w:pPr>
    <w:rPr>
      <w:rFonts w:ascii="Arial" w:eastAsia="Times New Roman" w:hAnsi="Arial" w:cs="Arial"/>
      <w:b/>
      <w:bCs/>
      <w:sz w:val="14"/>
      <w:szCs w:val="14"/>
      <w:lang w:eastAsia="en-GB"/>
    </w:rPr>
  </w:style>
  <w:style w:type="paragraph" w:customStyle="1" w:styleId="xl81">
    <w:name w:val="xl81"/>
    <w:basedOn w:val="Normal"/>
    <w:pPr>
      <w:pBdr>
        <w:top w:val="single" w:sz="8" w:space="0" w:color="auto"/>
        <w:bottom w:val="single" w:sz="8" w:space="0" w:color="auto"/>
      </w:pBdr>
      <w:shd w:val="clear" w:color="000000" w:fill="BFBFBF"/>
      <w:spacing w:before="100" w:beforeAutospacing="1" w:after="100" w:afterAutospacing="1" w:line="240" w:lineRule="auto"/>
    </w:pPr>
    <w:rPr>
      <w:rFonts w:ascii="Arial" w:eastAsia="Times New Roman" w:hAnsi="Arial" w:cs="Arial"/>
      <w:b/>
      <w:bCs/>
      <w:sz w:val="14"/>
      <w:szCs w:val="14"/>
      <w:lang w:eastAsia="en-GB"/>
    </w:rPr>
  </w:style>
  <w:style w:type="paragraph" w:customStyle="1" w:styleId="xl82">
    <w:name w:val="xl82"/>
    <w:basedOn w:val="Normal"/>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4"/>
      <w:szCs w:val="14"/>
      <w:lang w:eastAsia="en-GB"/>
    </w:rPr>
  </w:style>
  <w:style w:type="paragraph" w:customStyle="1" w:styleId="xl83">
    <w:name w:val="xl83"/>
    <w:basedOn w:val="Normal"/>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4"/>
      <w:szCs w:val="14"/>
      <w:lang w:eastAsia="en-GB"/>
    </w:rPr>
  </w:style>
  <w:style w:type="paragraph" w:customStyle="1" w:styleId="xl84">
    <w:name w:val="xl84"/>
    <w:basedOn w:val="Normal"/>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sz w:val="14"/>
      <w:szCs w:val="14"/>
      <w:lang w:eastAsia="en-GB"/>
    </w:rPr>
  </w:style>
  <w:style w:type="paragraph" w:styleId="Revision">
    <w:name w:val="Revision"/>
    <w:hidden/>
    <w:uiPriority w:val="99"/>
    <w:semiHidden/>
    <w:pPr>
      <w:spacing w:after="0" w:line="240" w:lineRule="auto"/>
    </w:pPr>
    <w:rPr>
      <w:rFonts w:ascii="Calibri" w:eastAsia="Calibri" w:hAnsi="Calibri" w:cs="Times New Roman"/>
      <w:noProof/>
    </w:rPr>
  </w:style>
  <w:style w:type="paragraph" w:styleId="ListParagraph">
    <w:name w:val="List Paragraph"/>
    <w:basedOn w:val="Normal"/>
    <w:uiPriority w:val="34"/>
    <w:qFormat/>
    <w:pPr>
      <w:ind w:left="720"/>
      <w:contextualSpacing/>
    </w:pPr>
    <w:rPr>
      <w:rFonts w:ascii="Calibri" w:eastAsia="Calibri" w:hAnsi="Calibri" w:cs="Times New Roman"/>
      <w:noProof/>
    </w:rPr>
  </w:style>
  <w:style w:type="paragraph" w:customStyle="1" w:styleId="xl65">
    <w:name w:val="xl65"/>
    <w:basedOn w:val="Normal"/>
    <w:pPr>
      <w:pBdr>
        <w:top w:val="single" w:sz="4" w:space="0" w:color="000000"/>
        <w:left w:val="single" w:sz="4" w:space="0" w:color="000000"/>
        <w:bottom w:val="single" w:sz="4" w:space="0" w:color="000000"/>
        <w:right w:val="single" w:sz="4" w:space="0" w:color="000000"/>
      </w:pBdr>
      <w:shd w:val="clear" w:color="C0C0C0" w:fill="4F81BD"/>
      <w:spacing w:before="100" w:beforeAutospacing="1" w:after="100" w:afterAutospacing="1" w:line="240" w:lineRule="auto"/>
      <w:textAlignment w:val="center"/>
    </w:pPr>
    <w:rPr>
      <w:rFonts w:ascii="Times New Roman" w:eastAsia="Times New Roman" w:hAnsi="Times New Roman" w:cs="Times New Roman"/>
      <w:b/>
      <w:bCs/>
      <w:color w:val="FFFFFF"/>
      <w:sz w:val="16"/>
      <w:szCs w:val="16"/>
      <w:lang w:eastAsia="en-GB"/>
    </w:rPr>
  </w:style>
  <w:style w:type="paragraph" w:customStyle="1" w:styleId="xl66">
    <w:name w:val="xl66"/>
    <w:basedOn w:val="Normal"/>
    <w:pPr>
      <w:pBdr>
        <w:top w:val="single" w:sz="4" w:space="0" w:color="000000"/>
        <w:left w:val="single" w:sz="4" w:space="0" w:color="000000"/>
        <w:bottom w:val="single" w:sz="4" w:space="0" w:color="000000"/>
        <w:right w:val="single" w:sz="4" w:space="0" w:color="000000"/>
      </w:pBdr>
      <w:shd w:val="clear" w:color="C0C0C0" w:fill="4F81BD"/>
      <w:spacing w:before="100" w:beforeAutospacing="1" w:after="100" w:afterAutospacing="1" w:line="240" w:lineRule="auto"/>
      <w:jc w:val="center"/>
      <w:textAlignment w:val="center"/>
    </w:pPr>
    <w:rPr>
      <w:rFonts w:ascii="Times New Roman" w:eastAsia="Times New Roman" w:hAnsi="Times New Roman" w:cs="Times New Roman"/>
      <w:b/>
      <w:bCs/>
      <w:color w:val="FFFFFF"/>
      <w:sz w:val="16"/>
      <w:szCs w:val="16"/>
      <w:lang w:eastAsia="en-GB"/>
    </w:r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line="240" w:lineRule="auto"/>
      <w:jc w:val="both"/>
    </w:pPr>
    <w:rPr>
      <w:rFonts w:ascii="Times New Roman" w:hAnsi="Times New Roman" w:cs="Times New Roman"/>
      <w:sz w:val="24"/>
    </w:rPr>
  </w:style>
  <w:style w:type="paragraph" w:customStyle="1" w:styleId="SecurityMarking">
    <w:name w:val="SecurityMarking"/>
    <w:basedOn w:val="Normal"/>
    <w:pPr>
      <w:spacing w:after="0"/>
      <w:ind w:left="5103"/>
    </w:pPr>
    <w:rPr>
      <w:rFonts w:ascii="Times New Roman" w:hAnsi="Times New Roman" w:cs="Times New Roman"/>
      <w:sz w:val="28"/>
    </w:rPr>
  </w:style>
  <w:style w:type="paragraph" w:customStyle="1" w:styleId="DateMarking">
    <w:name w:val="DateMarking"/>
    <w:basedOn w:val="Normal"/>
    <w:pPr>
      <w:spacing w:after="0"/>
      <w:ind w:left="5103"/>
    </w:pPr>
    <w:rPr>
      <w:rFonts w:ascii="Times New Roman" w:hAnsi="Times New Roman" w:cs="Times New Roman"/>
      <w:i/>
      <w:sz w:val="28"/>
    </w:rPr>
  </w:style>
  <w:style w:type="paragraph" w:customStyle="1" w:styleId="ReleasableTo">
    <w:name w:val="ReleasableTo"/>
    <w:basedOn w:val="Normal"/>
    <w:pPr>
      <w:spacing w:after="0"/>
      <w:ind w:left="5103"/>
    </w:pPr>
    <w:rPr>
      <w:rFonts w:ascii="Times New Roman" w:hAnsi="Times New Roman" w:cs="Times New Roman"/>
      <w:i/>
      <w:sz w:val="28"/>
    </w:rPr>
  </w:style>
  <w:style w:type="paragraph" w:customStyle="1" w:styleId="HeaderSensitivityRight">
    <w:name w:val="Header Sensitivity Right"/>
    <w:basedOn w:val="Normal"/>
    <w:pPr>
      <w:spacing w:after="120" w:line="240" w:lineRule="auto"/>
      <w:jc w:val="right"/>
    </w:pPr>
    <w:rPr>
      <w:rFonts w:ascii="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04095">
      <w:bodyDiv w:val="1"/>
      <w:marLeft w:val="0"/>
      <w:marRight w:val="0"/>
      <w:marTop w:val="0"/>
      <w:marBottom w:val="0"/>
      <w:divBdr>
        <w:top w:val="none" w:sz="0" w:space="0" w:color="auto"/>
        <w:left w:val="none" w:sz="0" w:space="0" w:color="auto"/>
        <w:bottom w:val="none" w:sz="0" w:space="0" w:color="auto"/>
        <w:right w:val="none" w:sz="0" w:space="0" w:color="auto"/>
      </w:divBdr>
    </w:div>
    <w:div w:id="307053832">
      <w:bodyDiv w:val="1"/>
      <w:marLeft w:val="0"/>
      <w:marRight w:val="0"/>
      <w:marTop w:val="0"/>
      <w:marBottom w:val="0"/>
      <w:divBdr>
        <w:top w:val="none" w:sz="0" w:space="0" w:color="auto"/>
        <w:left w:val="none" w:sz="0" w:space="0" w:color="auto"/>
        <w:bottom w:val="none" w:sz="0" w:space="0" w:color="auto"/>
        <w:right w:val="none" w:sz="0" w:space="0" w:color="auto"/>
      </w:divBdr>
    </w:div>
    <w:div w:id="362174247">
      <w:bodyDiv w:val="1"/>
      <w:marLeft w:val="0"/>
      <w:marRight w:val="0"/>
      <w:marTop w:val="0"/>
      <w:marBottom w:val="0"/>
      <w:divBdr>
        <w:top w:val="none" w:sz="0" w:space="0" w:color="auto"/>
        <w:left w:val="none" w:sz="0" w:space="0" w:color="auto"/>
        <w:bottom w:val="none" w:sz="0" w:space="0" w:color="auto"/>
        <w:right w:val="none" w:sz="0" w:space="0" w:color="auto"/>
      </w:divBdr>
    </w:div>
    <w:div w:id="378865838">
      <w:bodyDiv w:val="1"/>
      <w:marLeft w:val="0"/>
      <w:marRight w:val="0"/>
      <w:marTop w:val="0"/>
      <w:marBottom w:val="0"/>
      <w:divBdr>
        <w:top w:val="none" w:sz="0" w:space="0" w:color="auto"/>
        <w:left w:val="none" w:sz="0" w:space="0" w:color="auto"/>
        <w:bottom w:val="none" w:sz="0" w:space="0" w:color="auto"/>
        <w:right w:val="none" w:sz="0" w:space="0" w:color="auto"/>
      </w:divBdr>
    </w:div>
    <w:div w:id="395592468">
      <w:bodyDiv w:val="1"/>
      <w:marLeft w:val="0"/>
      <w:marRight w:val="0"/>
      <w:marTop w:val="0"/>
      <w:marBottom w:val="0"/>
      <w:divBdr>
        <w:top w:val="none" w:sz="0" w:space="0" w:color="auto"/>
        <w:left w:val="none" w:sz="0" w:space="0" w:color="auto"/>
        <w:bottom w:val="none" w:sz="0" w:space="0" w:color="auto"/>
        <w:right w:val="none" w:sz="0" w:space="0" w:color="auto"/>
      </w:divBdr>
    </w:div>
    <w:div w:id="499855355">
      <w:bodyDiv w:val="1"/>
      <w:marLeft w:val="0"/>
      <w:marRight w:val="0"/>
      <w:marTop w:val="0"/>
      <w:marBottom w:val="0"/>
      <w:divBdr>
        <w:top w:val="none" w:sz="0" w:space="0" w:color="auto"/>
        <w:left w:val="none" w:sz="0" w:space="0" w:color="auto"/>
        <w:bottom w:val="none" w:sz="0" w:space="0" w:color="auto"/>
        <w:right w:val="none" w:sz="0" w:space="0" w:color="auto"/>
      </w:divBdr>
    </w:div>
    <w:div w:id="752699412">
      <w:bodyDiv w:val="1"/>
      <w:marLeft w:val="0"/>
      <w:marRight w:val="0"/>
      <w:marTop w:val="0"/>
      <w:marBottom w:val="0"/>
      <w:divBdr>
        <w:top w:val="none" w:sz="0" w:space="0" w:color="auto"/>
        <w:left w:val="none" w:sz="0" w:space="0" w:color="auto"/>
        <w:bottom w:val="none" w:sz="0" w:space="0" w:color="auto"/>
        <w:right w:val="none" w:sz="0" w:space="0" w:color="auto"/>
      </w:divBdr>
    </w:div>
    <w:div w:id="813252188">
      <w:bodyDiv w:val="1"/>
      <w:marLeft w:val="0"/>
      <w:marRight w:val="0"/>
      <w:marTop w:val="0"/>
      <w:marBottom w:val="0"/>
      <w:divBdr>
        <w:top w:val="none" w:sz="0" w:space="0" w:color="auto"/>
        <w:left w:val="none" w:sz="0" w:space="0" w:color="auto"/>
        <w:bottom w:val="none" w:sz="0" w:space="0" w:color="auto"/>
        <w:right w:val="none" w:sz="0" w:space="0" w:color="auto"/>
      </w:divBdr>
    </w:div>
    <w:div w:id="943416120">
      <w:bodyDiv w:val="1"/>
      <w:marLeft w:val="0"/>
      <w:marRight w:val="0"/>
      <w:marTop w:val="0"/>
      <w:marBottom w:val="0"/>
      <w:divBdr>
        <w:top w:val="none" w:sz="0" w:space="0" w:color="auto"/>
        <w:left w:val="none" w:sz="0" w:space="0" w:color="auto"/>
        <w:bottom w:val="none" w:sz="0" w:space="0" w:color="auto"/>
        <w:right w:val="none" w:sz="0" w:space="0" w:color="auto"/>
      </w:divBdr>
    </w:div>
    <w:div w:id="1181548624">
      <w:bodyDiv w:val="1"/>
      <w:marLeft w:val="0"/>
      <w:marRight w:val="0"/>
      <w:marTop w:val="0"/>
      <w:marBottom w:val="0"/>
      <w:divBdr>
        <w:top w:val="none" w:sz="0" w:space="0" w:color="auto"/>
        <w:left w:val="none" w:sz="0" w:space="0" w:color="auto"/>
        <w:bottom w:val="none" w:sz="0" w:space="0" w:color="auto"/>
        <w:right w:val="none" w:sz="0" w:space="0" w:color="auto"/>
      </w:divBdr>
    </w:div>
    <w:div w:id="1341002302">
      <w:bodyDiv w:val="1"/>
      <w:marLeft w:val="0"/>
      <w:marRight w:val="0"/>
      <w:marTop w:val="0"/>
      <w:marBottom w:val="0"/>
      <w:divBdr>
        <w:top w:val="none" w:sz="0" w:space="0" w:color="auto"/>
        <w:left w:val="none" w:sz="0" w:space="0" w:color="auto"/>
        <w:bottom w:val="none" w:sz="0" w:space="0" w:color="auto"/>
        <w:right w:val="none" w:sz="0" w:space="0" w:color="auto"/>
      </w:divBdr>
    </w:div>
    <w:div w:id="1397819633">
      <w:bodyDiv w:val="1"/>
      <w:marLeft w:val="0"/>
      <w:marRight w:val="0"/>
      <w:marTop w:val="0"/>
      <w:marBottom w:val="0"/>
      <w:divBdr>
        <w:top w:val="none" w:sz="0" w:space="0" w:color="auto"/>
        <w:left w:val="none" w:sz="0" w:space="0" w:color="auto"/>
        <w:bottom w:val="none" w:sz="0" w:space="0" w:color="auto"/>
        <w:right w:val="none" w:sz="0" w:space="0" w:color="auto"/>
      </w:divBdr>
    </w:div>
    <w:div w:id="1421220442">
      <w:bodyDiv w:val="1"/>
      <w:marLeft w:val="0"/>
      <w:marRight w:val="0"/>
      <w:marTop w:val="0"/>
      <w:marBottom w:val="0"/>
      <w:divBdr>
        <w:top w:val="none" w:sz="0" w:space="0" w:color="auto"/>
        <w:left w:val="none" w:sz="0" w:space="0" w:color="auto"/>
        <w:bottom w:val="none" w:sz="0" w:space="0" w:color="auto"/>
        <w:right w:val="none" w:sz="0" w:space="0" w:color="auto"/>
      </w:divBdr>
    </w:div>
    <w:div w:id="1465655688">
      <w:bodyDiv w:val="1"/>
      <w:marLeft w:val="0"/>
      <w:marRight w:val="0"/>
      <w:marTop w:val="0"/>
      <w:marBottom w:val="0"/>
      <w:divBdr>
        <w:top w:val="none" w:sz="0" w:space="0" w:color="auto"/>
        <w:left w:val="none" w:sz="0" w:space="0" w:color="auto"/>
        <w:bottom w:val="none" w:sz="0" w:space="0" w:color="auto"/>
        <w:right w:val="none" w:sz="0" w:space="0" w:color="auto"/>
      </w:divBdr>
    </w:div>
    <w:div w:id="1522157871">
      <w:bodyDiv w:val="1"/>
      <w:marLeft w:val="0"/>
      <w:marRight w:val="0"/>
      <w:marTop w:val="0"/>
      <w:marBottom w:val="0"/>
      <w:divBdr>
        <w:top w:val="none" w:sz="0" w:space="0" w:color="auto"/>
        <w:left w:val="none" w:sz="0" w:space="0" w:color="auto"/>
        <w:bottom w:val="none" w:sz="0" w:space="0" w:color="auto"/>
        <w:right w:val="none" w:sz="0" w:space="0" w:color="auto"/>
      </w:divBdr>
    </w:div>
    <w:div w:id="1571771848">
      <w:bodyDiv w:val="1"/>
      <w:marLeft w:val="0"/>
      <w:marRight w:val="0"/>
      <w:marTop w:val="0"/>
      <w:marBottom w:val="0"/>
      <w:divBdr>
        <w:top w:val="none" w:sz="0" w:space="0" w:color="auto"/>
        <w:left w:val="none" w:sz="0" w:space="0" w:color="auto"/>
        <w:bottom w:val="none" w:sz="0" w:space="0" w:color="auto"/>
        <w:right w:val="none" w:sz="0" w:space="0" w:color="auto"/>
      </w:divBdr>
    </w:div>
    <w:div w:id="1574319904">
      <w:bodyDiv w:val="1"/>
      <w:marLeft w:val="0"/>
      <w:marRight w:val="0"/>
      <w:marTop w:val="0"/>
      <w:marBottom w:val="0"/>
      <w:divBdr>
        <w:top w:val="none" w:sz="0" w:space="0" w:color="auto"/>
        <w:left w:val="none" w:sz="0" w:space="0" w:color="auto"/>
        <w:bottom w:val="none" w:sz="0" w:space="0" w:color="auto"/>
        <w:right w:val="none" w:sz="0" w:space="0" w:color="auto"/>
      </w:divBdr>
    </w:div>
    <w:div w:id="1646812256">
      <w:bodyDiv w:val="1"/>
      <w:marLeft w:val="0"/>
      <w:marRight w:val="0"/>
      <w:marTop w:val="0"/>
      <w:marBottom w:val="0"/>
      <w:divBdr>
        <w:top w:val="none" w:sz="0" w:space="0" w:color="auto"/>
        <w:left w:val="none" w:sz="0" w:space="0" w:color="auto"/>
        <w:bottom w:val="none" w:sz="0" w:space="0" w:color="auto"/>
        <w:right w:val="none" w:sz="0" w:space="0" w:color="auto"/>
      </w:divBdr>
    </w:div>
    <w:div w:id="1648709357">
      <w:bodyDiv w:val="1"/>
      <w:marLeft w:val="0"/>
      <w:marRight w:val="0"/>
      <w:marTop w:val="0"/>
      <w:marBottom w:val="0"/>
      <w:divBdr>
        <w:top w:val="none" w:sz="0" w:space="0" w:color="auto"/>
        <w:left w:val="none" w:sz="0" w:space="0" w:color="auto"/>
        <w:bottom w:val="none" w:sz="0" w:space="0" w:color="auto"/>
        <w:right w:val="none" w:sz="0" w:space="0" w:color="auto"/>
      </w:divBdr>
    </w:div>
    <w:div w:id="1685135859">
      <w:bodyDiv w:val="1"/>
      <w:marLeft w:val="0"/>
      <w:marRight w:val="0"/>
      <w:marTop w:val="0"/>
      <w:marBottom w:val="0"/>
      <w:divBdr>
        <w:top w:val="none" w:sz="0" w:space="0" w:color="auto"/>
        <w:left w:val="none" w:sz="0" w:space="0" w:color="auto"/>
        <w:bottom w:val="none" w:sz="0" w:space="0" w:color="auto"/>
        <w:right w:val="none" w:sz="0" w:space="0" w:color="auto"/>
      </w:divBdr>
    </w:div>
    <w:div w:id="1785684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EA111-AFD6-4B87-9FD7-4F895A7C6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17</Pages>
  <Words>7711</Words>
  <Characters>39328</Characters>
  <Application>Microsoft Office Word</Application>
  <DocSecurity>0</DocSecurity>
  <Lines>1456</Lines>
  <Paragraphs>1175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45864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19</cp:revision>
  <cp:lastPrinted>2018-05-07T09:14:00Z</cp:lastPrinted>
  <dcterms:created xsi:type="dcterms:W3CDTF">2020-01-24T14:01:00Z</dcterms:created>
  <dcterms:modified xsi:type="dcterms:W3CDTF">2020-03-23T08:07:00Z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Level of sensitivity">
    <vt:lpwstr>Standard treatment</vt:lpwstr>
  </property>
  <property fmtid="{D5CDD505-2E9C-101B-9397-08002B2CF9AE}" pid="6" name="Created using">
    <vt:lpwstr>3.0</vt:lpwstr>
  </property>
  <property fmtid="{D5CDD505-2E9C-101B-9397-08002B2CF9AE}" pid="7" name="Last edited using">
    <vt:lpwstr>LW 7.0, Build 20190717</vt:lpwstr>
  </property>
  <property fmtid="{D5CDD505-2E9C-101B-9397-08002B2CF9AE}" pid="8" name="CPTemplateID">
    <vt:lpwstr>CP-006</vt:lpwstr>
  </property>
</Properties>
</file>