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563D30E-3FDE-43D2-A86A-D09FC6255F8D" style="width:450.5pt;height:44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 xml:space="preserve">1. </w:t>
      </w:r>
      <w:r>
        <w:rPr>
          <w:rFonts w:ascii="Times New Roman" w:hAnsi="Times New Roman"/>
          <w:b/>
          <w:smallCaps/>
          <w:noProof/>
          <w:sz w:val="24"/>
          <w:szCs w:val="24"/>
        </w:rPr>
        <w:t>Uvod</w:t>
      </w:r>
      <w:r>
        <w:rPr>
          <w:rFonts w:ascii="Times New Roman" w:hAnsi="Times New Roman"/>
          <w:b/>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To poročilo vsebuje pregled napredka, doseženega pri izvajanju sporočila z naslovom Trdnejše in prenovljeno </w:t>
      </w:r>
      <w:r>
        <w:rPr>
          <w:rFonts w:ascii="Times New Roman" w:hAnsi="Times New Roman"/>
          <w:b/>
          <w:noProof/>
          <w:sz w:val="24"/>
          <w:szCs w:val="24"/>
        </w:rPr>
        <w:t>strateško partnerstvo</w:t>
      </w:r>
      <w:r>
        <w:rPr>
          <w:rFonts w:ascii="Times New Roman" w:hAnsi="Times New Roman"/>
          <w:noProof/>
          <w:sz w:val="24"/>
          <w:szCs w:val="24"/>
        </w:rPr>
        <w:t xml:space="preserve"> z najbolj oddaljenimi regijami EU (v nadaljnjem besedilu: Sporočilo)</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Najbolj oddaljene regije EU – Gvadelup, Francoska Gvajana, Martinik, Mayotte, Reunion in Saint-Martin (Francija), Azori in Madeira (Portugalska) ter Kanarski otoki (Španija) – imajo stalno </w:t>
      </w:r>
      <w:r>
        <w:rPr>
          <w:rFonts w:ascii="Times New Roman" w:hAnsi="Times New Roman"/>
          <w:b/>
          <w:noProof/>
          <w:sz w:val="24"/>
          <w:szCs w:val="24"/>
        </w:rPr>
        <w:t>težave</w:t>
      </w:r>
      <w:r>
        <w:rPr>
          <w:rFonts w:ascii="Times New Roman" w:hAnsi="Times New Roman"/>
          <w:noProof/>
          <w:sz w:val="24"/>
          <w:szCs w:val="24"/>
        </w:rPr>
        <w:t>, povezane z njihovo odročnostjo, majhnostjo, ranljivostjo za podnebne spremembe in otoško lego</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ki zavirajo njihovo rast ter razvoj. Glede na to Pogodba o delovanju Evropske unije (člen 349 PDEU) določa </w:t>
      </w:r>
      <w:r>
        <w:rPr>
          <w:rFonts w:ascii="Times New Roman" w:hAnsi="Times New Roman"/>
          <w:b/>
          <w:noProof/>
          <w:sz w:val="24"/>
          <w:szCs w:val="24"/>
        </w:rPr>
        <w:t>posebne ukrepe</w:t>
      </w:r>
      <w:r>
        <w:rPr>
          <w:rFonts w:ascii="Times New Roman" w:hAnsi="Times New Roman"/>
          <w:noProof/>
          <w:sz w:val="24"/>
          <w:szCs w:val="24"/>
        </w:rPr>
        <w:t xml:space="preserve"> v podporo najbolj oddaljenim regijam, med katerimi so prilagojeni pogoji za uporabo prava EU v teh regijah in dostop do programov EU.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Najbolj oddaljene regije so razpršene po Atlantskem oceanu, Karibih, Latinski Ameriki in Indijskem oceanu, EU pa zagotavljajo </w:t>
      </w:r>
      <w:r>
        <w:rPr>
          <w:rFonts w:ascii="Times New Roman" w:hAnsi="Times New Roman"/>
          <w:b/>
          <w:noProof/>
          <w:sz w:val="24"/>
          <w:szCs w:val="24"/>
        </w:rPr>
        <w:t>edinstvene prednosti</w:t>
      </w:r>
      <w:r>
        <w:rPr>
          <w:rFonts w:ascii="Times New Roman" w:hAnsi="Times New Roman"/>
          <w:noProof/>
          <w:sz w:val="24"/>
          <w:szCs w:val="24"/>
        </w:rPr>
        <w:t xml:space="preserve">: bogato biotsko raznovrstnost, strateško lego za dejavnosti na področju vesolja in astrofizike, obsežne pomorske ekonomske cone ter bližino drugih celin.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Komisija je oktobra 2017 sprejela Sporočilo, s katerim utrjuje partnerstva z najbolj oddaljenimi regijami in zadevnimi državami članicami ter krepi zavezo podpori tem regijam na njihovi poti k rasti. Svet je aprila 2018 pozdravil Sporočilo in Komisijo pozval, naj si še naprej prizadeva za posebne ukrepe za te regije v skladu s členom 349 PDEU</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 tem poročilu so predstavljeni ukrepi, ki so jih Komisija, najbolj oddaljene regije in zadevne države članice sprejele v sektorjih, določenih v Sporočilu</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v njem so poudarjeni dosežki</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in predlagane usmeritve prizadevanj na obravnavanje podnebnih sprememb, zaščito biotske raznovrstnosti, uvedbo krožnega gospodarstva in povečanje proizvodnje energije iz obnovljivih virov. Navedeno so ključni izzivi teh regij, kot so priznani v vodilni pobudi evropski zeleni dogovor</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v kateri je poudarjeno, da bo Komisija posebno pozornost namenila najbolj oddaljenim regijam, pri čemer bo upoštevala njihovo ranljivost za podnebne spremembe in naravne nesreče ter njihove edinstvene prednosti, kot so biotska raznovrstnost in obnovljivi viri energije. V poročilu je poudarjena tudi potreba po krepitvi prizadevanj v drugih ključnih sektorjih, kot sta modro gospodarstvo in povezljivost. </w:t>
      </w:r>
    </w:p>
    <w:p>
      <w:pPr>
        <w:spacing w:before="120" w:after="120" w:line="240" w:lineRule="auto"/>
        <w:rPr>
          <w:rFonts w:ascii="Times New Roman" w:hAnsi="Times New Roman" w:cs="Times New Roman"/>
          <w:b/>
          <w:noProof/>
          <w:sz w:val="24"/>
          <w:szCs w:val="24"/>
        </w:rPr>
      </w:pPr>
      <w:r>
        <w:rPr>
          <w:rFonts w:ascii="Times New Roman" w:hAnsi="Times New Roman"/>
          <w:b/>
          <w:noProof/>
          <w:sz w:val="24"/>
          <w:szCs w:val="24"/>
        </w:rPr>
        <w:t>Novo upravljanje, ki temelji na trdnem partnerstvu</w:t>
      </w:r>
    </w:p>
    <w:p>
      <w:pPr>
        <w:pStyle w:val="Default"/>
        <w:spacing w:before="120"/>
        <w:jc w:val="both"/>
        <w:rPr>
          <w:noProof/>
        </w:rPr>
      </w:pPr>
      <w:r>
        <w:rPr>
          <w:noProof/>
        </w:rPr>
        <w:t xml:space="preserve">Kot je določeno v Sporočilu, Komisija od leta 2017 pri </w:t>
      </w:r>
      <w:r>
        <w:rPr>
          <w:b/>
          <w:noProof/>
        </w:rPr>
        <w:t>oblikovanju politike</w:t>
      </w:r>
      <w:r>
        <w:rPr>
          <w:noProof/>
        </w:rPr>
        <w:t xml:space="preserve"> sistematično upošteva </w:t>
      </w:r>
      <w:r>
        <w:rPr>
          <w:b/>
          <w:noProof/>
        </w:rPr>
        <w:t>pomisleke in interese</w:t>
      </w:r>
      <w:r>
        <w:rPr>
          <w:noProof/>
        </w:rPr>
        <w:t xml:space="preserve"> najbolj oddaljenih regij.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Leta 2018 je Komisija posebnosti najbolj oddaljenih regij obravnavala v 21 </w:t>
      </w:r>
      <w:r>
        <w:rPr>
          <w:rFonts w:ascii="Times New Roman" w:hAnsi="Times New Roman"/>
          <w:b/>
          <w:noProof/>
          <w:sz w:val="24"/>
          <w:szCs w:val="24"/>
        </w:rPr>
        <w:t>predlogih programov EU za obdobje 2021–2027</w:t>
      </w:r>
      <w:r>
        <w:rPr>
          <w:rFonts w:ascii="Times New Roman" w:hAnsi="Times New Roman"/>
          <w:noProof/>
          <w:sz w:val="24"/>
          <w:szCs w:val="24"/>
        </w:rPr>
        <w:t xml:space="preserve"> v različnih sektorjih, vključno s kohezijo, kmetijstvom, ribištvom, raziskavami, okoljem, prometom in digitalno povezljivostjo, pa tudi mednarodnim sodelovanjem. S tem je v večini programov EU ustvarila nove priložnosti in zagotovila prilagojene določbe za te regije.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Leta 2019 je Komisija v poročilih za posamezne države v okviru </w:t>
      </w:r>
      <w:r>
        <w:rPr>
          <w:rFonts w:ascii="Times New Roman" w:hAnsi="Times New Roman"/>
          <w:b/>
          <w:noProof/>
          <w:sz w:val="24"/>
          <w:szCs w:val="24"/>
        </w:rPr>
        <w:t>evropskega semestra</w:t>
      </w:r>
      <w:r>
        <w:rPr>
          <w:rFonts w:ascii="Times New Roman" w:hAnsi="Times New Roman"/>
          <w:noProof/>
          <w:sz w:val="24"/>
          <w:szCs w:val="24"/>
        </w:rPr>
        <w:t xml:space="preserve"> Franciji, Portugalski in Španiji priporočila, naj sredstva kohezijske politike v svojih najbolj oddaljenih regijah vložijo v ključne sektorje, kot so krožno gospodarstvo, povezljivost, znanja in spretnosti ter zgodnje opuščanje šolanja. Svet v priporočilih za posamezne države te države članice poziva, naj kohezijska sredstva porabijo ob upoštevanju regionalnih razlik in razmer v najbolj oddaljenih regijah. Posebnosti najbolj oddaljenih regij so poudarjene tudi v zadevnih poročilih za posamezne države za leto 2020.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analizirala možen učinek </w:t>
      </w:r>
      <w:r>
        <w:rPr>
          <w:rFonts w:ascii="Times New Roman" w:hAnsi="Times New Roman"/>
          <w:b/>
          <w:noProof/>
          <w:sz w:val="24"/>
          <w:szCs w:val="24"/>
        </w:rPr>
        <w:t>trgovinskih sporazumov</w:t>
      </w:r>
      <w:r>
        <w:rPr>
          <w:rFonts w:ascii="Times New Roman" w:hAnsi="Times New Roman"/>
          <w:noProof/>
          <w:sz w:val="24"/>
          <w:szCs w:val="24"/>
        </w:rPr>
        <w:t>, o katerih potekajo pogajanja, na ključne gospodarske sektorje najbolj oddaljenih regij</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Zato politični sporazum iz leta 2019 o trgovinskem delu pridružitvenega sporazuma med EU in Mercosurjem vključuje zaščitno klavzulo za zaščito lokalne proizvodnje najbolj oddaljenih regij. Posebnosti najbolj oddaljenih regij se analizirajo v okviru sedanjega pregleda zakonodaje na področju državne pomoči in posebnih davčnih režimov teh regij.</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Komisija se je z najbolj oddaljenimi regijami posvetovala o njihovih potrebah in v skladu s tem zagotovila prilagojeno podporo. Z njimi se je na primer posvetovala o njihovih potrebah na področju prilagajanja podnebnim spremembam, da jih je upoštevala v razpisu za zbiranje predlogov v okviru programa LIFE</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za leto 2019. Organizirala je tudi dva dogodka v podporo tem regijam pri oblikovanju strategij modre rasti</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Najbolj oddaljene regije so povečale prizadevanja, da bi izrazile svoje interese, tako da so prispevale približno 30 odzivov na javna posvetovanja. Komisija je prebivalce najbolj oddaljenih regij nagovorila tudi z dialogi z državljani: na Martiniku in Kanarskih otokih leta 2018, na Azorih in Madeiri pa leta 2019.</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Znatna sredstva skladov EU na področju kohezijske, kmetijske, ribiške in pomorske politike so bila uporabljena za podporo lokalnim naložbam, ki krepijo partnerstvo z najbolj oddaljenimi regijami in zadevnimi državami članicami, zlasti v zvezi s konkurenčnostjo malih in srednjih podjetij (MSP), zaposlovanjem in socialnim vključevanjem, okoljem in povezljivostjo</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Podpora iz navedenih skladov za obdobje 2014–2020 znaša več kot 13 milijard EUR.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vzpostavila </w:t>
      </w:r>
      <w:r>
        <w:rPr>
          <w:rFonts w:ascii="Times New Roman" w:hAnsi="Times New Roman"/>
          <w:b/>
          <w:noProof/>
          <w:sz w:val="24"/>
          <w:szCs w:val="24"/>
        </w:rPr>
        <w:t>dve projektni skupini</w:t>
      </w:r>
      <w:r>
        <w:rPr>
          <w:rFonts w:ascii="Times New Roman" w:hAnsi="Times New Roman"/>
          <w:noProof/>
          <w:sz w:val="24"/>
          <w:szCs w:val="24"/>
        </w:rPr>
        <w:t xml:space="preserve"> za zagotavljanje</w:t>
      </w:r>
      <w:r>
        <w:rPr>
          <w:rFonts w:ascii="Times New Roman" w:hAnsi="Times New Roman"/>
          <w:b/>
          <w:noProof/>
          <w:sz w:val="24"/>
          <w:szCs w:val="24"/>
        </w:rPr>
        <w:t xml:space="preserve"> </w:t>
      </w:r>
      <w:r>
        <w:rPr>
          <w:rFonts w:ascii="Times New Roman" w:hAnsi="Times New Roman"/>
          <w:noProof/>
          <w:sz w:val="24"/>
          <w:szCs w:val="24"/>
        </w:rPr>
        <w:t>podpore Reunionu pri energetskem prehodu in Kanarskim otokom pri ravnanju z odpadki, ki omogočata tesnejše sodelovanje služb Komisije z nacionalnimi in regionalnimi zainteresiranimi stranmi.</w:t>
      </w:r>
    </w:p>
    <w:p>
      <w:pPr>
        <w:spacing w:before="120" w:line="240" w:lineRule="auto"/>
        <w:jc w:val="both"/>
        <w:rPr>
          <w:rFonts w:ascii="Times New Roman" w:hAnsi="Times New Roman" w:cs="Times New Roman"/>
          <w:noProof/>
          <w:sz w:val="24"/>
          <w:szCs w:val="24"/>
        </w:rPr>
      </w:pPr>
      <w:r>
        <w:rPr>
          <w:rFonts w:ascii="Times New Roman" w:hAnsi="Times New Roman"/>
          <w:noProof/>
          <w:sz w:val="24"/>
          <w:szCs w:val="24"/>
        </w:rPr>
        <w:t>Statistični urad EU (Eurostat) je pripravil spletno stran s podatki o najbolj oddaljenih regijah</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Komisija je leta 2019 začela študijo, da bi se izboljšali podatki in znanje za trajnostno upravljanje ribištva in ohranjanje ribjega staleža v teh regijah. Statistični urad Francije pri zbiranju lokalnih podatkov sodeluje z otokoma Saint-Martin in Sint-Maarten. Statistični urad Portugalske sodeluje z Madeiro in Azori na področju podatkov o kmetijstvu, morju in prometu, Azori izboljšujejo podatke o modrem gospodarstvu, Kanarski otoki pa podatke o lokalni proizvodnji. </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Komisija je pomisleke najbolj oddaljenih regij vključila v največ pobud EU do zdaj, regije pa so močno povečale prizadevanja, da bi prispevale k oblikovanju politik. Potencial projektnih skupin je mogoče nadalje raziskati. Podatke na ravni najbolj oddaljenih regij je treba zbirati, da se podpre oblikovanje politik, prilagojenih tem regijam.</w:t>
      </w:r>
    </w:p>
    <w:p>
      <w:pPr>
        <w:spacing w:before="120" w:after="0" w:line="240" w:lineRule="auto"/>
        <w:jc w:val="both"/>
        <w:rPr>
          <w:rFonts w:ascii="Times New Roman" w:hAnsi="Times New Roman" w:cs="Times New Roman"/>
          <w:b/>
          <w:smallCaps/>
          <w:noProof/>
          <w:sz w:val="24"/>
          <w:szCs w:val="24"/>
        </w:rPr>
      </w:pPr>
      <w:r>
        <w:rPr>
          <w:rFonts w:ascii="Times New Roman" w:hAnsi="Times New Roman"/>
          <w:b/>
          <w:smallCaps/>
          <w:noProof/>
          <w:sz w:val="24"/>
          <w:szCs w:val="24"/>
        </w:rPr>
        <w:t xml:space="preserve">2. Izkoriščanje prednosti najbolj oddaljenih regij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 Sporočilu so poudarjene prednosti najbolj oddaljenih regij, vključno z modrim gospodarstvom, biotsko raznovrstnostjo in obnovljivimi viri energije, ter predstavljen ukrep za razvoj priložnosti v teh sektorjih, da bi se podprla rast. </w:t>
      </w:r>
    </w:p>
    <w:p>
      <w:pPr>
        <w:spacing w:before="120" w:after="120" w:line="240" w:lineRule="auto"/>
        <w:rPr>
          <w:rFonts w:ascii="Times New Roman" w:hAnsi="Times New Roman" w:cs="Times New Roman"/>
          <w:noProof/>
          <w:sz w:val="24"/>
          <w:szCs w:val="24"/>
        </w:rPr>
      </w:pPr>
      <w:r>
        <w:rPr>
          <w:rFonts w:ascii="Times New Roman" w:hAnsi="Times New Roman"/>
          <w:b/>
          <w:noProof/>
          <w:sz w:val="24"/>
          <w:szCs w:val="24"/>
        </w:rPr>
        <w:t>Modro gospodarstvo</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utrdila pravni in finančni okvir za okrepitev modrega gospodarstva v najbolj oddaljenih regijah ob hkratni zagotovitvi trajnostnega upravljanja morskih virov in ekosistemov. Leta 2018 je revidirala </w:t>
      </w:r>
      <w:r>
        <w:rPr>
          <w:rFonts w:ascii="Times New Roman" w:hAnsi="Times New Roman"/>
          <w:b/>
          <w:noProof/>
          <w:sz w:val="24"/>
          <w:szCs w:val="24"/>
        </w:rPr>
        <w:t>smernice EU o državni pomoči</w:t>
      </w:r>
      <w:r>
        <w:rPr>
          <w:rFonts w:ascii="Times New Roman" w:hAnsi="Times New Roman"/>
          <w:noProof/>
          <w:sz w:val="24"/>
          <w:szCs w:val="24"/>
        </w:rPr>
        <w:t xml:space="preserve">, da je omogočila javno podporo za pridobivanje ribiških plovil v najbolj oddaljenih regijah na podlagi sklopa pogojev za zaščito trajnostnega ribištva.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predlagala še </w:t>
      </w:r>
      <w:r>
        <w:rPr>
          <w:rFonts w:ascii="Times New Roman" w:hAnsi="Times New Roman"/>
          <w:b/>
          <w:noProof/>
          <w:sz w:val="24"/>
          <w:szCs w:val="24"/>
        </w:rPr>
        <w:t>posebne ukrepe</w:t>
      </w:r>
      <w:r>
        <w:rPr>
          <w:rFonts w:ascii="Times New Roman" w:hAnsi="Times New Roman"/>
          <w:noProof/>
          <w:sz w:val="24"/>
          <w:szCs w:val="24"/>
        </w:rPr>
        <w:t xml:space="preserve"> za najbolj oddaljene regije v Evropskem skladu za pomorstvo in ribištvo za obdobje 2021–2027, vključno z namenskim proračunom za te regije, in sicer za strukturne naložbe in </w:t>
      </w:r>
      <w:r>
        <w:rPr>
          <w:rFonts w:ascii="Times New Roman" w:hAnsi="Times New Roman"/>
          <w:b/>
          <w:noProof/>
          <w:sz w:val="24"/>
          <w:szCs w:val="24"/>
        </w:rPr>
        <w:t xml:space="preserve">nadomestilo </w:t>
      </w:r>
      <w:r>
        <w:rPr>
          <w:rFonts w:ascii="Times New Roman" w:hAnsi="Times New Roman"/>
          <w:noProof/>
          <w:sz w:val="24"/>
          <w:szCs w:val="24"/>
        </w:rPr>
        <w:t xml:space="preserve">dodatnih stroškov. Predlagala je tudi, naj vsaka država članica pripravi </w:t>
      </w:r>
      <w:r>
        <w:rPr>
          <w:rFonts w:ascii="Times New Roman" w:hAnsi="Times New Roman"/>
          <w:b/>
          <w:noProof/>
          <w:sz w:val="24"/>
          <w:szCs w:val="24"/>
        </w:rPr>
        <w:t>akcijski načrt</w:t>
      </w:r>
      <w:r>
        <w:rPr>
          <w:rFonts w:ascii="Times New Roman" w:hAnsi="Times New Roman"/>
          <w:noProof/>
          <w:sz w:val="24"/>
          <w:szCs w:val="24"/>
        </w:rPr>
        <w:t xml:space="preserve"> ter v njem obravnava z ribištvom in trajnostnim modrim gospodarstvom povezane izzive v svojih najbolj oddaljenih regijah.</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Leta 2019 je Komisija ustanovila svetovalni svet za najbolj oddaljene regije, da bi se z zainteresiranimi stranmi iz teh regij posvetovala o vprašanjih, povezanih z ribištvom, in zagotovila, da so podpisnice </w:t>
      </w:r>
      <w:r>
        <w:rPr>
          <w:rFonts w:ascii="Times New Roman" w:hAnsi="Times New Roman"/>
          <w:b/>
          <w:noProof/>
          <w:sz w:val="24"/>
          <w:szCs w:val="24"/>
        </w:rPr>
        <w:t>pridružitvenega sporazuma med EU in Mercosurjem</w:t>
      </w:r>
      <w:r>
        <w:rPr>
          <w:rFonts w:ascii="Times New Roman" w:hAnsi="Times New Roman"/>
          <w:noProof/>
          <w:sz w:val="24"/>
          <w:szCs w:val="24"/>
        </w:rPr>
        <w:t xml:space="preserve"> zavezane boju proti nezakonitemu ribolovu. V zvezi z zmogljivostjo flot je Komisija leta 2019 predstavila </w:t>
      </w:r>
      <w:r>
        <w:rPr>
          <w:rFonts w:ascii="Times New Roman" w:hAnsi="Times New Roman"/>
          <w:b/>
          <w:noProof/>
          <w:sz w:val="24"/>
          <w:szCs w:val="24"/>
        </w:rPr>
        <w:t>oceno sistema vstopa/izstopa</w:t>
      </w:r>
      <w:r>
        <w:rPr>
          <w:rFonts w:ascii="Times New Roman" w:hAnsi="Times New Roman"/>
          <w:noProof/>
          <w:sz w:val="24"/>
          <w:szCs w:val="24"/>
        </w:rPr>
        <w:t xml:space="preserve"> v okviru skupne ribiške politike. V sporočilu o zelenem dogovoru iz decembra 2019 je poudarila, da ima modro gospodarstvo osrednjo vlogo v boju proti podnebnim spremembam, in naznanila, da namerava predlagati načine za bolj trajnostno upravljanje pomorskega prostora.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Svet je sprejel sklepe o oceanih in morjih, v katerih je poudaril pomen evropske pomorske in ribiške politike pri podpori modremu gospodarstvu najbolj oddaljenih regij ter ranljivost teh regij za podnebne spremembe, ki vplivajo na njihove obale, ekosisteme in biotsko raznovrstnost</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Najbolj oddaljene regije oblikujejo </w:t>
      </w:r>
      <w:r>
        <w:rPr>
          <w:rFonts w:ascii="Times New Roman" w:hAnsi="Times New Roman"/>
          <w:b/>
          <w:noProof/>
          <w:sz w:val="24"/>
          <w:szCs w:val="24"/>
        </w:rPr>
        <w:t>strategije za modro gospodarstvo</w:t>
      </w:r>
      <w:r>
        <w:rPr>
          <w:rFonts w:ascii="Times New Roman" w:hAnsi="Times New Roman"/>
          <w:noProof/>
          <w:sz w:val="24"/>
          <w:szCs w:val="24"/>
        </w:rPr>
        <w:t xml:space="preserve">, namenjene doseganju trajnostne uporabe morskih virov in ohranjanju biotske raznovrstnosti, pri čemer napredek ni enoten, ampak se razlikuje po obsegu in osredotočenosti. Nekatere regije, zlasti Azori, Madeira, Kanarski otoki in Reunion, s podporo Evropskega sklada za pomorstvo in ribištvo izboljšujejo pomorsko prostorsko načrtovanje za boljšo uporabo oceanov. Številne regije so razvile </w:t>
      </w:r>
      <w:r>
        <w:rPr>
          <w:rFonts w:ascii="Times New Roman" w:hAnsi="Times New Roman"/>
          <w:b/>
          <w:noProof/>
          <w:sz w:val="24"/>
          <w:szCs w:val="24"/>
        </w:rPr>
        <w:t>podporne ukrepe</w:t>
      </w:r>
      <w:r>
        <w:rPr>
          <w:rFonts w:ascii="Times New Roman" w:hAnsi="Times New Roman"/>
          <w:noProof/>
          <w:sz w:val="24"/>
          <w:szCs w:val="24"/>
        </w:rPr>
        <w:t>, kot so</w:t>
      </w:r>
      <w:r>
        <w:rPr>
          <w:rFonts w:ascii="Times New Roman" w:hAnsi="Times New Roman"/>
          <w:b/>
          <w:noProof/>
          <w:sz w:val="24"/>
          <w:szCs w:val="24"/>
        </w:rPr>
        <w:t xml:space="preserve"> </w:t>
      </w:r>
      <w:r>
        <w:rPr>
          <w:rFonts w:ascii="Times New Roman" w:hAnsi="Times New Roman"/>
          <w:noProof/>
          <w:sz w:val="24"/>
          <w:szCs w:val="24"/>
        </w:rPr>
        <w:t xml:space="preserve">finančni instrumenti za male gospodarske subjekte (kreditna linija Madeire za mala podjetja, posojila Francoske Gvajane za male gospodarske subjekte, pomoč otoka Mayotte za pridobivanje plovil) ter razvoj znanj in spretnosti (Martinik, Azori, Madeira).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 xml:space="preserve">Najbolj oddaljene regije nadalje vlagajo v </w:t>
      </w:r>
      <w:r>
        <w:rPr>
          <w:rFonts w:ascii="Times New Roman" w:hAnsi="Times New Roman"/>
          <w:b/>
          <w:noProof/>
          <w:sz w:val="24"/>
          <w:szCs w:val="24"/>
        </w:rPr>
        <w:t>nastajajoče sektorje</w:t>
      </w:r>
      <w:r>
        <w:rPr>
          <w:rFonts w:ascii="Times New Roman" w:hAnsi="Times New Roman"/>
          <w:noProof/>
          <w:sz w:val="24"/>
          <w:szCs w:val="24"/>
        </w:rPr>
        <w:t xml:space="preserve">, kot je spremljanje in raziskovanje pomorskega prostora (atlantski observatorij na Azorih) ali energija iz obnovljivih morskih virov (platforma PLOCAN na Kanarskih otokih). Vse najbolj oddaljene regije so s projektom ORFISH spodbudile </w:t>
      </w:r>
      <w:r>
        <w:rPr>
          <w:rFonts w:ascii="Times New Roman" w:hAnsi="Times New Roman"/>
          <w:b/>
          <w:noProof/>
          <w:sz w:val="24"/>
          <w:szCs w:val="24"/>
        </w:rPr>
        <w:t>trajnostni razvoj ribištva</w:t>
      </w:r>
      <w:r>
        <w:rPr>
          <w:rFonts w:ascii="Times New Roman" w:hAnsi="Times New Roman"/>
          <w:noProof/>
          <w:sz w:val="24"/>
          <w:szCs w:val="24"/>
        </w:rPr>
        <w:t>, nekatere pa spodbujajo trajnostni modri turizem, na primer v Karibskem morju.</w:t>
      </w:r>
    </w:p>
    <w:p>
      <w:pPr>
        <w:spacing w:before="120" w:after="0" w:line="240" w:lineRule="auto"/>
        <w:jc w:val="both"/>
        <w:rPr>
          <w:rFonts w:ascii="Times New Roman" w:eastAsia="Times New Roman" w:hAnsi="Times New Roman" w:cs="Times New Roman"/>
          <w:i/>
          <w:noProof/>
          <w:sz w:val="24"/>
          <w:szCs w:val="24"/>
        </w:rPr>
      </w:pPr>
      <w:r>
        <w:rPr>
          <w:rFonts w:ascii="Times New Roman" w:hAnsi="Times New Roman"/>
          <w:i/>
          <w:noProof/>
          <w:sz w:val="24"/>
          <w:szCs w:val="24"/>
        </w:rPr>
        <w:t xml:space="preserve">Za spodbuditev modre rasti regije potrebujejo prilagojene in celovite strategije za modro gospodarstvo, ki zajemajo tradicionalne in inovativne sektorje. V tem smislu se je pomembno osredotočiti na inovativne dejavnosti, izboljšanje znanstvenega znanja na področju ribištva in o morskih območjih ter čim večje povečanje podpore EU in nacionalne podpore. </w:t>
      </w:r>
    </w:p>
    <w:p>
      <w:pPr>
        <w:spacing w:before="120" w:after="0" w:line="240" w:lineRule="auto"/>
        <w:jc w:val="both"/>
        <w:rPr>
          <w:rFonts w:ascii="Times New Roman" w:hAnsi="Times New Roman" w:cs="Times New Roman"/>
          <w:b/>
          <w:noProof/>
          <w:sz w:val="24"/>
          <w:szCs w:val="24"/>
        </w:rPr>
      </w:pP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Kmetijstvo in razvoj podeželja</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Predlog Komisije za reformo </w:t>
      </w:r>
      <w:r>
        <w:rPr>
          <w:rFonts w:ascii="Times New Roman" w:hAnsi="Times New Roman"/>
          <w:b/>
          <w:noProof/>
          <w:sz w:val="24"/>
          <w:szCs w:val="24"/>
        </w:rPr>
        <w:t>skupne kmetijske politike za obdobje 2021–2027</w:t>
      </w:r>
      <w:r>
        <w:rPr>
          <w:rFonts w:ascii="Times New Roman" w:hAnsi="Times New Roman"/>
          <w:noProof/>
          <w:sz w:val="24"/>
          <w:szCs w:val="24"/>
        </w:rPr>
        <w:t xml:space="preserve"> zagotavlja posebne pogoje in odstopanja, pri katerih se upoštevajo potrebe najbolj oddaljenih regij. V predlogih je predvideno, da se v nacionalnih strateških načrtih upoštevajo posebne okoliščine najbolj oddaljenih regij ter da te regije prejmejo najvišje stopnje sofinanciranja v okviru </w:t>
      </w:r>
      <w:r>
        <w:rPr>
          <w:rFonts w:ascii="Times New Roman" w:hAnsi="Times New Roman"/>
          <w:b/>
          <w:noProof/>
          <w:sz w:val="24"/>
          <w:szCs w:val="24"/>
        </w:rPr>
        <w:t>Evropskega kmetijskega sklada za razvoj podeželja</w:t>
      </w:r>
      <w:r>
        <w:rPr>
          <w:rFonts w:ascii="Times New Roman" w:hAnsi="Times New Roman"/>
          <w:noProof/>
          <w:sz w:val="24"/>
          <w:szCs w:val="24"/>
        </w:rPr>
        <w:t xml:space="preserve"> in sklopa posebnih ugodnih pogojev.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Poleg tega je Komisija predlagala, naj se</w:t>
      </w:r>
      <w:r>
        <w:rPr>
          <w:rFonts w:ascii="Times New Roman" w:hAnsi="Times New Roman"/>
          <w:b/>
          <w:noProof/>
          <w:sz w:val="24"/>
          <w:szCs w:val="24"/>
        </w:rPr>
        <w:t xml:space="preserve"> </w:t>
      </w:r>
      <w:r>
        <w:rPr>
          <w:rFonts w:ascii="Times New Roman" w:hAnsi="Times New Roman"/>
          <w:noProof/>
          <w:sz w:val="24"/>
          <w:szCs w:val="24"/>
        </w:rPr>
        <w:t xml:space="preserve">kmetijski program EU za najbolj oddaljene regije </w:t>
      </w:r>
      <w:r>
        <w:rPr>
          <w:rFonts w:ascii="Times New Roman" w:hAnsi="Times New Roman"/>
          <w:b/>
          <w:noProof/>
          <w:sz w:val="24"/>
          <w:szCs w:val="24"/>
        </w:rPr>
        <w:t>POSEI</w:t>
      </w:r>
      <w:r>
        <w:rPr>
          <w:rFonts w:ascii="Times New Roman" w:hAnsi="Times New Roman"/>
          <w:noProof/>
          <w:sz w:val="24"/>
          <w:szCs w:val="24"/>
        </w:rPr>
        <w:t xml:space="preserve"> nadaljuje, na podlagi česar se ohranijo neposredna plačila kmetom v teh regijah. V obdobju 2017–2019 je program POSEI podpiral kmetijsko proizvodnjo in zaposlovanje v najbolj oddaljenih regijah, zagotavljal dobavo izbranih kmetijskih proizvodov tem regijam ter omejeval dodatne stroške prevoza takih proizvodov.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Najbolj oddaljene regije so s podporo svojih programov za razvoj podeželja, ki jih sofinancira EU, mladim kmetom pomagale gojiti in tržiti proizvode, kot so avokado, banane in sladkorni trst, ter razvile kmetijsko-okoljske ukrepe in pobude LEADER</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Velik poudarek teh ukrepov je bil na izboljšanju življenjskih razmer podeželskega prebivalstva.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Več najbolj oddaljenih regij je razvilo </w:t>
      </w:r>
      <w:r>
        <w:rPr>
          <w:rFonts w:ascii="Times New Roman" w:hAnsi="Times New Roman"/>
          <w:b/>
          <w:noProof/>
          <w:sz w:val="24"/>
          <w:szCs w:val="24"/>
        </w:rPr>
        <w:t>sheme kakovosti</w:t>
      </w:r>
      <w:r>
        <w:rPr>
          <w:rFonts w:ascii="Times New Roman" w:hAnsi="Times New Roman"/>
          <w:noProof/>
          <w:sz w:val="24"/>
          <w:szCs w:val="24"/>
        </w:rPr>
        <w:t xml:space="preserve"> za kmetijske proizvode, povezane s trženjskimi ukrepi. Druge so vlagale v </w:t>
      </w:r>
      <w:r>
        <w:rPr>
          <w:rFonts w:ascii="Times New Roman" w:hAnsi="Times New Roman"/>
          <w:b/>
          <w:noProof/>
          <w:sz w:val="24"/>
          <w:szCs w:val="24"/>
        </w:rPr>
        <w:t>nove kmetijske tehnologije</w:t>
      </w:r>
      <w:r>
        <w:rPr>
          <w:rFonts w:ascii="Times New Roman" w:hAnsi="Times New Roman"/>
          <w:noProof/>
          <w:sz w:val="24"/>
          <w:szCs w:val="24"/>
        </w:rPr>
        <w:t xml:space="preserve">, kot so gojenje rastlin in zelenjave brez zemlje na Saint-Martinu, uporaba daljinsko vodenih zrakoplovov na Azorih in preskušanje uporabe organskih virov v Francoski Gvajani. Francoska vlada razvija tudi </w:t>
      </w:r>
      <w:r>
        <w:rPr>
          <w:rFonts w:ascii="Times New Roman" w:hAnsi="Times New Roman"/>
          <w:b/>
          <w:noProof/>
          <w:sz w:val="24"/>
          <w:szCs w:val="24"/>
        </w:rPr>
        <w:t>orodja za obvladovanje tveganja</w:t>
      </w:r>
      <w:r>
        <w:rPr>
          <w:rFonts w:ascii="Times New Roman" w:hAnsi="Times New Roman"/>
          <w:noProof/>
          <w:sz w:val="24"/>
          <w:szCs w:val="24"/>
        </w:rPr>
        <w:t xml:space="preserve">, na primer za proizvodnjo banan. </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Ključni sektor ostaja kmetijstvo: glavni izzivi, ki jih je treba premagati, so zagotavljanje kakovosti in inovativnost lokalne proizvodnje, pravičen dohodek kmetov ter optimizacija podpornih orodij.</w:t>
      </w:r>
    </w:p>
    <w:p>
      <w:pPr>
        <w:spacing w:before="120" w:after="120" w:line="240" w:lineRule="auto"/>
        <w:rPr>
          <w:rFonts w:ascii="Times New Roman" w:hAnsi="Times New Roman" w:cs="Times New Roman"/>
          <w:b/>
          <w:noProof/>
          <w:sz w:val="24"/>
          <w:szCs w:val="24"/>
        </w:rPr>
      </w:pPr>
      <w:r>
        <w:rPr>
          <w:rFonts w:ascii="Times New Roman" w:hAnsi="Times New Roman"/>
          <w:b/>
          <w:noProof/>
          <w:sz w:val="24"/>
          <w:szCs w:val="24"/>
        </w:rPr>
        <w:t>Biotska raznovrstnost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Da bi Komisija najbolj oddaljene regije podprla pri ohranjanju biotske raznovrstnosti, je leta 2019 objavila razpis za projekte, prilagojene potrebam in zmogljivosti teh regij (Life4BEST). Predlagala je, naj se v okviru </w:t>
      </w:r>
      <w:r>
        <w:rPr>
          <w:rFonts w:ascii="Times New Roman" w:hAnsi="Times New Roman"/>
          <w:b/>
          <w:noProof/>
          <w:sz w:val="24"/>
          <w:szCs w:val="24"/>
        </w:rPr>
        <w:t>programa LIFE</w:t>
      </w:r>
      <w:r>
        <w:rPr>
          <w:rFonts w:ascii="Times New Roman" w:hAnsi="Times New Roman"/>
          <w:noProof/>
          <w:sz w:val="24"/>
          <w:szCs w:val="24"/>
        </w:rPr>
        <w:t xml:space="preserve"> za obdobje 2021–2027 podpreta narava in biotska raznovrstnost v najbolj oddaljenih regijah, pri merilih za dodelitev pa naj se jim nameni posebna pozornost. Poleg tega so projekti na področju biotske raznovrstnosti upravičeni do financiranja na podlagi predloga Komisije za </w:t>
      </w:r>
      <w:r>
        <w:rPr>
          <w:rFonts w:ascii="Times New Roman" w:hAnsi="Times New Roman"/>
          <w:b/>
          <w:noProof/>
          <w:sz w:val="24"/>
          <w:szCs w:val="24"/>
        </w:rPr>
        <w:t>Evropski sklad za regionalni razvoj</w:t>
      </w:r>
      <w:r>
        <w:rPr>
          <w:rFonts w:ascii="Times New Roman" w:hAnsi="Times New Roman"/>
          <w:noProof/>
          <w:sz w:val="24"/>
          <w:szCs w:val="24"/>
        </w:rPr>
        <w:t xml:space="preserve"> za obdobje 2021–2027. </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Komisija je v zelenem dogovoru, v katerem so podnebne spremembe predstavljene kot eden od ključnih dejavnikov izgube biotske raznovrstnosti, opozorila na edinstveno biotsko raznovrstnost v najbolj oddaljenih regijah.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Francija je okrepila prizadevanja za podporo biotski raznovrstnosti v svojih najbolj oddaljenih regijah z namenskim akcijskim načrtom (2018). Francoska agencija za biotsko raznovrstnost v najbolj oddaljenih regijah podpira več kot 80 projektov. Portugalska je financirala projekte, ki podpirajo biosferne rezervate na Azorih in Madeiri. Francoska Gvajana, Reunion, Gvadelup in Mayotte ustanavljajo regionalne agencije za biotsko raznovrstnost. Martinik je začel izvajati program za ohranitev in vrednotenje biotske raznovrstnosti (2019), Reunion in Azori pa varujejo lokalne habitate in endemične vrste s podporo Evropskega sklada za regionalni razvoj</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in programa LIFE.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Poleg tega so najbolj oddaljene regije v okviru programov pobude Interreg okrepile sodelovanje s </w:t>
      </w:r>
      <w:r>
        <w:rPr>
          <w:rFonts w:ascii="Times New Roman" w:hAnsi="Times New Roman"/>
          <w:b/>
          <w:noProof/>
          <w:sz w:val="24"/>
          <w:szCs w:val="24"/>
        </w:rPr>
        <w:t>čezmorskimi državami in ozemlji ali tretjimi državami</w:t>
      </w:r>
      <w:r>
        <w:rPr>
          <w:rFonts w:ascii="Times New Roman" w:hAnsi="Times New Roman"/>
          <w:noProof/>
          <w:sz w:val="24"/>
          <w:szCs w:val="24"/>
        </w:rPr>
        <w:t xml:space="preserve"> na področju biotske raznovrstnosti.</w:t>
      </w:r>
    </w:p>
    <w:p>
      <w:pPr>
        <w:spacing w:before="120" w:after="0" w:line="240" w:lineRule="auto"/>
        <w:jc w:val="both"/>
        <w:rPr>
          <w:rFonts w:ascii="Times New Roman" w:hAnsi="Times New Roman" w:cs="Times New Roman"/>
          <w:noProof/>
          <w:sz w:val="24"/>
          <w:szCs w:val="24"/>
        </w:rPr>
      </w:pPr>
      <w:r>
        <w:rPr>
          <w:rFonts w:ascii="Times New Roman" w:hAnsi="Times New Roman"/>
          <w:i/>
          <w:noProof/>
          <w:sz w:val="24"/>
          <w:szCs w:val="24"/>
        </w:rPr>
        <w:t xml:space="preserve">V najbolj oddaljenih regijah je pomemben delež vrst, ki sestavljajo biotsko raznovrstnost EU, ki pomeni eno od njihovih pomembnih prednosti. Za ohranitev biotske raznovrstnosti teh regij ob hkratnem raziskovanju njenega potenciala so potrebna trajna in usklajena prizadevanja različnih politik. </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Krožno gospodarstvo</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Komisija se je v </w:t>
      </w:r>
      <w:r>
        <w:rPr>
          <w:rFonts w:ascii="Times New Roman" w:hAnsi="Times New Roman"/>
          <w:b/>
          <w:noProof/>
          <w:sz w:val="24"/>
          <w:szCs w:val="24"/>
        </w:rPr>
        <w:t>delovnem programu programa LIFE za obdobje 2018–2020</w:t>
      </w:r>
      <w:r>
        <w:rPr>
          <w:rFonts w:ascii="Times New Roman" w:hAnsi="Times New Roman"/>
          <w:noProof/>
          <w:sz w:val="24"/>
          <w:szCs w:val="24"/>
        </w:rPr>
        <w:t xml:space="preserve"> posebej osredotočila na najbolj oddaljene regije.</w:t>
      </w:r>
      <w:r>
        <w:rPr>
          <w:rFonts w:ascii="Times New Roman" w:hAnsi="Times New Roman"/>
          <w:b/>
          <w:noProof/>
          <w:sz w:val="24"/>
          <w:szCs w:val="24"/>
        </w:rPr>
        <w:t xml:space="preserve">  </w:t>
      </w:r>
      <w:r>
        <w:rPr>
          <w:rFonts w:ascii="Times New Roman" w:hAnsi="Times New Roman"/>
          <w:noProof/>
          <w:sz w:val="24"/>
          <w:szCs w:val="24"/>
        </w:rPr>
        <w:t xml:space="preserve">Med temami tega delovnega programa je </w:t>
      </w:r>
      <w:r>
        <w:rPr>
          <w:rFonts w:ascii="Times New Roman" w:hAnsi="Times New Roman"/>
          <w:b/>
          <w:noProof/>
          <w:sz w:val="24"/>
          <w:szCs w:val="24"/>
        </w:rPr>
        <w:t>ravnanje z odpadki</w:t>
      </w:r>
      <w:r>
        <w:rPr>
          <w:rFonts w:ascii="Times New Roman" w:hAnsi="Times New Roman"/>
          <w:noProof/>
          <w:sz w:val="24"/>
          <w:szCs w:val="24"/>
        </w:rPr>
        <w:t xml:space="preserve"> v teh regijah. Poleg tega je Komisija na prošnjo Kanarskih otokov ob podpori Španije ustanovila projektno skupino za opredelitev ovir in oblikovanje rešitev za izboljšanje zbiranja odpadkov, ponovno uporabo, recikliranje in sledljivost na teh otokih, v kateri so združene evropska, nacionalna, regionalna in lokalne uprave. Komisija je tudi predlagala, naj Evropski sklad za regionalni razvoj v obdobju 2021–2027 podpira prehod na krožno gospodarstvo.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Svet je v sklepih o krožnem gospodarstvu iz oktobra 2019 poudaril, da je treba upoštevati specifičen položaj najbolj oddaljenih regij ter zagotoviti pravičen in vključujoč prehod.</w:t>
      </w:r>
      <w:r>
        <w:rPr>
          <w:noProof/>
          <w:sz w:val="24"/>
          <w:szCs w:val="24"/>
        </w:rPr>
        <w:t xml:space="preserve"> </w:t>
      </w:r>
      <w:r>
        <w:rPr>
          <w:rFonts w:ascii="Times New Roman" w:hAnsi="Times New Roman"/>
          <w:noProof/>
          <w:sz w:val="24"/>
          <w:szCs w:val="24"/>
        </w:rPr>
        <w:t>Poleg tega je Komisija marca 2020 sprejela nov akcijski načrt za krožno gospodarstvo, ki zajema celoten življenjski cikel izdelkov in se osredotoča na sektorje z visoko intenzivnostjo ter poudarja posebnosti najbolj oddaljenih regij.</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Francija je leta 2019 objavila namero o cilju „nič odpadkov“ na svojih čezmorskih ozemljih</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Francoske regije pripravljajo regionalne načrte za preprečevanje nastajanja odpadkov in ravnanje z njimi, Azori pa so revidirali svoj regionalni strateški načrt za odpadke.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Večina najbolj oddaljenih regij oblikuje akcijske načrte za krožno gospodarstvo, ki zajemajo trajnostno proizvodnjo in potrošnjo, pa tudi ravnanje z odpadki. Več regij je razvilo projekte za uvedbo modelov krožnega gospodarstva, zmanjšanje količine odpadkov in odpravo plastičnih odpadkov.  V letih 2018 in 2019 je večina francoskih najbolj oddaljenih regij objavila razpise za projekte za razvoj krožnega gospodarstva s podporo francoske agencije za okolje in energijo. Reunion je na primer izvedel 22 projektov, povezanih s krožnim gospodarstvom, ki so zajemali vse od zasnove in življenjske dobe izdelkov do recikliranja, Martinik pa je vzpostavil popravljalnice in organiziral kampanje ozaveščanja o zmanjševanju količine odpadkov.</w:t>
      </w:r>
    </w:p>
    <w:p>
      <w:pPr>
        <w:spacing w:before="120" w:after="0" w:line="240" w:lineRule="auto"/>
        <w:jc w:val="both"/>
        <w:rPr>
          <w:rFonts w:ascii="Times New Roman" w:hAnsi="Times New Roman" w:cs="Times New Roman"/>
          <w:noProof/>
          <w:sz w:val="24"/>
          <w:szCs w:val="24"/>
        </w:rPr>
      </w:pPr>
      <w:r>
        <w:rPr>
          <w:rFonts w:ascii="Times New Roman" w:hAnsi="Times New Roman"/>
          <w:i/>
          <w:noProof/>
          <w:sz w:val="24"/>
          <w:szCs w:val="24"/>
        </w:rPr>
        <w:t xml:space="preserve">Najbolj oddaljene regije lahko veliko pridobijo z vzpostavitvijo modelov krožnega gospodarstva kot bistvenega pogoja za trajnostno rast. Pomembno je pospešiti prizadevanja v zvezi z ravnanjem z odpadki, zlasti izboljšanjem krožnosti pri ravnanju z biološkimi odpadki in njihovi predelavi ter zmanjšanjem količine odpadkov s ponovno uporabo ali popravili. </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Podnebne spremembe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v </w:t>
      </w:r>
      <w:r>
        <w:rPr>
          <w:rFonts w:ascii="Times New Roman" w:hAnsi="Times New Roman"/>
          <w:b/>
          <w:noProof/>
          <w:sz w:val="24"/>
          <w:szCs w:val="24"/>
        </w:rPr>
        <w:t>oceni strategije EU za prilagajanje</w:t>
      </w:r>
      <w:r>
        <w:rPr>
          <w:rFonts w:ascii="Times New Roman" w:hAnsi="Times New Roman"/>
          <w:noProof/>
          <w:sz w:val="24"/>
          <w:szCs w:val="24"/>
        </w:rPr>
        <w:t xml:space="preserve"> iz leta 2018 poudarila, da je za oblikovanje ukrepov v najbolj oddaljenih regijah potreben prehod od ustvarjanja znanja k njegovi uporabi. Kot je bilo objavljeno v sporočilu o </w:t>
      </w:r>
      <w:r>
        <w:rPr>
          <w:rFonts w:ascii="Times New Roman" w:hAnsi="Times New Roman"/>
          <w:b/>
          <w:noProof/>
          <w:sz w:val="24"/>
          <w:szCs w:val="24"/>
        </w:rPr>
        <w:t>zelenem</w:t>
      </w:r>
      <w:r>
        <w:rPr>
          <w:rFonts w:ascii="Times New Roman" w:hAnsi="Times New Roman"/>
          <w:noProof/>
          <w:sz w:val="24"/>
          <w:szCs w:val="24"/>
        </w:rPr>
        <w:t xml:space="preserve"> </w:t>
      </w:r>
      <w:r>
        <w:rPr>
          <w:rFonts w:ascii="Times New Roman" w:hAnsi="Times New Roman"/>
          <w:b/>
          <w:noProof/>
          <w:sz w:val="24"/>
          <w:szCs w:val="24"/>
        </w:rPr>
        <w:t>dogovoru</w:t>
      </w:r>
      <w:r>
        <w:rPr>
          <w:rFonts w:ascii="Times New Roman" w:hAnsi="Times New Roman"/>
          <w:noProof/>
          <w:sz w:val="24"/>
          <w:szCs w:val="24"/>
        </w:rPr>
        <w:t xml:space="preserve">, namerava Komisija sprejeti ambiciozno strategijo EU za prilagajanje podnebnim spremembam. V delovnem programu programa LIFE za obdobje 2018–2020 so izrecno določeni projekti za pripravljenost na </w:t>
      </w:r>
      <w:r>
        <w:rPr>
          <w:rFonts w:ascii="Times New Roman" w:hAnsi="Times New Roman"/>
          <w:b/>
          <w:noProof/>
          <w:sz w:val="24"/>
          <w:szCs w:val="24"/>
        </w:rPr>
        <w:t>ekstremne vremenske dogodke</w:t>
      </w:r>
      <w:r>
        <w:rPr>
          <w:rFonts w:ascii="Times New Roman" w:hAnsi="Times New Roman"/>
          <w:noProof/>
          <w:sz w:val="24"/>
          <w:szCs w:val="24"/>
        </w:rPr>
        <w:t xml:space="preserve"> v najbolj oddaljenih regijah. V zvezi s tem program LIFE podpira Gvadelup in Francosko Gvajano pri obnovitvi njunih ekosistemov, da bi se njuni ozemlji zaščitili pred učinki podnebnih sprememb, kot je dvig morske gladine.</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Komisija je nadalje za eno od prednostnih področij naložb v okviru Evropskega sklada za regionalni razvoj v obdobju 2021–2027 predlagala področje podnebnih sprememb</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Poleg tega je 49 milijonov EUR iz </w:t>
      </w:r>
      <w:r>
        <w:rPr>
          <w:rFonts w:ascii="Times New Roman" w:hAnsi="Times New Roman"/>
          <w:b/>
          <w:noProof/>
          <w:sz w:val="24"/>
          <w:szCs w:val="24"/>
        </w:rPr>
        <w:t>Solidarnostnega sklada Evropske unije</w:t>
      </w:r>
      <w:r>
        <w:rPr>
          <w:rFonts w:ascii="Times New Roman" w:hAnsi="Times New Roman"/>
          <w:noProof/>
          <w:sz w:val="24"/>
          <w:szCs w:val="24"/>
        </w:rPr>
        <w:t xml:space="preserve"> uporabila za podporo obnovi otokov Saint-Martin in Gvadelup, ki sta ju leta 2017 močno prizadela orkana Irma in Maria. Ta sklad se je uporabil tudi za podporo Azorom, ki jih je oktobra 2019 prizadel orkan Lorenzo</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w:t>
      </w:r>
      <w:r>
        <w:rPr>
          <w:rFonts w:ascii="Times New Roman" w:hAnsi="Times New Roman"/>
          <w:i/>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Francija je leta 2019 imenovala delegata za pospešitev </w:t>
      </w:r>
      <w:r>
        <w:rPr>
          <w:rFonts w:ascii="Times New Roman" w:hAnsi="Times New Roman"/>
          <w:b/>
          <w:noProof/>
          <w:sz w:val="24"/>
          <w:szCs w:val="24"/>
        </w:rPr>
        <w:t>preventivnih in prilagoditvenih ukrepov</w:t>
      </w:r>
      <w:r>
        <w:rPr>
          <w:rFonts w:ascii="Times New Roman" w:hAnsi="Times New Roman"/>
          <w:noProof/>
          <w:sz w:val="24"/>
          <w:szCs w:val="24"/>
        </w:rPr>
        <w:t xml:space="preserve"> v francoskih najbolj oddaljenih regijah. Azori so septembra 2019 sprejeli regionalni program za podnebne spremembe, Kanarski otoki pa so leta 2018 ustanovili opazovalnico za podnebne spremembe.</w:t>
      </w:r>
    </w:p>
    <w:p>
      <w:pPr>
        <w:spacing w:before="120" w:after="0" w:line="240" w:lineRule="auto"/>
        <w:jc w:val="both"/>
        <w:rPr>
          <w:rFonts w:ascii="Times New Roman" w:hAnsi="Times New Roman" w:cs="Times New Roman"/>
          <w:b/>
          <w:noProof/>
          <w:sz w:val="24"/>
          <w:szCs w:val="24"/>
        </w:rPr>
      </w:pPr>
      <w:r>
        <w:rPr>
          <w:rFonts w:ascii="Times New Roman" w:hAnsi="Times New Roman"/>
          <w:i/>
          <w:noProof/>
          <w:sz w:val="24"/>
          <w:szCs w:val="24"/>
        </w:rPr>
        <w:t>Najbolj oddaljene regije so zlasti ranljive pri hudih vremenskih dogodkih, ki so povezani s podnebnimi spremembami. Potrebni so trajno in usklajeno ukrepanje na vseh ravneh in med politikami, usmeritev naložb h krepitvi zmogljivosti za prilagajanje, krepitev odpornosti ter preprečevanje podnebnih sprememb in pripravljenost nanje.</w:t>
      </w:r>
    </w:p>
    <w:p>
      <w:pPr>
        <w:spacing w:before="120" w:after="120" w:line="240" w:lineRule="auto"/>
        <w:rPr>
          <w:rFonts w:ascii="Times New Roman" w:hAnsi="Times New Roman" w:cs="Times New Roman"/>
          <w:noProof/>
          <w:sz w:val="24"/>
          <w:szCs w:val="24"/>
        </w:rPr>
      </w:pPr>
      <w:r>
        <w:rPr>
          <w:rFonts w:ascii="Times New Roman" w:hAnsi="Times New Roman"/>
          <w:b/>
          <w:noProof/>
          <w:sz w:val="24"/>
          <w:szCs w:val="24"/>
        </w:rPr>
        <w:t>Energija</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EU je sprejela zakonodajo, ki podpira energijo iz obnovljivih virov in energetsko učinkovitost. V direktivi o energiji iz obnovljivih virov</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iz leta 2018, ki jo je treba prenesti do sredine leta 2021, je na primer priznana vloga lokalnih skupnosti pri prehodu na čisto energijo, ki je zlasti pomembna na osamljenih ozemljih, kot so najbolj oddaljene regije.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 okviru </w:t>
      </w:r>
      <w:r>
        <w:rPr>
          <w:rFonts w:ascii="Times New Roman" w:hAnsi="Times New Roman"/>
          <w:b/>
          <w:noProof/>
          <w:sz w:val="24"/>
          <w:szCs w:val="24"/>
        </w:rPr>
        <w:t>pobude za čisto energijo za otoke EU</w:t>
      </w:r>
      <w:r>
        <w:rPr>
          <w:rFonts w:ascii="Times New Roman" w:hAnsi="Times New Roman"/>
          <w:noProof/>
          <w:sz w:val="24"/>
          <w:szCs w:val="24"/>
        </w:rPr>
        <w:t xml:space="preserve"> Komisija Gvadelupu, Azorom in Kanarskim otokom svetuje o razvoju strategij in projektov na področju čiste energije, na letnem forumu v okviru pobude na Kanarskih otokih leta 2018 pa je spodbujala znanje najbolj oddaljenih regij na področju energije iz obnovljivih virov. Poleg tega je Komisija leta 2019 vzpostavila mehanizem</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ki deluje ob podpori programa Obzorje 2020 in katerega cilj je zbrati</w:t>
      </w:r>
      <w:r>
        <w:rPr>
          <w:rFonts w:ascii="Arial" w:hAnsi="Arial"/>
          <w:noProof/>
          <w:color w:val="1E1E1E"/>
          <w:sz w:val="24"/>
          <w:szCs w:val="24"/>
        </w:rPr>
        <w:t xml:space="preserve"> </w:t>
      </w:r>
      <w:r>
        <w:rPr>
          <w:rFonts w:ascii="Times New Roman" w:hAnsi="Times New Roman"/>
          <w:noProof/>
          <w:color w:val="1E1E1E"/>
          <w:sz w:val="24"/>
          <w:szCs w:val="24"/>
        </w:rPr>
        <w:t>najmanj 100 milijonov EUR za projekte na področju trajnostne energije</w:t>
      </w:r>
      <w:r>
        <w:rPr>
          <w:rFonts w:ascii="Times New Roman" w:hAnsi="Times New Roman"/>
          <w:noProof/>
          <w:sz w:val="24"/>
          <w:szCs w:val="24"/>
        </w:rPr>
        <w:t xml:space="preserve"> na evropskih otokih, vključno z najbolj oddaljenimi regijami, ter se v sporočilu o zelenem dogovoru zavezala, da bo razvila dolgoročni okvir politike za pospešitev prehoda otokov EU, kot ga podpirajo države članice.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Od leta 2021 bo </w:t>
      </w:r>
      <w:r>
        <w:rPr>
          <w:rFonts w:ascii="Times New Roman" w:hAnsi="Times New Roman"/>
          <w:b/>
          <w:noProof/>
          <w:sz w:val="24"/>
          <w:szCs w:val="24"/>
        </w:rPr>
        <w:t>Instrument za povezovanje Evrope</w:t>
      </w:r>
      <w:r>
        <w:rPr>
          <w:rFonts w:ascii="Times New Roman" w:hAnsi="Times New Roman"/>
          <w:noProof/>
          <w:sz w:val="24"/>
          <w:szCs w:val="24"/>
        </w:rPr>
        <w:t xml:space="preserve"> (IPE) zagotavljal pomembne priložnosti za najbolj oddaljene regije: preferencialno stopnjo za dela na področju energije (ter digitalnih storitev in prometa) in posebno pozornost pri merilih za dodelitev. Komisija je predlagala tudi, naj se naložbe Evropskega sklada za regionalni razvoj v obdobju 2021–2027 osredotočijo na ukrepe za energetsko učinkovitost in energijo iz obnovljivih virov kot eno od prednostnih nalog za bolj zeleno Evropo.</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leta 2018 na prošnjo Reuniona s predstavniki nacionalnih in regionalnih služb in zasebnega sektorja ustanovila </w:t>
      </w:r>
      <w:r>
        <w:rPr>
          <w:rFonts w:ascii="Times New Roman" w:hAnsi="Times New Roman"/>
          <w:b/>
          <w:noProof/>
          <w:sz w:val="24"/>
          <w:szCs w:val="24"/>
        </w:rPr>
        <w:t>projektno skupino za energetski prehod</w:t>
      </w:r>
      <w:r>
        <w:rPr>
          <w:rFonts w:ascii="Times New Roman" w:hAnsi="Times New Roman"/>
          <w:noProof/>
          <w:sz w:val="24"/>
          <w:szCs w:val="24"/>
        </w:rPr>
        <w:t>, ki je pripravila akcijski načrt za izboljšanje usklajevanja različnih pobud.</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Francija je leta 2019 objavila razpise za podporo območjem, ki niso povezana s celino: več kot ena tretjina proračuna v višini 530 milijonov EUR je namenjena prikrajšanim skupinam prebivalstva. Španija podpira usposabljanje in razširjanje znanja na področju energije iz obnovljivih virov in energetske učinkovitosti na Kanarskih otokih.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Najbolj oddaljene regije so objavile svoje strategije za zmanjšanje emisij toplogrednih plinov ter povečanje energije iz obnovljivih virov in energetske učinkovitosti. Pripravile so tudi projekte s financiranjem EU ali nacionalnim financiranjem, kot so proizvodnja električne energije na podlagi sončne energije ali biomase (Martinik, Gvadelup, Francoska Gvajana) in pametna mikroomrežja (Reunion). Številne najbolj oddaljene regije so vlagale v električno mobilnost. Kanarski otoki so od leta 2017 več kot podvojili čas,</w:t>
      </w:r>
      <w:r>
        <w:rPr>
          <w:rFonts w:ascii="Times New Roman" w:hAnsi="Times New Roman"/>
          <w:i/>
          <w:noProof/>
          <w:sz w:val="24"/>
          <w:szCs w:val="24"/>
        </w:rPr>
        <w:t xml:space="preserve"> </w:t>
      </w:r>
      <w:r>
        <w:rPr>
          <w:rFonts w:ascii="Times New Roman" w:hAnsi="Times New Roman"/>
          <w:noProof/>
          <w:sz w:val="24"/>
          <w:szCs w:val="24"/>
        </w:rPr>
        <w:t>ko otok El Hierro uporablja izključno energijo iz obnovljivih virov.</w:t>
      </w:r>
    </w:p>
    <w:p>
      <w:pPr>
        <w:spacing w:before="120" w:after="0" w:line="240" w:lineRule="auto"/>
        <w:jc w:val="both"/>
        <w:rPr>
          <w:rFonts w:ascii="Times New Roman" w:hAnsi="Times New Roman" w:cs="Times New Roman"/>
          <w:b/>
          <w:noProof/>
          <w:sz w:val="24"/>
          <w:szCs w:val="24"/>
        </w:rPr>
      </w:pPr>
      <w:r>
        <w:rPr>
          <w:rFonts w:ascii="Times New Roman" w:hAnsi="Times New Roman"/>
          <w:i/>
          <w:noProof/>
          <w:sz w:val="24"/>
          <w:szCs w:val="24"/>
        </w:rPr>
        <w:t xml:space="preserve">Najbolj oddaljene regije so odvisne od uvoženih fosilnih goriv, zato so potrebna trajna prizadevanja za pospešitev energetskega prehoda, zlasti naložbe v pametna omrežja in shranjevanje energije, obnovljive vire energije, vključno z morsko energijo, rešitve čistega prometa in energetsko učinkovitost, ter posledični prispevek k energetski neodvisnosti teh oddaljenih regij in ogljični nevtralnosti. </w:t>
      </w:r>
    </w:p>
    <w:p>
      <w:pPr>
        <w:spacing w:before="360" w:after="120" w:line="240" w:lineRule="auto"/>
        <w:rPr>
          <w:rFonts w:ascii="Times New Roman" w:hAnsi="Times New Roman" w:cs="Times New Roman"/>
          <w:b/>
          <w:smallCaps/>
          <w:noProof/>
          <w:sz w:val="24"/>
          <w:szCs w:val="24"/>
        </w:rPr>
      </w:pPr>
      <w:r>
        <w:rPr>
          <w:rFonts w:ascii="Times New Roman" w:hAnsi="Times New Roman"/>
          <w:b/>
          <w:smallCaps/>
          <w:noProof/>
          <w:sz w:val="24"/>
          <w:szCs w:val="24"/>
        </w:rPr>
        <w:t>3. Omogočanje rasti in ustvarjanja novih delovnih mest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V Sporočilu je predstavljeno ukrepanje za omogočitev rasti v najbolj oddaljenih regijah, vključno z naložbami v raziskave in inovacije, podjetništvo, razvoj znanj in spretnosti ter digitalne in prometne povezave.</w:t>
      </w:r>
    </w:p>
    <w:p>
      <w:pPr>
        <w:keepNext/>
        <w:spacing w:before="120" w:after="120" w:line="240" w:lineRule="auto"/>
        <w:rPr>
          <w:rFonts w:ascii="Times New Roman" w:hAnsi="Times New Roman" w:cs="Times New Roman"/>
          <w:noProof/>
          <w:sz w:val="24"/>
          <w:szCs w:val="24"/>
        </w:rPr>
      </w:pPr>
      <w:r>
        <w:rPr>
          <w:rFonts w:ascii="Times New Roman" w:hAnsi="Times New Roman"/>
          <w:b/>
          <w:noProof/>
          <w:sz w:val="24"/>
          <w:szCs w:val="24"/>
        </w:rPr>
        <w:t>Raziskave in inovacije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za okrepitev raziskovalnega potenciala najbolj oddaljenih regij v okviru raziskovalnega programa EU Obzorje 2020 objavila namenski razpis za </w:t>
      </w:r>
      <w:r>
        <w:rPr>
          <w:rFonts w:ascii="Times New Roman" w:hAnsi="Times New Roman"/>
          <w:b/>
          <w:noProof/>
          <w:sz w:val="24"/>
          <w:szCs w:val="24"/>
        </w:rPr>
        <w:t>usklajevalne in podporne ukrepe</w:t>
      </w:r>
      <w:r>
        <w:rPr>
          <w:rFonts w:ascii="Times New Roman" w:hAnsi="Times New Roman"/>
          <w:noProof/>
          <w:sz w:val="24"/>
          <w:szCs w:val="24"/>
        </w:rPr>
        <w:t xml:space="preserve">. Rezultat je projekt FORWARD, ki združuje univerze, industrijo, civilno družbo in vlade vseh najbolj oddaljenih regij, da se </w:t>
      </w:r>
      <w:r>
        <w:rPr>
          <w:rFonts w:ascii="Times New Roman" w:hAnsi="Times New Roman"/>
          <w:b/>
          <w:noProof/>
          <w:sz w:val="24"/>
          <w:szCs w:val="24"/>
        </w:rPr>
        <w:t>opredelijo njihove raziskovalne zmogljivosti</w:t>
      </w:r>
      <w:r>
        <w:rPr>
          <w:rFonts w:ascii="Times New Roman" w:hAnsi="Times New Roman"/>
          <w:noProof/>
          <w:sz w:val="24"/>
          <w:szCs w:val="24"/>
        </w:rPr>
        <w:t xml:space="preserve"> in področja odličnosti ter podpre njihova udeležba v mednarodnih raziskovalnih projektih.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Poleg tega je Komisija predlagala, naj program EU </w:t>
      </w:r>
      <w:r>
        <w:rPr>
          <w:rFonts w:ascii="Times New Roman" w:hAnsi="Times New Roman"/>
          <w:b/>
          <w:noProof/>
          <w:sz w:val="24"/>
          <w:szCs w:val="24"/>
        </w:rPr>
        <w:t>Obzorje Evropa</w:t>
      </w:r>
      <w:r>
        <w:rPr>
          <w:rFonts w:ascii="Times New Roman" w:hAnsi="Times New Roman"/>
          <w:noProof/>
          <w:sz w:val="24"/>
          <w:szCs w:val="24"/>
        </w:rPr>
        <w:t xml:space="preserve"> za obdobje 2021–2027 svoje ukrepe „širitve sodelovanja in razširjanja odličnosti“ razširi na najbolj oddaljene regije. Poleg tega lahko te regije v obdobju 2021–2027 izkoristijo nov instrument za medregionalne naložbe v inovacije v okviru evropskega teritorialnega sodelovanja ter tako sodelujejo v svetovnih vrednostnih verigah in okrepijo svoje vezi z drugimi evropskimi regijami na skupnih področjih pametne specializacije.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Večina najbolj oddaljenih regij ocenjuje svoje </w:t>
      </w:r>
      <w:r>
        <w:rPr>
          <w:rFonts w:ascii="Times New Roman" w:hAnsi="Times New Roman"/>
          <w:b/>
          <w:noProof/>
          <w:sz w:val="24"/>
          <w:szCs w:val="24"/>
        </w:rPr>
        <w:t>strategije za pametno specializacijo</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da bi svoje inovacijske ekosisteme prilagodile najobetavnejšim sektorjem. Azori, Madeira in Kanarski otoki oblikujejo nadregionalno strategijo makaronezijskega območja za specializacijo. Najbolj oddaljene regije so razvile pobude za spodbujanje vključevanja lokalnih akterjev v mednarodne raziskovalne mreže in izboljšanje njihovega sodelovanja v raziskavah, ki jih financira EU (npr. načrt Azorov za internacionalizacijo znanosti in tehnologije). Francija si prizadeva tudi za povečanje zmogljivosti svojih regij na področju inovacij, in sicer z velikim načrtom Francije za naložbe v obdobju 2018–2022.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Ciljni sektorji se po regijah razlikujejo. Nekatere regije so se osredotočile na modro gospodarstvo, na primer s projektom programa Obzorje 2020 o učinkih podnebnih sprememb zaradi pomorskega prometa, turizma, energije in akvakulture, ki vključuje makaronezijsko območje in Karibe. Druge so vlagale v področje vesolja, na primer Azori in Portugalska z novim mednarodnim vesoljskim izstreliščem in portugalsko vesoljsko agencijo na otoku Santa Maria. Druge regije so vlagale v energetski prehod (ukrep Reuniona in Kanarskih otokov za razogljičenje energetskih sistemov), zdravstvo (Madeira, Gvadelup) in razvoj kmetijskih virov ali kozmetičnih izdelkov na podlagi naravnih snovi (Francoska Gvajana). </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Razvoj raziskovalnega in inovacijskega potenciala najbolj oddaljenih regij je ključen za spodbuditev rasti v teh regijah. Povečanje njihove udeležbe v mednarodnih raziskovalnih mrežah in svetovnih vrednostnih verigah v Evropi ter s tretjimi državami lahko prispeva h krepitvi njihovih inovacijskih sistemov in ustvarjanju delovnih mest.</w:t>
      </w:r>
    </w:p>
    <w:p>
      <w:pPr>
        <w:keepNext/>
        <w:spacing w:before="120" w:after="120" w:line="240" w:lineRule="auto"/>
        <w:rPr>
          <w:rFonts w:ascii="Times New Roman" w:hAnsi="Times New Roman"/>
          <w:noProof/>
          <w:sz w:val="24"/>
          <w:szCs w:val="24"/>
        </w:rPr>
      </w:pPr>
      <w:r>
        <w:rPr>
          <w:rFonts w:ascii="Times New Roman" w:hAnsi="Times New Roman"/>
          <w:b/>
          <w:noProof/>
          <w:sz w:val="24"/>
          <w:szCs w:val="24"/>
        </w:rPr>
        <w:t>Zaposlovanje, izobraževanje in usposabljanje</w:t>
      </w:r>
      <w:r>
        <w:rPr>
          <w:rFonts w:ascii="Times New Roman" w:hAnsi="Times New Roman"/>
          <w:noProof/>
          <w:sz w:val="24"/>
          <w:szCs w:val="24"/>
        </w:rPr>
        <w:t xml:space="preserve"> </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Sredstva kohezijske in kmetijske politike EU zagotavljajo znatno podporo socialnemu razvoju v najbolj oddaljenih regijah</w:t>
      </w:r>
      <w:r>
        <w:rPr>
          <w:rStyle w:val="FootnoteReference"/>
          <w:rFonts w:ascii="Times New Roman" w:hAnsi="Times New Roman"/>
          <w:noProof/>
          <w:sz w:val="24"/>
          <w:szCs w:val="24"/>
        </w:rPr>
        <w:footnoteReference w:id="22"/>
      </w:r>
      <w:r>
        <w:rPr>
          <w:rFonts w:ascii="Times New Roman" w:hAnsi="Times New Roman"/>
          <w:noProof/>
          <w:sz w:val="24"/>
          <w:szCs w:val="24"/>
        </w:rPr>
        <w:t xml:space="preserve">. </w:t>
      </w:r>
    </w:p>
    <w:p>
      <w:pPr>
        <w:spacing w:before="120" w:line="240" w:lineRule="auto"/>
        <w:jc w:val="both"/>
        <w:rPr>
          <w:rFonts w:ascii="Times New Roman" w:hAnsi="Times New Roman"/>
          <w:noProof/>
          <w:sz w:val="24"/>
          <w:szCs w:val="24"/>
        </w:rPr>
      </w:pPr>
      <w:r>
        <w:rPr>
          <w:rFonts w:ascii="Times New Roman" w:hAnsi="Times New Roman"/>
          <w:noProof/>
          <w:sz w:val="24"/>
          <w:szCs w:val="24"/>
        </w:rPr>
        <w:t xml:space="preserve">Predlog Komisije glede Evropskega socialnega sklada plus za obdobje 2021–2027 zagotavlja najvišje stopnje sofinanciranja za najbolj oddaljene regije, vzpostavlja </w:t>
      </w:r>
      <w:r>
        <w:rPr>
          <w:rFonts w:ascii="Times New Roman" w:hAnsi="Times New Roman"/>
          <w:b/>
          <w:noProof/>
          <w:sz w:val="24"/>
          <w:szCs w:val="24"/>
        </w:rPr>
        <w:t>posebno dodatno dodelitev sredstev</w:t>
      </w:r>
      <w:r>
        <w:rPr>
          <w:rFonts w:ascii="Times New Roman" w:hAnsi="Times New Roman"/>
          <w:noProof/>
          <w:sz w:val="24"/>
          <w:szCs w:val="24"/>
        </w:rPr>
        <w:t xml:space="preserve"> za podporo zaposlovanju, izobraževanju in vključevanju v teh regijah ter 15 % nacionalnega sklopa namenja </w:t>
      </w:r>
      <w:r>
        <w:rPr>
          <w:rFonts w:ascii="Times New Roman" w:hAnsi="Times New Roman"/>
          <w:b/>
          <w:noProof/>
          <w:sz w:val="24"/>
          <w:szCs w:val="24"/>
        </w:rPr>
        <w:t>podpori mladim</w:t>
      </w:r>
      <w:r>
        <w:rPr>
          <w:rFonts w:ascii="Times New Roman" w:hAnsi="Times New Roman"/>
          <w:noProof/>
          <w:sz w:val="24"/>
          <w:szCs w:val="24"/>
        </w:rPr>
        <w:t xml:space="preserve"> v najbolj oddaljenih regijah z velikim deležem mladih, ki niso zaposleni, se ne izobražujejo ali usposabljajo. </w:t>
      </w:r>
    </w:p>
    <w:p>
      <w:pPr>
        <w:spacing w:before="120" w:line="240" w:lineRule="auto"/>
        <w:jc w:val="both"/>
        <w:rPr>
          <w:rFonts w:ascii="Times New Roman" w:hAnsi="Times New Roman"/>
          <w:noProof/>
          <w:sz w:val="24"/>
          <w:szCs w:val="24"/>
        </w:rPr>
      </w:pPr>
      <w:r>
        <w:rPr>
          <w:rFonts w:ascii="Times New Roman" w:hAnsi="Times New Roman"/>
          <w:noProof/>
          <w:sz w:val="24"/>
          <w:szCs w:val="24"/>
        </w:rPr>
        <w:t xml:space="preserve">Komisija je leta 2018 izboljšala dostop do mikrofinanciranja v francoskih najbolj oddaljenih regijah, tako da je povečala jamstvo programa za zaposlovanje in socialne inovacije združenju ADIE, ki podpira male podjetnike. Poleg tega je še povečala dodelitev sredstev v okviru </w:t>
      </w:r>
      <w:r>
        <w:rPr>
          <w:rFonts w:ascii="Times New Roman" w:hAnsi="Times New Roman"/>
          <w:b/>
          <w:noProof/>
          <w:sz w:val="24"/>
          <w:szCs w:val="24"/>
        </w:rPr>
        <w:t>pobude za zaposlovanje mladih</w:t>
      </w:r>
      <w:r>
        <w:rPr>
          <w:rFonts w:ascii="Times New Roman" w:hAnsi="Times New Roman"/>
          <w:noProof/>
          <w:sz w:val="24"/>
          <w:szCs w:val="24"/>
        </w:rPr>
        <w:t xml:space="preserve"> Franciji, vključno z njenimi najbolj oddaljenimi regijami, pa tudi sredstva </w:t>
      </w:r>
      <w:r>
        <w:rPr>
          <w:rFonts w:ascii="Times New Roman" w:hAnsi="Times New Roman"/>
          <w:b/>
          <w:noProof/>
          <w:sz w:val="24"/>
          <w:szCs w:val="24"/>
        </w:rPr>
        <w:t>Evropskega socialnega sklada</w:t>
      </w:r>
      <w:r>
        <w:rPr>
          <w:rFonts w:ascii="Times New Roman" w:hAnsi="Times New Roman"/>
          <w:noProof/>
          <w:sz w:val="24"/>
          <w:szCs w:val="24"/>
        </w:rPr>
        <w:t xml:space="preserve"> za Španijo, vključno s Kanarskimi otoki. </w:t>
      </w:r>
    </w:p>
    <w:p>
      <w:pPr>
        <w:spacing w:before="120" w:line="240" w:lineRule="auto"/>
        <w:jc w:val="both"/>
        <w:rPr>
          <w:rFonts w:ascii="Times New Roman" w:hAnsi="Times New Roman"/>
          <w:noProof/>
          <w:sz w:val="24"/>
          <w:szCs w:val="24"/>
        </w:rPr>
      </w:pPr>
      <w:r>
        <w:rPr>
          <w:rFonts w:ascii="Times New Roman" w:hAnsi="Times New Roman"/>
          <w:noProof/>
          <w:sz w:val="24"/>
          <w:szCs w:val="24"/>
        </w:rPr>
        <w:t xml:space="preserve">V istem letu je Komisija v okviru programa </w:t>
      </w:r>
      <w:r>
        <w:rPr>
          <w:rFonts w:ascii="Times New Roman" w:hAnsi="Times New Roman"/>
          <w:b/>
          <w:noProof/>
          <w:sz w:val="24"/>
          <w:szCs w:val="24"/>
        </w:rPr>
        <w:t>Erasmus+</w:t>
      </w:r>
      <w:r>
        <w:rPr>
          <w:rFonts w:ascii="Times New Roman" w:hAnsi="Times New Roman"/>
          <w:noProof/>
          <w:sz w:val="24"/>
          <w:szCs w:val="24"/>
        </w:rPr>
        <w:t xml:space="preserve"> povečala mesečna nepovratna sredstva za prebivalce najbolj oddaljenih regij in subvencije za potne stroške za državljane najbolj oddaljenih regij Mayotte in Reunion</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Poleg tega je Komisija posebne pogoje programa Erasmus za državljane najbolj oddaljenih regij razširila na </w:t>
      </w:r>
      <w:r>
        <w:rPr>
          <w:rFonts w:ascii="Times New Roman" w:hAnsi="Times New Roman"/>
          <w:b/>
          <w:noProof/>
          <w:sz w:val="24"/>
          <w:szCs w:val="24"/>
        </w:rPr>
        <w:t>evropsko solidarnostno enoto</w:t>
      </w:r>
      <w:r>
        <w:rPr>
          <w:rFonts w:ascii="Times New Roman" w:hAnsi="Times New Roman"/>
          <w:noProof/>
          <w:sz w:val="24"/>
          <w:szCs w:val="24"/>
        </w:rPr>
        <w:t xml:space="preserve">. Komisija se je v predlogu programa Erasmus za obdobje 2021–2027 zavezala, da bo </w:t>
      </w:r>
      <w:r>
        <w:rPr>
          <w:rFonts w:ascii="Times New Roman" w:hAnsi="Times New Roman"/>
          <w:b/>
          <w:noProof/>
          <w:sz w:val="24"/>
          <w:szCs w:val="24"/>
        </w:rPr>
        <w:t>povečala udeležbo najbolj oddaljenih regij</w:t>
      </w:r>
      <w:r>
        <w:rPr>
          <w:rFonts w:ascii="Times New Roman" w:hAnsi="Times New Roman"/>
          <w:noProof/>
          <w:sz w:val="24"/>
          <w:szCs w:val="24"/>
        </w:rPr>
        <w:t xml:space="preserve"> v programih mobilnosti, vključno s </w:t>
      </w:r>
      <w:r>
        <w:rPr>
          <w:rFonts w:ascii="Times New Roman" w:hAnsi="Times New Roman"/>
          <w:b/>
          <w:noProof/>
          <w:sz w:val="24"/>
          <w:szCs w:val="24"/>
        </w:rPr>
        <w:t>sosednjimi državami</w:t>
      </w:r>
      <w:r>
        <w:rPr>
          <w:rFonts w:ascii="Times New Roman" w:hAnsi="Times New Roman"/>
          <w:noProof/>
          <w:sz w:val="24"/>
          <w:szCs w:val="24"/>
        </w:rPr>
        <w:t xml:space="preserve">, in jo spremljala. </w:t>
      </w:r>
    </w:p>
    <w:p>
      <w:pPr>
        <w:spacing w:before="120" w:line="240" w:lineRule="auto"/>
        <w:jc w:val="both"/>
        <w:rPr>
          <w:rFonts w:ascii="Times New Roman" w:hAnsi="Times New Roman"/>
          <w:noProof/>
          <w:sz w:val="24"/>
          <w:szCs w:val="24"/>
        </w:rPr>
      </w:pPr>
      <w:r>
        <w:rPr>
          <w:rFonts w:ascii="Times New Roman" w:hAnsi="Times New Roman"/>
          <w:noProof/>
          <w:sz w:val="24"/>
          <w:szCs w:val="24"/>
        </w:rPr>
        <w:t>Francija je revidirala svojo zakonodajo</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da bo s sosednjimi tretjimi državami oblikovala pogodbe o vajeništvu. Večina najbolj oddaljenih regij – Martinik, Reunion, Azori, Madeira in Kanarski otoki – je pripravila akcijske načrte za izboljšanje podjetništva s projektom GROWRUP v okviru pobude Interreg, ki so namenjeni brezposelnim v sektorjih modrega in zelenega gospodarstva. Francoska Gvajana je ustanovila prvostopenjski študijski program na področju vesoljske industrije, Reunion vlaga v svojo regionalno univerzo, Azori pa so začeli več pobud za spodbujanje zaposlovanja mladih. </w:t>
      </w:r>
    </w:p>
    <w:p>
      <w:pPr>
        <w:spacing w:before="120" w:after="0" w:line="240" w:lineRule="auto"/>
        <w:jc w:val="both"/>
        <w:rPr>
          <w:rFonts w:ascii="Times New Roman" w:hAnsi="Times New Roman"/>
          <w:i/>
          <w:noProof/>
          <w:sz w:val="24"/>
          <w:szCs w:val="24"/>
        </w:rPr>
      </w:pPr>
      <w:r>
        <w:rPr>
          <w:rFonts w:ascii="Times New Roman" w:hAnsi="Times New Roman"/>
          <w:i/>
          <w:noProof/>
          <w:sz w:val="24"/>
          <w:szCs w:val="24"/>
        </w:rPr>
        <w:t>Izboljšanje znanj in spretnosti, zlasti med mladimi, je bistveno za izpolnjevanje potreb trga dela in povečanje zaposljivosti prebivalcev. Z nadaljnjimi naložbami v mednarodno mobilnost bi se izboljšalo sodelovanje s sosednjimi državami in podprlo regionalno vključevanje.</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Konkurenčnost, podjetništvo in enotni trg</w:t>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Kohezijska in kmetijska politika EU zagotavlja znatno podporo za povečanje konkurenčnosti malih in srednjih podjetij v najbolj oddaljenih regijah</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 bi se izboljšal dostop teh regij do financiranja, je </w:t>
      </w:r>
      <w:r>
        <w:rPr>
          <w:rFonts w:ascii="Times New Roman" w:hAnsi="Times New Roman"/>
          <w:b/>
          <w:noProof/>
          <w:sz w:val="24"/>
          <w:szCs w:val="24"/>
        </w:rPr>
        <w:t>Evropsko svetovalno vozlišče za naložbe</w:t>
      </w:r>
      <w:r>
        <w:rPr>
          <w:rFonts w:ascii="Times New Roman" w:hAnsi="Times New Roman"/>
          <w:noProof/>
          <w:sz w:val="24"/>
          <w:szCs w:val="24"/>
        </w:rPr>
        <w:t xml:space="preserve"> analiziralo stanje vsake posamezne regije in predlagalo načine za čim večje povečanje finančne podpore, med drugim iz Evropskega sklada za strateške naložbe</w:t>
      </w:r>
      <w:r>
        <w:rPr>
          <w:rFonts w:ascii="Times New Roman" w:hAnsi="Times New Roman" w:cs="Times New Roman"/>
          <w:noProof/>
          <w:sz w:val="24"/>
          <w:szCs w:val="24"/>
          <w:vertAlign w:val="superscript"/>
        </w:rPr>
        <w:footnoteReference w:id="26"/>
      </w:r>
      <w:r>
        <w:rPr>
          <w:rFonts w:ascii="Times New Roman" w:hAnsi="Times New Roman"/>
          <w:noProof/>
          <w:sz w:val="24"/>
          <w:szCs w:val="24"/>
        </w:rPr>
        <w:t>. Komisija je spodbujala razprave z nacionalnimi in regionalnimi organi in finančnimi institucijami o predlaganih rešitvah ter podpirala izvajanje teh rešitev. Poleg tega predlog Komisije za program InvestEU države članice spodbuja, naj obravnavajo nedelovanje trga v najbolj oddaljenih regijah, tako da s programom pritegnejo zasebne naložbe in povečajo vzvod financiranja</w:t>
      </w:r>
      <w:r>
        <w:rPr>
          <w:rFonts w:ascii="Times New Roman" w:hAnsi="Times New Roman"/>
          <w:i/>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leta 2019 objavila razpis za zbiranje predlogov v okviru programa </w:t>
      </w:r>
      <w:r>
        <w:rPr>
          <w:rFonts w:ascii="Times New Roman" w:hAnsi="Times New Roman"/>
          <w:b/>
          <w:noProof/>
          <w:sz w:val="24"/>
          <w:szCs w:val="24"/>
        </w:rPr>
        <w:t>Erasmus za mlade podjetnike</w:t>
      </w:r>
      <w:r>
        <w:rPr>
          <w:rFonts w:ascii="Times New Roman" w:hAnsi="Times New Roman"/>
          <w:noProof/>
          <w:sz w:val="24"/>
          <w:szCs w:val="24"/>
        </w:rPr>
        <w:t xml:space="preserve">, pri čemer je vložnike spodbujala, naj vključijo subjekte iz najbolj oddaljenih regij. Rezultat je prva kontaktna točka na Martiniku, ki podpira lokalne podjetnike. V predlogu Komisije za </w:t>
      </w:r>
      <w:r>
        <w:rPr>
          <w:rFonts w:ascii="Times New Roman" w:hAnsi="Times New Roman"/>
          <w:b/>
          <w:noProof/>
          <w:sz w:val="24"/>
          <w:szCs w:val="24"/>
        </w:rPr>
        <w:t>program za enotni trg</w:t>
      </w:r>
      <w:r>
        <w:rPr>
          <w:rFonts w:ascii="Times New Roman" w:hAnsi="Times New Roman"/>
          <w:noProof/>
          <w:sz w:val="24"/>
          <w:szCs w:val="24"/>
        </w:rPr>
        <w:t xml:space="preserve"> za obdobje 2021–2027 je nadalje poudarjena potreba po boljšem vključevanju najbolj oddaljenih regij v notranji trg. Poleg tega je Komisija predlagala, naj </w:t>
      </w:r>
      <w:r>
        <w:rPr>
          <w:rFonts w:ascii="Times New Roman" w:hAnsi="Times New Roman"/>
          <w:b/>
          <w:noProof/>
          <w:sz w:val="24"/>
          <w:szCs w:val="24"/>
        </w:rPr>
        <w:t>Evropski sklad za regionalni razvoj</w:t>
      </w:r>
      <w:r>
        <w:rPr>
          <w:rFonts w:ascii="Times New Roman" w:hAnsi="Times New Roman"/>
          <w:noProof/>
          <w:sz w:val="24"/>
          <w:szCs w:val="24"/>
        </w:rPr>
        <w:t xml:space="preserve"> še naprej zagotavlja posebna dodeljena sredstva za nadomestitev dodatnih stroškov, ki jih imajo podjetja s sedežem v teh regijah.</w:t>
      </w:r>
      <w:r>
        <w:rPr>
          <w:rFonts w:ascii="Verdana" w:hAnsi="Verdana"/>
          <w:noProof/>
          <w:color w:val="444345"/>
          <w:sz w:val="24"/>
          <w:szCs w:val="24"/>
        </w:rPr>
        <w:t xml:space="preserve"> </w:t>
      </w:r>
      <w:r>
        <w:rPr>
          <w:rFonts w:ascii="Times New Roman" w:hAnsi="Times New Roman"/>
          <w:noProof/>
          <w:sz w:val="24"/>
          <w:szCs w:val="24"/>
        </w:rPr>
        <w:t xml:space="preserve">Podpora iz </w:t>
      </w:r>
      <w:r>
        <w:rPr>
          <w:rFonts w:ascii="Times New Roman" w:hAnsi="Times New Roman"/>
          <w:b/>
          <w:noProof/>
          <w:sz w:val="24"/>
          <w:szCs w:val="24"/>
        </w:rPr>
        <w:t>evropske podjetniške mreže</w:t>
      </w:r>
      <w:r>
        <w:rPr>
          <w:rFonts w:ascii="Times New Roman" w:hAnsi="Times New Roman"/>
          <w:noProof/>
          <w:sz w:val="24"/>
          <w:szCs w:val="24"/>
        </w:rPr>
        <w:t xml:space="preserve"> je na voljo na Azorih, Madeiri, Kanarskih otokih, Martiniku, Gvadelupu in Reunionu.</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Francija je družbe najbolj oddaljenih regij podprla s posebnimi davčnimi shemami ali pogoji financiranja. Kanarski otoki in Martinik so pripravili strategije za internacionalizacijo. Nekatere regije so okrepile trgovinske odnose s sosednjimi tretjimi državami. Gvadelup je na primer podpiral podjetja pri izvozu v ZDA, Reunion je ustanovil službo za podporo zagonskim podjetjem v Mozambiku ter vzpostavil finančne instrumente za mala in srednja podjetja, ki jih podpira Evropski sklad za regionalni razvoj. Mayotte in Reunion ustanavljata tehnološke parke. </w:t>
      </w:r>
    </w:p>
    <w:p>
      <w:pPr>
        <w:spacing w:before="120" w:after="0" w:line="240" w:lineRule="auto"/>
        <w:jc w:val="both"/>
        <w:rPr>
          <w:rFonts w:ascii="Times New Roman" w:hAnsi="Times New Roman" w:cs="Times New Roman"/>
          <w:b/>
          <w:noProof/>
          <w:sz w:val="24"/>
          <w:szCs w:val="24"/>
        </w:rPr>
      </w:pPr>
      <w:r>
        <w:rPr>
          <w:rFonts w:ascii="Times New Roman" w:hAnsi="Times New Roman"/>
          <w:i/>
          <w:noProof/>
          <w:sz w:val="24"/>
          <w:szCs w:val="24"/>
        </w:rPr>
        <w:t>Na vseh ravneh so potrebna večja prizadevanja za izboljšanje podjetništva in povečanje konkurenčnosti sektorjev z velikim potencialom, kot sta biotska raznovrstnost in modro gospodarstvo.</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Digitalna dostopnost</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 xml:space="preserve">Komisija je leta 2017 vzpostavila </w:t>
      </w:r>
      <w:r>
        <w:rPr>
          <w:rFonts w:ascii="Times New Roman" w:hAnsi="Times New Roman"/>
          <w:b/>
          <w:noProof/>
          <w:sz w:val="24"/>
          <w:szCs w:val="24"/>
        </w:rPr>
        <w:t>evropsko mrežo kompetenčnih uradov za širokopasovne povezave</w:t>
      </w:r>
      <w:r>
        <w:rPr>
          <w:rFonts w:ascii="Times New Roman" w:hAnsi="Times New Roman"/>
          <w:noProof/>
          <w:sz w:val="24"/>
          <w:szCs w:val="24"/>
        </w:rPr>
        <w:t>, da bi države članice in regije podpirala pri zasnovi in izvajanju strategij za zagotovitev širokopasovnih povezav na območjih, na katerih ni komercialnih ponudnikov. Komisija je najbolj oddaljene regije spodbujala, naj sodelujejo v tej mreži, in priporočila, naj države članice podprejo njihovo vključitev. Komisija je odobrila tudi dva velika projekta za visokohitrostna širokopasovna omrežja na Reunionu (2018) in Martiniku (2019), ki ju bo podprl Evropski sklad za regionalni razvoj. V predlogu programa za digitalno Evropo za obdobje 2021–2027 je predvidela posebne digitalne subjekte v najbolj oddaljenih regijah in te regije izpostavila v merilih za dodelitev. Poleg tega bodo do podpore v okviru Instrumenta za povezovanje Evrope za obdobje 2021–2027 upravičeni projekti, ki podpirajo nova ali nadgrajena hrbtenična omrežja, vključno s podvodnimi kabli, med državami članicami ter med Unijo in tretjimi državami. Tudi okvirni seznam projektov v skupnem interesu na področju infrastrukture za digitalno povezljivost, priložen predlogu Instrumenta za povezovanje Evrope</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kot sta ga spremenila Evropski parlament in Svet</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vključuje nov podmorski kabel, ki povezuje Madeiro, Azore in celinsko Portugalsko. Projekti na področju digitalne povezljivosti v najbolj oddaljenih regijah lahko prejmejo višjo stopnjo sofinanciranja.</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Francija je digitalna znanja in spretnosti izboljšala tako, da je vlagala v izobraževalna središča, Madeira in Kanarski otoki pa so pripravili nove izobraževalne programe. Portugalska je leta 2019 ustanovila delovno skupino za priprave na zamenjavo podmorskih kablov med njenimi najbolj oddaljenimi regijami in celino. Poleg tega je bil načrtovan priključek Madeire in Francoske Gvajane na podmorski kabel, ki povezuje Portugalsko in Brazilijo, ob podpori EU v vrednosti 26,5 milijona EUR.  </w:t>
      </w:r>
    </w:p>
    <w:p>
      <w:pPr>
        <w:spacing w:before="120" w:after="0" w:line="240" w:lineRule="auto"/>
        <w:jc w:val="both"/>
        <w:rPr>
          <w:rFonts w:ascii="Times New Roman" w:hAnsi="Times New Roman"/>
          <w:i/>
          <w:noProof/>
          <w:sz w:val="24"/>
          <w:szCs w:val="24"/>
        </w:rPr>
      </w:pPr>
      <w:r>
        <w:rPr>
          <w:rFonts w:ascii="Times New Roman" w:hAnsi="Times New Roman"/>
          <w:i/>
          <w:noProof/>
          <w:sz w:val="24"/>
          <w:szCs w:val="24"/>
        </w:rPr>
        <w:t>Vse večja digitalizacija najbolj oddaljenih regij zaradi dobre povezljivosti z EU in tretjimi državami je pomembna, da lahko te regije izkoristijo prednosti enotnega digitalnega trga in mednarodno poslujejo. Mreža kompetenčnih uradov za širokopasovne povezave lahko z izmenjavo dobrih praks in tehnično podporo pomaga najbolj oddaljenim regijam okrepiti njihovo zmogljivost za izvajanje projektov v tem sektorju.</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Promet</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v okviru Instrumenta za povezovanje Evrope za obdobje 2021–2027 predlagala posebne določbe za najbolj oddaljene regije: dela, povezana s prometom, kot so povezave do letališč, pristanišč in mestnih vozlišč v teh regijah, so upravičena do financiranja in lahko izkoristijo višjo stopnjo sofinanciranja.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Nadalje je Komisija predlagala, da lahko najbolj oddaljene regije sredstva Evropskega sklada za regionalni razvoj za obdobje 2021–2027 izjemoma uporabijo za naložbe v </w:t>
      </w:r>
      <w:r>
        <w:rPr>
          <w:rFonts w:ascii="Times New Roman" w:hAnsi="Times New Roman"/>
          <w:b/>
          <w:noProof/>
          <w:sz w:val="24"/>
          <w:szCs w:val="24"/>
        </w:rPr>
        <w:t>letališko infrastrukturo</w:t>
      </w:r>
      <w:r>
        <w:rPr>
          <w:rFonts w:ascii="Times New Roman" w:hAnsi="Times New Roman"/>
          <w:noProof/>
          <w:sz w:val="24"/>
          <w:szCs w:val="24"/>
        </w:rPr>
        <w:t>. Komisija je leta 2019 za najbolj oddaljene regije pripravila tudi analizo njihovih potreb po povezljivosti, pri čemer je opredelila morebitne infrastrukturne projekte in projekte, povezane s storitvami.</w:t>
      </w:r>
      <w:r>
        <w:rPr>
          <w:rFonts w:ascii="Times New Roman" w:hAnsi="Times New Roman"/>
          <w:b/>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namerava za </w:t>
      </w:r>
      <w:r>
        <w:rPr>
          <w:rFonts w:ascii="Times New Roman" w:hAnsi="Times New Roman"/>
          <w:b/>
          <w:noProof/>
          <w:sz w:val="24"/>
          <w:szCs w:val="24"/>
        </w:rPr>
        <w:t>leto 2021</w:t>
      </w:r>
      <w:r>
        <w:rPr>
          <w:rFonts w:ascii="Times New Roman" w:hAnsi="Times New Roman"/>
          <w:noProof/>
          <w:sz w:val="24"/>
          <w:szCs w:val="24"/>
        </w:rPr>
        <w:t xml:space="preserve"> predlagati pregled </w:t>
      </w:r>
      <w:r>
        <w:rPr>
          <w:rFonts w:ascii="Times New Roman" w:hAnsi="Times New Roman"/>
          <w:b/>
          <w:noProof/>
          <w:sz w:val="24"/>
          <w:szCs w:val="24"/>
        </w:rPr>
        <w:t>smernic o vseevropskem prometnem omrežju</w:t>
      </w:r>
      <w:r>
        <w:rPr>
          <w:rFonts w:ascii="Times New Roman" w:hAnsi="Times New Roman"/>
          <w:noProof/>
          <w:sz w:val="24"/>
          <w:szCs w:val="24"/>
        </w:rPr>
        <w:t xml:space="preserve"> in analizirati posebne pomisleke najbolj oddaljenih regij v tem okviru. Na koncu je Evropska investicijska banka s podporo Evropskega sklada za strateške naložbe v letališča na Reunionu in Gvadelupu vložila 100 milijonov EUR oziroma 60 milijonov EUR.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Najbolj oddaljene regije so s podporo Evropskega sklada za regionalni razvoj še naprej izboljševale notranjo infrastrukturo za cestni in pomorski promet. To vključuje izboljšanje varnosti cestne infrastrukture in razvoj javnega prevoza na Madeiri, v Francoski Gvajani in na Mayottu ter izboljšanje dostopnosti različnih otokov na Azorih. Poleg tega Francoska Gvajana vzpostavlja nove pomorske prometne poti s tretjimi državami, Gvadelup pa novo letalsko povezavo z Združenimi državami.</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Za podporo povezljivosti v najbolj oddaljenih regijah so potrebna stalna prizadevanja na ravni EU ter nacionalni in regionalni ravni. V zvezi s tem sta pomembna oblikovanje premišljenega sklopa projektov in optimizacija razpoložljive podpore.</w:t>
      </w:r>
    </w:p>
    <w:p>
      <w:pPr>
        <w:spacing w:before="360" w:after="120" w:line="240" w:lineRule="auto"/>
        <w:rPr>
          <w:rFonts w:ascii="Times New Roman" w:hAnsi="Times New Roman" w:cs="Times New Roman"/>
          <w:b/>
          <w:smallCaps/>
          <w:noProof/>
          <w:sz w:val="24"/>
          <w:szCs w:val="24"/>
        </w:rPr>
      </w:pPr>
      <w:r>
        <w:rPr>
          <w:rFonts w:ascii="Times New Roman" w:hAnsi="Times New Roman"/>
          <w:b/>
          <w:smallCaps/>
          <w:noProof/>
          <w:sz w:val="24"/>
          <w:szCs w:val="24"/>
        </w:rPr>
        <w:t>4. Krepitev sodelovanja najbolj oddaljenih regij z njihovim sosedstvom in državami zunaj njega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si v predlogu evropskega teritorialnega sodelovanja za obdobje 2021–2027 prizadeva </w:t>
      </w:r>
      <w:r>
        <w:rPr>
          <w:rFonts w:ascii="Times New Roman" w:hAnsi="Times New Roman"/>
          <w:b/>
          <w:noProof/>
          <w:sz w:val="24"/>
          <w:szCs w:val="24"/>
        </w:rPr>
        <w:t>olajšati sodelovanje med najbolj oddaljenimi regijami in njihovimi sosednjimi državami</w:t>
      </w:r>
      <w:r>
        <w:rPr>
          <w:rFonts w:ascii="Times New Roman" w:hAnsi="Times New Roman"/>
          <w:noProof/>
          <w:sz w:val="24"/>
          <w:szCs w:val="24"/>
        </w:rPr>
        <w:t xml:space="preserve"> z namensko omejenim proračunom in prožnimi pravili o sodelovanju, ki so usklajena z instrumentom zunanjega financiranja. V zvezi s tem so si najbolj oddaljene regije v letu 2019 izmenjale dobre prakse za </w:t>
      </w:r>
      <w:r>
        <w:rPr>
          <w:rFonts w:ascii="Times New Roman" w:hAnsi="Times New Roman"/>
          <w:b/>
          <w:noProof/>
          <w:sz w:val="24"/>
          <w:szCs w:val="24"/>
        </w:rPr>
        <w:t>poenostavitev skupnih projektov</w:t>
      </w:r>
      <w:r>
        <w:rPr>
          <w:rFonts w:ascii="Times New Roman" w:hAnsi="Times New Roman"/>
          <w:noProof/>
          <w:sz w:val="24"/>
          <w:szCs w:val="24"/>
        </w:rPr>
        <w:t xml:space="preserve"> in vzpostavile skupne platforme, ki vključujejo zunanje programe.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EU je z afriškimi, karibskimi in pacifiškimi državami začela pogajanja o sporazumu, ki bi se začel uporabljati po izteku Sporazuma iz Cotonouja, pri čemer pogajalski mandat določa, da je treba obravnavati pomisleke in položaj najbolj oddaljenih regij. Ta sporazum je pomemben za oblikovanje sodelovanja o svetovnih vprašanjih, kot je upravljanje oceanov.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Leta 2019 je Gvadelup postal član Organizacije vzhodnokaribskih držav, Saint-Martin pa je zaprosil za status opazovalca. Francoska Gvajana je začela izvajati študijo o ovirah, s katerimi se spopadajo lokalne družbe, Martinik in Reunion sta podirala internacionalizacijo lokalnih podjetij, Reunion in Mayotte pa mobilnost študentov v tretje države. Najbolj oddaljene regije so s sosednjimi državami sodelovale v projektih regionalnega sodelovanja, na primer na področju prometa, zdravja, modrega turizma ter znanj in spretnosti. Regije makaronezijskega območja so okrepile sodelovanje z Zelenortskimi otoki, Mavretanijo in Senegalom s projektom Hexagone v okviru njihovega programa teritorialnega sodelovanja. V letih 2018 in 2019 so države Karibskega morja skupaj z najbolj oddaljenimi regijami na tem območju sodelovale v skupni vaji za preskus sistema zgodnjega opozarjanja na cunamije.</w:t>
      </w:r>
    </w:p>
    <w:p>
      <w:pPr>
        <w:spacing w:before="120" w:line="240" w:lineRule="auto"/>
        <w:jc w:val="both"/>
        <w:rPr>
          <w:rFonts w:ascii="Calibri" w:hAnsi="Calibri" w:cs="Calibri"/>
          <w:i/>
          <w:iCs/>
          <w:noProof/>
          <w:color w:val="1F497D"/>
          <w:sz w:val="24"/>
          <w:szCs w:val="24"/>
        </w:rPr>
      </w:pPr>
      <w:r>
        <w:rPr>
          <w:rFonts w:ascii="Times New Roman" w:hAnsi="Times New Roman"/>
          <w:noProof/>
          <w:sz w:val="24"/>
          <w:szCs w:val="24"/>
        </w:rPr>
        <w:t xml:space="preserve">Nekatere najbolj oddaljene regije se zaradi </w:t>
      </w:r>
      <w:r>
        <w:rPr>
          <w:rFonts w:ascii="Times New Roman" w:hAnsi="Times New Roman"/>
          <w:b/>
          <w:noProof/>
          <w:sz w:val="24"/>
          <w:szCs w:val="24"/>
        </w:rPr>
        <w:t>migracij</w:t>
      </w:r>
      <w:r>
        <w:rPr>
          <w:rFonts w:ascii="Times New Roman" w:hAnsi="Times New Roman"/>
          <w:noProof/>
          <w:sz w:val="24"/>
          <w:szCs w:val="24"/>
        </w:rPr>
        <w:t xml:space="preserve"> srečujejo s pomembnimi družbeno-gospodarskimi izzivi. V zvezi s tem </w:t>
      </w:r>
      <w:r>
        <w:rPr>
          <w:rFonts w:ascii="Times New Roman" w:hAnsi="Times New Roman"/>
          <w:iCs/>
          <w:noProof/>
          <w:sz w:val="24"/>
          <w:szCs w:val="24"/>
        </w:rPr>
        <w:t xml:space="preserve">nacionalni programi, ki jih podpira več skladov EU, vključujejo številne namenske ukrepe. Tako sta </w:t>
      </w:r>
      <w:r>
        <w:rPr>
          <w:rFonts w:ascii="Times New Roman" w:hAnsi="Times New Roman"/>
          <w:noProof/>
          <w:sz w:val="24"/>
          <w:szCs w:val="24"/>
        </w:rPr>
        <w:t xml:space="preserve">Sklad EU za azil, migracije in vključevanje ter Sklad za notranjo varnost podprla obravnavanje prošenj za azil v Francoski Gvajani, razvoj </w:t>
      </w:r>
      <w:hyperlink r:id="rId16" w:anchor="080126248ad359ff/c_" w:history="1">
        <w:r>
          <w:rPr>
            <w:rFonts w:ascii="Times New Roman" w:hAnsi="Times New Roman"/>
            <w:noProof/>
            <w:sz w:val="24"/>
            <w:szCs w:val="24"/>
          </w:rPr>
          <w:t>Evropskega sistema varovanja meja</w:t>
        </w:r>
      </w:hyperlink>
      <w:r>
        <w:rPr>
          <w:rFonts w:ascii="Times New Roman" w:hAnsi="Times New Roman"/>
          <w:noProof/>
          <w:sz w:val="24"/>
          <w:szCs w:val="24"/>
        </w:rPr>
        <w:t xml:space="preserve"> na Azorih in Madeiri ter </w:t>
      </w:r>
      <w:r>
        <w:rPr>
          <w:rFonts w:ascii="Times New Roman" w:hAnsi="Times New Roman"/>
          <w:iCs/>
          <w:noProof/>
          <w:sz w:val="24"/>
          <w:szCs w:val="24"/>
        </w:rPr>
        <w:t xml:space="preserve">vključevanje migrantov v družbo in na trg dela </w:t>
      </w:r>
      <w:r>
        <w:rPr>
          <w:rFonts w:ascii="Times New Roman" w:hAnsi="Times New Roman"/>
          <w:noProof/>
          <w:sz w:val="24"/>
          <w:szCs w:val="24"/>
        </w:rPr>
        <w:t>na Kanarskih otokih. Francija je ustanovila službe, specializirane za migracije na Mayottu. Na Madeiri</w:t>
      </w:r>
      <w:r>
        <w:rPr>
          <w:rFonts w:ascii="Times New Roman" w:hAnsi="Times New Roman"/>
          <w:iCs/>
          <w:noProof/>
          <w:sz w:val="24"/>
          <w:szCs w:val="24"/>
        </w:rPr>
        <w:t xml:space="preserve"> so se s sredstvi kohezijske politike podprli projekti za </w:t>
      </w:r>
      <w:r>
        <w:rPr>
          <w:rFonts w:ascii="Times New Roman" w:hAnsi="Times New Roman"/>
          <w:noProof/>
          <w:sz w:val="24"/>
          <w:szCs w:val="24"/>
        </w:rPr>
        <w:t xml:space="preserve">zagotavljanje zdravstvenega varstva, izobraževanja, socialne varnosti in stanovanj državljanom Venezuele. Kar zadeva mobilnost s </w:t>
      </w:r>
      <w:r>
        <w:rPr>
          <w:rFonts w:ascii="Times New Roman" w:hAnsi="Times New Roman"/>
          <w:b/>
          <w:noProof/>
          <w:sz w:val="24"/>
          <w:szCs w:val="24"/>
        </w:rPr>
        <w:t>sosednjimi državami</w:t>
      </w:r>
      <w:r>
        <w:rPr>
          <w:rFonts w:ascii="Times New Roman" w:hAnsi="Times New Roman"/>
          <w:noProof/>
          <w:sz w:val="24"/>
          <w:szCs w:val="24"/>
        </w:rPr>
        <w:t xml:space="preserve">, je EU oživila odnose z Marokom, kot je bilo junija 2019 potrjeno s pridružitvenim svetom med EU in Marokom.  </w:t>
      </w:r>
    </w:p>
    <w:p>
      <w:pPr>
        <w:spacing w:before="120" w:after="0" w:line="240" w:lineRule="auto"/>
        <w:jc w:val="both"/>
        <w:rPr>
          <w:rFonts w:ascii="Times New Roman" w:eastAsia="Times New Roman" w:hAnsi="Times New Roman" w:cs="Times New Roman"/>
          <w:i/>
          <w:noProof/>
          <w:sz w:val="24"/>
          <w:szCs w:val="24"/>
        </w:rPr>
      </w:pPr>
      <w:r>
        <w:rPr>
          <w:rFonts w:ascii="Times New Roman" w:hAnsi="Times New Roman"/>
          <w:i/>
          <w:noProof/>
          <w:sz w:val="24"/>
          <w:szCs w:val="24"/>
        </w:rPr>
        <w:t xml:space="preserve">Vzpostavitev zaupanja v sosednjih državah in razvoj skupnih praks za delitev virov sta ključna, da se izkoristijo nove priložnosti za sodelovanje. Ta namen bi se lahko podprl s platformami, ki vključujejo zainteresirane strani iz Evropskega sklada za regionalni razvoj in Evropskega razvojnega sklada. </w:t>
      </w:r>
      <w:r>
        <w:rPr>
          <w:rFonts w:ascii="Times New Roman" w:hAnsi="Times New Roman"/>
          <w:i/>
          <w:iCs/>
          <w:noProof/>
          <w:sz w:val="24"/>
          <w:szCs w:val="24"/>
        </w:rPr>
        <w:t>Regionalno povezovanje bi se lahko olajšalo s sporazumi o partnerstvu za mobilnost</w:t>
      </w:r>
      <w:r>
        <w:rPr>
          <w:rFonts w:ascii="Times New Roman" w:hAnsi="Times New Roman"/>
          <w:i/>
          <w:noProof/>
          <w:sz w:val="24"/>
          <w:szCs w:val="24"/>
        </w:rPr>
        <w:t>.</w:t>
      </w:r>
      <w:r>
        <w:rPr>
          <w:rFonts w:ascii="Times New Roman" w:hAnsi="Times New Roman"/>
          <w:i/>
          <w:iCs/>
          <w:noProof/>
          <w:sz w:val="24"/>
          <w:szCs w:val="24"/>
        </w:rPr>
        <w:t xml:space="preserve"> </w:t>
      </w:r>
    </w:p>
    <w:p>
      <w:pPr>
        <w:spacing w:before="360" w:after="120" w:line="240" w:lineRule="auto"/>
        <w:rPr>
          <w:rFonts w:ascii="Times New Roman" w:hAnsi="Times New Roman" w:cs="Times New Roman"/>
          <w:b/>
          <w:smallCaps/>
          <w:noProof/>
          <w:sz w:val="24"/>
          <w:szCs w:val="24"/>
        </w:rPr>
      </w:pPr>
      <w:r>
        <w:rPr>
          <w:rFonts w:ascii="Times New Roman" w:hAnsi="Times New Roman"/>
          <w:b/>
          <w:smallCaps/>
          <w:noProof/>
          <w:sz w:val="24"/>
          <w:szCs w:val="24"/>
        </w:rPr>
        <w:t>5. Sklepna ugotovitev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Sporočilo z naslovom Trdnejše in prenovljeno strateško partnerstvo z najbolj oddaljenimi regijami EU iz leta 2017 se ustrezno izvaja. V samo dveh letih je najbolj oddaljenim regijam prineslo dejanske pozitivne rezultate.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Komisija je svoje zaveze izpolnila s posebnimi priložnostmi za najbolj oddaljene regije, ki jih je ustvarila v najrazličnejših programih EU, doslednim prilagajanjem zakonodaje, politik in orodij EU potrebam in interesom teh regij ter zagotavljanjem prilagojene podpore tem regijam. Pomembno je, da Evropski parlament in Svet sprejmeta programe EU za obdobje 2021–2027, ki zagotavljajo prilagojen dostop in posebne pogoje za najbolj oddaljene regije, kot je predlagala Komisija.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Najbolj oddaljene regije in zadevne države članice so svojo vlogo opravile tako, da so sprejele regionalne in nacionalne strategije, razvile dejanske pobude za izvajanje Sporočila ter izražale mnenja pri oblikovanju politik.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Ob upoštevanju doseženega napredka sta za popolno izvedbo Sporočila </w:t>
      </w:r>
      <w:r>
        <w:rPr>
          <w:rFonts w:ascii="Times New Roman" w:hAnsi="Times New Roman"/>
          <w:b/>
          <w:noProof/>
          <w:sz w:val="24"/>
          <w:szCs w:val="24"/>
        </w:rPr>
        <w:t>potrebni pospešitev in usmeritev prizadevanj na vseh ravneh na ključne sektorje: obravnavanje podnebnih sprememb, zaščito biotske raznovrstnosti, uvedbo krožnega gospodarstva in prehod na energijo iz obnovljivih virov</w:t>
      </w:r>
      <w:r>
        <w:rPr>
          <w:rFonts w:ascii="Times New Roman" w:hAnsi="Times New Roman"/>
          <w:noProof/>
          <w:sz w:val="24"/>
          <w:szCs w:val="24"/>
        </w:rPr>
        <w:t xml:space="preserve">. Naložbe v te sektorje so zlasti pomembne za zagotovitev trajnostne rasti v teh ranljivih, oddaljenih in izoliranih regijah EU. Zato bo Komisija posebno pozornost namenila vlogi najbolj oddaljenih regij v zelenem dogovoru, pri čemer bo upoštevala njihove ranljivosti in prednosti. Evropski sklad za regionalni razvoj je pomemben vir financiranja za naložbe v te sektorje.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Poleg tega si je treba prizadevati za nadaljnji razvoj modrega gospodarstva in izboljšanje povezljivosti v najbolj oddaljenih regijah. Naložbe v znanja in spretnosti ostajajo ključni dejavnik, ki podpira ustvarjanje delovnih mest in podjetništvo v različnih sektorjih.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Zanesljivo partnerstvo in tesno sodelovanje med Evropsko unijo, najbolj oddaljenimi regijami in zadevnimi državami članicami ostaja ključno za razvoj potenciala teh oddaljenih regij in podporo njihovemu prehodu na zeleno gospodarstvo, v katerem so ljudje na prvem mestu. Čeprav se razmere med posameznimi najbolj oddaljenimi regijami zelo razlikujejo, je pot do odprave neenakosti med njimi in evropsko celino še dolga. </w:t>
      </w:r>
    </w:p>
    <w:p>
      <w:pPr>
        <w:spacing w:before="120" w:after="0" w:line="240" w:lineRule="auto"/>
        <w:jc w:val="both"/>
        <w:rPr>
          <w:rFonts w:ascii="Times New Roman" w:hAnsi="Times New Roman" w:cs="Times New Roman"/>
          <w:b/>
          <w:i/>
          <w:noProof/>
          <w:sz w:val="24"/>
          <w:szCs w:val="24"/>
        </w:rPr>
      </w:pPr>
      <w:r>
        <w:rPr>
          <w:rFonts w:ascii="Times New Roman" w:hAnsi="Times New Roman"/>
          <w:noProof/>
          <w:sz w:val="24"/>
          <w:szCs w:val="24"/>
        </w:rPr>
        <w:t xml:space="preserve">Nagovarjanje najbolj oddaljenih regij prispeva h graditvi vključujoče Evropske unije, </w:t>
      </w:r>
      <w:r>
        <w:rPr>
          <w:rFonts w:ascii="Times New Roman" w:hAnsi="Times New Roman"/>
          <w:b/>
          <w:noProof/>
          <w:sz w:val="24"/>
          <w:szCs w:val="24"/>
        </w:rPr>
        <w:t>ki nikogar ne prezre</w:t>
      </w:r>
      <w:r>
        <w:rPr>
          <w:rFonts w:ascii="Times New Roman" w:hAnsi="Times New Roman"/>
          <w:noProof/>
          <w:sz w:val="24"/>
          <w:szCs w:val="24"/>
        </w:rPr>
        <w:t xml:space="preserve">. Po drugi strani pa lahko najbolj oddaljene regije s svojimi edinstvenimi prednostmi znatno prispevajo k </w:t>
      </w:r>
      <w:r>
        <w:rPr>
          <w:rFonts w:ascii="Times New Roman" w:hAnsi="Times New Roman"/>
          <w:b/>
          <w:noProof/>
          <w:sz w:val="24"/>
          <w:szCs w:val="24"/>
        </w:rPr>
        <w:t>bolj zeleni, podnebno nevtralni in trajnostni Evropski uniji</w:t>
      </w:r>
      <w:r>
        <w:rPr>
          <w:rFonts w:ascii="Times New Roman" w:hAnsi="Times New Roman"/>
          <w:noProof/>
          <w:sz w:val="24"/>
          <w:szCs w:val="24"/>
        </w:rPr>
        <w:t xml:space="preserve">. </w:t>
      </w:r>
    </w:p>
    <w:sectPr>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454"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99222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623 final.</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Vse najbolj oddaljene regije so otoki ali otočja, razen Francoske Gvajane, ki leži v Latinski Ameriki.</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Sklepi Sveta za splošne zadeve iz aprila 2018. </w:t>
      </w:r>
    </w:p>
  </w:footnote>
  <w:footnote w:id="5">
    <w:p>
      <w:pPr>
        <w:pStyle w:val="FootnoteText"/>
        <w:rPr>
          <w:rFonts w:ascii="Times New Roman" w:hAnsi="Times New Roman" w:cs="Times New Roman"/>
          <w:sz w:val="2"/>
          <w:szCs w:val="2"/>
        </w:rPr>
      </w:pPr>
      <w:r>
        <w:rPr>
          <w:rStyle w:val="FootnoteReference"/>
          <w:rFonts w:ascii="Times New Roman" w:hAnsi="Times New Roman" w:cs="Times New Roman"/>
        </w:rPr>
        <w:footnoteRef/>
      </w:r>
      <w:r>
        <w:rPr>
          <w:rFonts w:ascii="Times New Roman" w:hAnsi="Times New Roman"/>
        </w:rPr>
        <w:t xml:space="preserve"> V poročilu so zajeti ukrepi od sprejetja Sporočila.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 Prilogi so predstavljeni ukrepi, ki so jih sprejele posamezne najbolj oddaljene regije in zadevne države članice.</w:t>
      </w:r>
    </w:p>
  </w:footnote>
  <w:footnote w:id="7">
    <w:p>
      <w:pPr>
        <w:pStyle w:val="FootnoteText"/>
      </w:pPr>
      <w:r>
        <w:rPr>
          <w:rStyle w:val="FootnoteReference"/>
          <w:rFonts w:ascii="Times New Roman" w:hAnsi="Times New Roman" w:cs="Times New Roman"/>
        </w:rPr>
        <w:footnoteRef/>
      </w:r>
      <w:r>
        <w:rPr>
          <w:rFonts w:ascii="Times New Roman" w:hAnsi="Times New Roman"/>
        </w:rPr>
        <w:t xml:space="preserve"> Sporočilo Komisije z naslovom Evropski zeleni dogovor (COM(2019) 640 final) z dne 11. decembra 2019. </w:t>
      </w:r>
    </w:p>
  </w:footnote>
  <w:footnote w:id="8">
    <w:p>
      <w:pPr>
        <w:pStyle w:val="FootnoteText"/>
        <w:jc w:val="both"/>
        <w:rPr>
          <w:rFonts w:ascii="Times New Roman" w:hAnsi="Times New Roman" w:cs="Times New Roman"/>
          <w:bCs/>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V Sklepu Sveta (EU) 2020/13 o spremembi pogajalskih smernic za pogajanja o sporazumih o gospodarskem partnerstvu z afriškimi, karibskimi in pacifiškimi državami in regijami je navedeno, da ti sporazumi</w:t>
      </w:r>
      <w:r>
        <w:rPr>
          <w:rFonts w:ascii="Times New Roman" w:hAnsi="Times New Roman"/>
          <w:bCs/>
          <w:i/>
        </w:rPr>
        <w:t xml:space="preserve"> </w:t>
      </w:r>
      <w:r>
        <w:rPr>
          <w:rFonts w:ascii="Times New Roman" w:hAnsi="Times New Roman"/>
          <w:bCs/>
        </w:rPr>
        <w:t>„določajo [...] posebne ukrepe v korist proizvodom iz teh regij, katerih [...] cilj je njihova vključitev v trgovino znotraj regije“.</w:t>
      </w:r>
      <w:r>
        <w:rPr>
          <w:rFonts w:ascii="Times New Roman" w:hAnsi="Times New Roman"/>
          <w:iCs/>
        </w:rPr>
        <w:t xml:space="preserve"> </w:t>
      </w:r>
    </w:p>
  </w:footnote>
  <w:footnote w:id="9">
    <w:p>
      <w:pPr>
        <w:pStyle w:val="FootnoteText"/>
      </w:pPr>
      <w:r>
        <w:rPr>
          <w:rStyle w:val="FootnoteReference"/>
        </w:rPr>
        <w:footnoteRef/>
      </w:r>
      <w:r>
        <w:t xml:space="preserve"> </w:t>
      </w:r>
      <w:r>
        <w:rPr>
          <w:rFonts w:ascii="Times New Roman" w:hAnsi="Times New Roman"/>
        </w:rPr>
        <w:t>L`Instrument Financier pour l`Environment (finančni instrument za okolje)</w:t>
      </w:r>
      <w:r>
        <w:t>.</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Forum najbolj oddaljenih regij za pomorske zadeve in ribištvo v letih 2018 in 2019.</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https://cohesiondata.ec.europa.eu/2014-2020/2014-2020-RUPs-OR-EU-planned-investment/8gwq-ke5u</w:t>
        </w:r>
      </w:hyperlink>
      <w:r>
        <w:t>.</w:t>
      </w:r>
    </w:p>
  </w:footnote>
  <w:footnote w:id="12">
    <w:p>
      <w:pPr>
        <w:pStyle w:val="FootnoteText"/>
        <w:jc w:val="both"/>
      </w:pPr>
      <w:r>
        <w:rPr>
          <w:rStyle w:val="FootnoteReference"/>
          <w:rFonts w:ascii="Times New Roman" w:hAnsi="Times New Roman" w:cs="Times New Roman"/>
        </w:rPr>
        <w:footnoteRef/>
      </w:r>
      <w:r>
        <w:rPr>
          <w:rFonts w:ascii="Times New Roman" w:hAnsi="Times New Roman"/>
        </w:rPr>
        <w:t xml:space="preserve"> Prikaz za regije in mesta: </w:t>
      </w:r>
      <w:hyperlink r:id="rId2" w:anchor="?vis=outermost.economy&amp;lang=en" w:history="1">
        <w:r>
          <w:rPr>
            <w:rStyle w:val="Hyperlink"/>
            <w:rFonts w:ascii="Times New Roman" w:hAnsi="Times New Roman"/>
          </w:rPr>
          <w:t>https://ec.europa.eu/eurostat/cache/RCI/#?vis=outermost.economy&amp;lang=en</w:t>
        </w:r>
      </w:hyperlink>
      <w:r>
        <w:t>.</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Sklepi Sveta o oceanih in morjih z dne 19. novembra 2019.</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Program LEADER: Liaison entre actions de développement de l'économie rurale. </w:t>
      </w:r>
    </w:p>
  </w:footnote>
  <w:footnote w:id="15">
    <w:p>
      <w:pPr>
        <w:pStyle w:val="FootnoteText"/>
      </w:pPr>
      <w:r>
        <w:rPr>
          <w:rStyle w:val="FootnoteReference"/>
          <w:rFonts w:ascii="Times New Roman" w:hAnsi="Times New Roman" w:cs="Times New Roman"/>
        </w:rPr>
        <w:footnoteRef/>
      </w:r>
      <w:r>
        <w:rPr>
          <w:rFonts w:ascii="Times New Roman" w:hAnsi="Times New Roman"/>
        </w:rPr>
        <w:t xml:space="preserve"> Evropski sklad za regionalni razvoj je v obdobju 2014–2020 biotski raznovrstnosti v najbolj oddaljenih regijah dodelil več kot 54 milijonov EUR.</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Trajectoire outre-mer 5.0.</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Skupni znesek načrtovane podpore za posledice podnebnih sprememb v najbolj oddaljenih regijah iz Evropskega sklada za regionalni razvoj za obdobje 2014–2020 znaša približno 1,1 milijarde EUR. </w:t>
      </w:r>
    </w:p>
  </w:footnote>
  <w:footnote w:id="18">
    <w:p>
      <w:pPr>
        <w:pStyle w:val="FootnoteText"/>
      </w:pPr>
      <w:r>
        <w:rPr>
          <w:rStyle w:val="FootnoteReference"/>
          <w:rFonts w:ascii="Times New Roman" w:hAnsi="Times New Roman" w:cs="Times New Roman"/>
        </w:rPr>
        <w:footnoteRef/>
      </w:r>
      <w:r>
        <w:rPr>
          <w:rFonts w:ascii="Times New Roman" w:hAnsi="Times New Roman"/>
        </w:rPr>
        <w:t xml:space="preserve"> Predplačilo predvidene pomoči iz Solidarnostnega sklada Evropske unije je bilo izplačano decembra 2019.</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Direktiva (EU) 2018/2001 Evropskega parlamenta in Sveta z dne 11. decembra 2018 o spodbujanju uporabe energije iz obnovljivih virov (UL L 328, 21.12.2018, str. 82).</w:t>
      </w:r>
    </w:p>
  </w:footnote>
  <w:footnote w:id="20">
    <w:p>
      <w:pPr>
        <w:pStyle w:val="FootnoteText"/>
      </w:pPr>
      <w:r>
        <w:rPr>
          <w:rStyle w:val="FootnoteReference"/>
          <w:rFonts w:ascii="Times New Roman" w:hAnsi="Times New Roman" w:cs="Times New Roman"/>
        </w:rPr>
        <w:footnoteRef/>
      </w:r>
      <w:r>
        <w:rPr>
          <w:rFonts w:ascii="Times New Roman" w:hAnsi="Times New Roman"/>
        </w:rPr>
        <w:t xml:space="preserve"> https://www.nesoi.eu/</w:t>
      </w:r>
      <w:r>
        <w:t>.</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Vzpostavitev strategij za pametno specializacijo, da se podpre gospodarski prehod regij in držav članic, je temeljni pogoj za prejemanje sredstev iz evropskih strukturnih in investicijskih skladov v obdobju 2014–2020. </w:t>
      </w:r>
    </w:p>
  </w:footnote>
  <w:footnote w:id="22">
    <w:p>
      <w:pPr>
        <w:pStyle w:val="FootnoteText"/>
        <w:jc w:val="both"/>
      </w:pPr>
      <w:r>
        <w:rPr>
          <w:rStyle w:val="FootnoteReference"/>
          <w:rFonts w:ascii="Times New Roman" w:hAnsi="Times New Roman" w:cs="Times New Roman"/>
        </w:rPr>
        <w:footnoteRef/>
      </w:r>
      <w:r>
        <w:rPr>
          <w:rStyle w:val="FootnoteReference"/>
          <w:rFonts w:ascii="Times New Roman" w:hAnsi="Times New Roman"/>
          <w:vertAlign w:val="baseline"/>
        </w:rPr>
        <w:t xml:space="preserve"> </w:t>
      </w:r>
      <w:r>
        <w:rPr>
          <w:rFonts w:ascii="Times New Roman" w:hAnsi="Times New Roman"/>
        </w:rPr>
        <w:t xml:space="preserve">Evropski sklad za regionalni razvoj, Evropski socialni sklad in Evropski kmetijski sklad za razvoj podeželja so podpori socialnemu vključevanju, izobraževanju, poklicnemu usposabljanju in zaposlovanju v najbolj oddaljenih regijah v obdobju 2014–2020 skupaj dodelili več kot 3 milijarde EUR. </w:t>
      </w:r>
      <w:r>
        <w:rPr>
          <w:rFonts w:ascii="Times New Roman" w:hAnsi="Times New Roman"/>
        </w:rPr>
        <w:tab/>
      </w:r>
      <w:r>
        <w:rPr>
          <w:rFonts w:ascii="Times New Roman" w:hAnsi="Times New Roman"/>
        </w:rPr>
        <w:br/>
      </w:r>
      <w:hyperlink r:id="rId3" w:history="1">
        <w:r>
          <w:rPr>
            <w:rFonts w:ascii="Times New Roman" w:hAnsi="Times New Roman"/>
          </w:rPr>
          <w:t>https://cohesiondata.ec.europa.eu/2014-2020/2014-2020-RUPs-OR-EU-planned-investment/8gwq-ke5u</w:t>
        </w:r>
      </w:hyperlink>
      <w:r>
        <w:t>.</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 ustanovitvijo izjemnih subvencij za potne stroške za prebivalce, ki potujejo iz več kot 8 000 km oddaljenih krajev.</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„Loi relative à la liberté de choisir son avenir professionnel“, 5. september 2018.</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Evropski sklad za regionalni razvoj in Evropski kmetijski sklad za razvoj podeželja sta v obdobju 2014–2020 sofinancirala projekte, ki podpirajo konkurenčnost malih in srednjih podjetij v najbolj oddaljenih regijah, v vrednosti 1,5 milijarde EUR.</w:t>
      </w:r>
    </w:p>
    <w:p>
      <w:pPr>
        <w:pStyle w:val="FootnoteText"/>
        <w:rPr>
          <w:rFonts w:ascii="Times New Roman" w:hAnsi="Times New Roman" w:cs="Times New Roman"/>
        </w:rPr>
      </w:pPr>
      <w:r>
        <w:rPr>
          <w:rFonts w:ascii="Times New Roman" w:hAnsi="Times New Roman"/>
        </w:rPr>
        <w:t xml:space="preserve"> </w:t>
      </w:r>
      <w:hyperlink r:id="rId4" w:history="1">
        <w:r>
          <w:rPr>
            <w:rStyle w:val="Hyperlink"/>
            <w:rFonts w:ascii="Times New Roman" w:hAnsi="Times New Roman"/>
          </w:rPr>
          <w:t>https://cohesiondata.ec.europa.eu/2014-2020/2014-2020-RUPs-OR-EU-planned-investment/8gwq-ke5u</w:t>
        </w:r>
      </w:hyperlink>
      <w:r>
        <w:t>.</w:t>
      </w:r>
    </w:p>
  </w:footnote>
  <w:footnote w:id="26">
    <w:p>
      <w:pPr>
        <w:pStyle w:val="FootnoteText"/>
      </w:pPr>
      <w:r>
        <w:rPr>
          <w:rStyle w:val="FootnoteReference"/>
          <w:rFonts w:ascii="Times New Roman" w:hAnsi="Times New Roman" w:cs="Times New Roman"/>
        </w:rPr>
        <w:footnoteRef/>
      </w:r>
      <w:r>
        <w:rPr>
          <w:rFonts w:ascii="Times New Roman" w:hAnsi="Times New Roman"/>
        </w:rPr>
        <w:t xml:space="preserve"> https://ec.europa.eu/regional_policy/sources/policy/themes/outermost-regions/pdf/rup_2019/invest_platform_feasibillity_study_en.pdf</w:t>
      </w:r>
      <w:r>
        <w:t>.</w:t>
      </w:r>
    </w:p>
  </w:footnote>
  <w:footnote w:id="27">
    <w:p>
      <w:pPr>
        <w:pStyle w:val="FootnoteText"/>
      </w:pPr>
      <w:r>
        <w:rPr>
          <w:rStyle w:val="FootnoteReference"/>
          <w:rFonts w:ascii="Times New Roman" w:hAnsi="Times New Roman" w:cs="Times New Roman"/>
        </w:rPr>
        <w:footnoteRef/>
      </w:r>
      <w:r>
        <w:rPr>
          <w:rFonts w:ascii="Times New Roman" w:hAnsi="Times New Roman"/>
        </w:rPr>
        <w:t xml:space="preserve"> Del V Priloge k Predlogu uredbe Evropskega parlamenta in Sveta o vzpostavitvi instrumenta za povezovanje Evrope (COM(2018) 438 final).</w:t>
      </w:r>
      <w:r>
        <w:t xml:space="preserve"> </w:t>
      </w:r>
    </w:p>
  </w:footnote>
  <w:footnote w:id="28">
    <w:p>
      <w:pPr>
        <w:pStyle w:val="FootnoteText"/>
        <w:rPr>
          <w:rFonts w:ascii="Times New Roman" w:hAnsi="Times New Roman" w:cs="Times New Roman"/>
        </w:rPr>
      </w:pPr>
      <w:r>
        <w:rPr>
          <w:rStyle w:val="FootnoteReference"/>
        </w:rPr>
        <w:footnoteRef/>
      </w:r>
      <w:r>
        <w:t> </w:t>
      </w:r>
      <w:r>
        <w:rPr>
          <w:rFonts w:ascii="Times New Roman" w:hAnsi="Times New Roman"/>
        </w:rPr>
        <w:t>Trialog o uredbi o vzpostavitvi instrumenta za povezovanje Evrope, ki je potekal 7. marca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BB7"/>
    <w:multiLevelType w:val="hybridMultilevel"/>
    <w:tmpl w:val="FB26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679AF"/>
    <w:multiLevelType w:val="hybridMultilevel"/>
    <w:tmpl w:val="7DC0C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A655B"/>
    <w:multiLevelType w:val="hybridMultilevel"/>
    <w:tmpl w:val="53A69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6F0C2A"/>
    <w:multiLevelType w:val="hybridMultilevel"/>
    <w:tmpl w:val="0D5E4BC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3B5B550E"/>
    <w:multiLevelType w:val="hybridMultilevel"/>
    <w:tmpl w:val="880465A8"/>
    <w:lvl w:ilvl="0" w:tplc="4984AC48">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40BA6F81"/>
    <w:multiLevelType w:val="hybridMultilevel"/>
    <w:tmpl w:val="8A4622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3010B3A"/>
    <w:multiLevelType w:val="hybridMultilevel"/>
    <w:tmpl w:val="ABCC5EB4"/>
    <w:lvl w:ilvl="0" w:tplc="4984AC48">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5332603F"/>
    <w:multiLevelType w:val="hybridMultilevel"/>
    <w:tmpl w:val="0F1C10CC"/>
    <w:lvl w:ilvl="0" w:tplc="F2007D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16413"/>
    <w:multiLevelType w:val="hybridMultilevel"/>
    <w:tmpl w:val="E8B4FB82"/>
    <w:lvl w:ilvl="0" w:tplc="4984AC48">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584053F9"/>
    <w:multiLevelType w:val="hybridMultilevel"/>
    <w:tmpl w:val="7FE6F8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88D51C4"/>
    <w:multiLevelType w:val="hybridMultilevel"/>
    <w:tmpl w:val="59E2B5E2"/>
    <w:lvl w:ilvl="0" w:tplc="D31449FA">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310ED4"/>
    <w:multiLevelType w:val="hybridMultilevel"/>
    <w:tmpl w:val="D49872EA"/>
    <w:lvl w:ilvl="0" w:tplc="AF4C7892">
      <w:start w:val="1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0F02C54"/>
    <w:multiLevelType w:val="hybridMultilevel"/>
    <w:tmpl w:val="86584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C4E3D09"/>
    <w:multiLevelType w:val="multilevel"/>
    <w:tmpl w:val="75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F44D7D"/>
    <w:multiLevelType w:val="hybridMultilevel"/>
    <w:tmpl w:val="14B27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75008A7"/>
    <w:multiLevelType w:val="hybridMultilevel"/>
    <w:tmpl w:val="E2E4E0C0"/>
    <w:lvl w:ilvl="0" w:tplc="E12E468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2"/>
  </w:num>
  <w:num w:numId="5">
    <w:abstractNumId w:val="8"/>
  </w:num>
  <w:num w:numId="6">
    <w:abstractNumId w:val="4"/>
  </w:num>
  <w:num w:numId="7">
    <w:abstractNumId w:val="6"/>
  </w:num>
  <w:num w:numId="8">
    <w:abstractNumId w:val="10"/>
  </w:num>
  <w:num w:numId="9">
    <w:abstractNumId w:val="13"/>
  </w:num>
  <w:num w:numId="10">
    <w:abstractNumId w:val="9"/>
  </w:num>
  <w:num w:numId="11">
    <w:abstractNumId w:val="7"/>
  </w:num>
  <w:num w:numId="12">
    <w:abstractNumId w:val="3"/>
  </w:num>
  <w:num w:numId="13">
    <w:abstractNumId w:val="15"/>
  </w:num>
  <w:num w:numId="14">
    <w:abstractNumId w:val="14"/>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63D30E-3FDE-43D2-A86A-D09FC6255F8D"/>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uselj, "/>
    <w:docVar w:name="LW_EMISSION_SUFFIX" w:val=" "/>
    <w:docVar w:name="LW_ID_DOCTYPE_NONLW" w:val="CP-00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VROPSKEMU PARLAMENTU, SVETU, EVROPSKEMU EKONOMSKO-SOCIALNEMU ODBORU, ODBORU REGIJ IN EVROPSKI INVESTICIJSKI BANKI_x000d__x000d__x000b__x000b_o izvajanju sporo\u269?ila Komisije z naslovom Trdnej\u353?e in prenovljeno strate\u353?ko partnerstvo z najbolj oddaljenimi regijami EU_x000d__x000d__x000b__x000d__x000d__x000b__x000d__x000d__x000b__x000d__x000d__x000b__x000d__x000d__x000d__x000d__x000d__x000b__x000d__x000d__x000d__x000d__x000d__x000b__x000d__x000d__x000d__x000d__x000d__x000d__x000d__x000d__x000d__x000d__x000d__x000d__x000d__x000d__x000d__x000b_"/>
    <w:docVar w:name="LW_TYPE.DOC.CP" w:val="PORO\u268?ILO KOMISIJE"/>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3"/>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3"/>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1309">
      <w:bodyDiv w:val="1"/>
      <w:marLeft w:val="0"/>
      <w:marRight w:val="0"/>
      <w:marTop w:val="0"/>
      <w:marBottom w:val="0"/>
      <w:divBdr>
        <w:top w:val="none" w:sz="0" w:space="0" w:color="auto"/>
        <w:left w:val="none" w:sz="0" w:space="0" w:color="auto"/>
        <w:bottom w:val="none" w:sz="0" w:space="0" w:color="auto"/>
        <w:right w:val="none" w:sz="0" w:space="0" w:color="auto"/>
      </w:divBdr>
    </w:div>
    <w:div w:id="159782794">
      <w:bodyDiv w:val="1"/>
      <w:marLeft w:val="0"/>
      <w:marRight w:val="0"/>
      <w:marTop w:val="0"/>
      <w:marBottom w:val="0"/>
      <w:divBdr>
        <w:top w:val="none" w:sz="0" w:space="0" w:color="auto"/>
        <w:left w:val="none" w:sz="0" w:space="0" w:color="auto"/>
        <w:bottom w:val="none" w:sz="0" w:space="0" w:color="auto"/>
        <w:right w:val="none" w:sz="0" w:space="0" w:color="auto"/>
      </w:divBdr>
    </w:div>
    <w:div w:id="220866270">
      <w:bodyDiv w:val="1"/>
      <w:marLeft w:val="0"/>
      <w:marRight w:val="0"/>
      <w:marTop w:val="0"/>
      <w:marBottom w:val="0"/>
      <w:divBdr>
        <w:top w:val="none" w:sz="0" w:space="0" w:color="auto"/>
        <w:left w:val="none" w:sz="0" w:space="0" w:color="auto"/>
        <w:bottom w:val="none" w:sz="0" w:space="0" w:color="auto"/>
        <w:right w:val="none" w:sz="0" w:space="0" w:color="auto"/>
      </w:divBdr>
    </w:div>
    <w:div w:id="223106420">
      <w:bodyDiv w:val="1"/>
      <w:marLeft w:val="0"/>
      <w:marRight w:val="0"/>
      <w:marTop w:val="0"/>
      <w:marBottom w:val="0"/>
      <w:divBdr>
        <w:top w:val="none" w:sz="0" w:space="0" w:color="auto"/>
        <w:left w:val="none" w:sz="0" w:space="0" w:color="auto"/>
        <w:bottom w:val="none" w:sz="0" w:space="0" w:color="auto"/>
        <w:right w:val="none" w:sz="0" w:space="0" w:color="auto"/>
      </w:divBdr>
    </w:div>
    <w:div w:id="354230640">
      <w:bodyDiv w:val="1"/>
      <w:marLeft w:val="0"/>
      <w:marRight w:val="0"/>
      <w:marTop w:val="0"/>
      <w:marBottom w:val="0"/>
      <w:divBdr>
        <w:top w:val="none" w:sz="0" w:space="0" w:color="auto"/>
        <w:left w:val="none" w:sz="0" w:space="0" w:color="auto"/>
        <w:bottom w:val="none" w:sz="0" w:space="0" w:color="auto"/>
        <w:right w:val="none" w:sz="0" w:space="0" w:color="auto"/>
      </w:divBdr>
    </w:div>
    <w:div w:id="362368882">
      <w:bodyDiv w:val="1"/>
      <w:marLeft w:val="0"/>
      <w:marRight w:val="0"/>
      <w:marTop w:val="0"/>
      <w:marBottom w:val="0"/>
      <w:divBdr>
        <w:top w:val="none" w:sz="0" w:space="0" w:color="auto"/>
        <w:left w:val="none" w:sz="0" w:space="0" w:color="auto"/>
        <w:bottom w:val="none" w:sz="0" w:space="0" w:color="auto"/>
        <w:right w:val="none" w:sz="0" w:space="0" w:color="auto"/>
      </w:divBdr>
    </w:div>
    <w:div w:id="368457504">
      <w:bodyDiv w:val="1"/>
      <w:marLeft w:val="0"/>
      <w:marRight w:val="0"/>
      <w:marTop w:val="0"/>
      <w:marBottom w:val="0"/>
      <w:divBdr>
        <w:top w:val="none" w:sz="0" w:space="0" w:color="auto"/>
        <w:left w:val="none" w:sz="0" w:space="0" w:color="auto"/>
        <w:bottom w:val="none" w:sz="0" w:space="0" w:color="auto"/>
        <w:right w:val="none" w:sz="0" w:space="0" w:color="auto"/>
      </w:divBdr>
    </w:div>
    <w:div w:id="468329940">
      <w:bodyDiv w:val="1"/>
      <w:marLeft w:val="0"/>
      <w:marRight w:val="0"/>
      <w:marTop w:val="0"/>
      <w:marBottom w:val="0"/>
      <w:divBdr>
        <w:top w:val="none" w:sz="0" w:space="0" w:color="auto"/>
        <w:left w:val="none" w:sz="0" w:space="0" w:color="auto"/>
        <w:bottom w:val="none" w:sz="0" w:space="0" w:color="auto"/>
        <w:right w:val="none" w:sz="0" w:space="0" w:color="auto"/>
      </w:divBdr>
    </w:div>
    <w:div w:id="580287751">
      <w:bodyDiv w:val="1"/>
      <w:marLeft w:val="0"/>
      <w:marRight w:val="0"/>
      <w:marTop w:val="0"/>
      <w:marBottom w:val="0"/>
      <w:divBdr>
        <w:top w:val="none" w:sz="0" w:space="0" w:color="auto"/>
        <w:left w:val="none" w:sz="0" w:space="0" w:color="auto"/>
        <w:bottom w:val="none" w:sz="0" w:space="0" w:color="auto"/>
        <w:right w:val="none" w:sz="0" w:space="0" w:color="auto"/>
      </w:divBdr>
    </w:div>
    <w:div w:id="681518760">
      <w:bodyDiv w:val="1"/>
      <w:marLeft w:val="0"/>
      <w:marRight w:val="0"/>
      <w:marTop w:val="0"/>
      <w:marBottom w:val="0"/>
      <w:divBdr>
        <w:top w:val="none" w:sz="0" w:space="0" w:color="auto"/>
        <w:left w:val="none" w:sz="0" w:space="0" w:color="auto"/>
        <w:bottom w:val="none" w:sz="0" w:space="0" w:color="auto"/>
        <w:right w:val="none" w:sz="0" w:space="0" w:color="auto"/>
      </w:divBdr>
    </w:div>
    <w:div w:id="714936570">
      <w:bodyDiv w:val="1"/>
      <w:marLeft w:val="0"/>
      <w:marRight w:val="0"/>
      <w:marTop w:val="0"/>
      <w:marBottom w:val="0"/>
      <w:divBdr>
        <w:top w:val="none" w:sz="0" w:space="0" w:color="auto"/>
        <w:left w:val="none" w:sz="0" w:space="0" w:color="auto"/>
        <w:bottom w:val="none" w:sz="0" w:space="0" w:color="auto"/>
        <w:right w:val="none" w:sz="0" w:space="0" w:color="auto"/>
      </w:divBdr>
    </w:div>
    <w:div w:id="740445267">
      <w:bodyDiv w:val="1"/>
      <w:marLeft w:val="0"/>
      <w:marRight w:val="0"/>
      <w:marTop w:val="0"/>
      <w:marBottom w:val="0"/>
      <w:divBdr>
        <w:top w:val="none" w:sz="0" w:space="0" w:color="auto"/>
        <w:left w:val="none" w:sz="0" w:space="0" w:color="auto"/>
        <w:bottom w:val="none" w:sz="0" w:space="0" w:color="auto"/>
        <w:right w:val="none" w:sz="0" w:space="0" w:color="auto"/>
      </w:divBdr>
      <w:divsChild>
        <w:div w:id="861894599">
          <w:marLeft w:val="0"/>
          <w:marRight w:val="0"/>
          <w:marTop w:val="0"/>
          <w:marBottom w:val="0"/>
          <w:divBdr>
            <w:top w:val="none" w:sz="0" w:space="0" w:color="auto"/>
            <w:left w:val="none" w:sz="0" w:space="0" w:color="auto"/>
            <w:bottom w:val="none" w:sz="0" w:space="0" w:color="auto"/>
            <w:right w:val="none" w:sz="0" w:space="0" w:color="auto"/>
          </w:divBdr>
          <w:divsChild>
            <w:div w:id="1987927631">
              <w:marLeft w:val="0"/>
              <w:marRight w:val="0"/>
              <w:marTop w:val="0"/>
              <w:marBottom w:val="0"/>
              <w:divBdr>
                <w:top w:val="none" w:sz="0" w:space="0" w:color="auto"/>
                <w:left w:val="none" w:sz="0" w:space="0" w:color="auto"/>
                <w:bottom w:val="none" w:sz="0" w:space="0" w:color="auto"/>
                <w:right w:val="none" w:sz="0" w:space="0" w:color="auto"/>
              </w:divBdr>
            </w:div>
          </w:divsChild>
        </w:div>
        <w:div w:id="1823496728">
          <w:marLeft w:val="0"/>
          <w:marRight w:val="0"/>
          <w:marTop w:val="0"/>
          <w:marBottom w:val="0"/>
          <w:divBdr>
            <w:top w:val="none" w:sz="0" w:space="0" w:color="auto"/>
            <w:left w:val="none" w:sz="0" w:space="0" w:color="auto"/>
            <w:bottom w:val="none" w:sz="0" w:space="0" w:color="auto"/>
            <w:right w:val="none" w:sz="0" w:space="0" w:color="auto"/>
          </w:divBdr>
          <w:divsChild>
            <w:div w:id="12480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1368">
      <w:bodyDiv w:val="1"/>
      <w:marLeft w:val="0"/>
      <w:marRight w:val="0"/>
      <w:marTop w:val="0"/>
      <w:marBottom w:val="0"/>
      <w:divBdr>
        <w:top w:val="none" w:sz="0" w:space="0" w:color="auto"/>
        <w:left w:val="none" w:sz="0" w:space="0" w:color="auto"/>
        <w:bottom w:val="none" w:sz="0" w:space="0" w:color="auto"/>
        <w:right w:val="none" w:sz="0" w:space="0" w:color="auto"/>
      </w:divBdr>
    </w:div>
    <w:div w:id="800920901">
      <w:bodyDiv w:val="1"/>
      <w:marLeft w:val="0"/>
      <w:marRight w:val="0"/>
      <w:marTop w:val="0"/>
      <w:marBottom w:val="0"/>
      <w:divBdr>
        <w:top w:val="none" w:sz="0" w:space="0" w:color="auto"/>
        <w:left w:val="none" w:sz="0" w:space="0" w:color="auto"/>
        <w:bottom w:val="none" w:sz="0" w:space="0" w:color="auto"/>
        <w:right w:val="none" w:sz="0" w:space="0" w:color="auto"/>
      </w:divBdr>
    </w:div>
    <w:div w:id="908420042">
      <w:bodyDiv w:val="1"/>
      <w:marLeft w:val="0"/>
      <w:marRight w:val="0"/>
      <w:marTop w:val="0"/>
      <w:marBottom w:val="0"/>
      <w:divBdr>
        <w:top w:val="none" w:sz="0" w:space="0" w:color="auto"/>
        <w:left w:val="none" w:sz="0" w:space="0" w:color="auto"/>
        <w:bottom w:val="none" w:sz="0" w:space="0" w:color="auto"/>
        <w:right w:val="none" w:sz="0" w:space="0" w:color="auto"/>
      </w:divBdr>
    </w:div>
    <w:div w:id="1054081837">
      <w:bodyDiv w:val="1"/>
      <w:marLeft w:val="0"/>
      <w:marRight w:val="0"/>
      <w:marTop w:val="0"/>
      <w:marBottom w:val="0"/>
      <w:divBdr>
        <w:top w:val="none" w:sz="0" w:space="0" w:color="auto"/>
        <w:left w:val="none" w:sz="0" w:space="0" w:color="auto"/>
        <w:bottom w:val="none" w:sz="0" w:space="0" w:color="auto"/>
        <w:right w:val="none" w:sz="0" w:space="0" w:color="auto"/>
      </w:divBdr>
    </w:div>
    <w:div w:id="1081830802">
      <w:bodyDiv w:val="1"/>
      <w:marLeft w:val="0"/>
      <w:marRight w:val="0"/>
      <w:marTop w:val="0"/>
      <w:marBottom w:val="0"/>
      <w:divBdr>
        <w:top w:val="none" w:sz="0" w:space="0" w:color="auto"/>
        <w:left w:val="none" w:sz="0" w:space="0" w:color="auto"/>
        <w:bottom w:val="none" w:sz="0" w:space="0" w:color="auto"/>
        <w:right w:val="none" w:sz="0" w:space="0" w:color="auto"/>
      </w:divBdr>
    </w:div>
    <w:div w:id="1084842524">
      <w:bodyDiv w:val="1"/>
      <w:marLeft w:val="0"/>
      <w:marRight w:val="0"/>
      <w:marTop w:val="0"/>
      <w:marBottom w:val="0"/>
      <w:divBdr>
        <w:top w:val="none" w:sz="0" w:space="0" w:color="auto"/>
        <w:left w:val="none" w:sz="0" w:space="0" w:color="auto"/>
        <w:bottom w:val="none" w:sz="0" w:space="0" w:color="auto"/>
        <w:right w:val="none" w:sz="0" w:space="0" w:color="auto"/>
      </w:divBdr>
    </w:div>
    <w:div w:id="1128203455">
      <w:bodyDiv w:val="1"/>
      <w:marLeft w:val="0"/>
      <w:marRight w:val="0"/>
      <w:marTop w:val="0"/>
      <w:marBottom w:val="0"/>
      <w:divBdr>
        <w:top w:val="none" w:sz="0" w:space="0" w:color="auto"/>
        <w:left w:val="none" w:sz="0" w:space="0" w:color="auto"/>
        <w:bottom w:val="none" w:sz="0" w:space="0" w:color="auto"/>
        <w:right w:val="none" w:sz="0" w:space="0" w:color="auto"/>
      </w:divBdr>
    </w:div>
    <w:div w:id="1165171678">
      <w:bodyDiv w:val="1"/>
      <w:marLeft w:val="0"/>
      <w:marRight w:val="0"/>
      <w:marTop w:val="0"/>
      <w:marBottom w:val="0"/>
      <w:divBdr>
        <w:top w:val="none" w:sz="0" w:space="0" w:color="auto"/>
        <w:left w:val="none" w:sz="0" w:space="0" w:color="auto"/>
        <w:bottom w:val="none" w:sz="0" w:space="0" w:color="auto"/>
        <w:right w:val="none" w:sz="0" w:space="0" w:color="auto"/>
      </w:divBdr>
    </w:div>
    <w:div w:id="1279486867">
      <w:bodyDiv w:val="1"/>
      <w:marLeft w:val="0"/>
      <w:marRight w:val="0"/>
      <w:marTop w:val="0"/>
      <w:marBottom w:val="0"/>
      <w:divBdr>
        <w:top w:val="none" w:sz="0" w:space="0" w:color="auto"/>
        <w:left w:val="none" w:sz="0" w:space="0" w:color="auto"/>
        <w:bottom w:val="none" w:sz="0" w:space="0" w:color="auto"/>
        <w:right w:val="none" w:sz="0" w:space="0" w:color="auto"/>
      </w:divBdr>
    </w:div>
    <w:div w:id="1310749300">
      <w:bodyDiv w:val="1"/>
      <w:marLeft w:val="0"/>
      <w:marRight w:val="0"/>
      <w:marTop w:val="0"/>
      <w:marBottom w:val="0"/>
      <w:divBdr>
        <w:top w:val="none" w:sz="0" w:space="0" w:color="auto"/>
        <w:left w:val="none" w:sz="0" w:space="0" w:color="auto"/>
        <w:bottom w:val="none" w:sz="0" w:space="0" w:color="auto"/>
        <w:right w:val="none" w:sz="0" w:space="0" w:color="auto"/>
      </w:divBdr>
    </w:div>
    <w:div w:id="1320422999">
      <w:bodyDiv w:val="1"/>
      <w:marLeft w:val="0"/>
      <w:marRight w:val="0"/>
      <w:marTop w:val="0"/>
      <w:marBottom w:val="0"/>
      <w:divBdr>
        <w:top w:val="none" w:sz="0" w:space="0" w:color="auto"/>
        <w:left w:val="none" w:sz="0" w:space="0" w:color="auto"/>
        <w:bottom w:val="none" w:sz="0" w:space="0" w:color="auto"/>
        <w:right w:val="none" w:sz="0" w:space="0" w:color="auto"/>
      </w:divBdr>
    </w:div>
    <w:div w:id="1374698461">
      <w:bodyDiv w:val="1"/>
      <w:marLeft w:val="0"/>
      <w:marRight w:val="0"/>
      <w:marTop w:val="0"/>
      <w:marBottom w:val="0"/>
      <w:divBdr>
        <w:top w:val="none" w:sz="0" w:space="0" w:color="auto"/>
        <w:left w:val="none" w:sz="0" w:space="0" w:color="auto"/>
        <w:bottom w:val="none" w:sz="0" w:space="0" w:color="auto"/>
        <w:right w:val="none" w:sz="0" w:space="0" w:color="auto"/>
      </w:divBdr>
    </w:div>
    <w:div w:id="1390837413">
      <w:bodyDiv w:val="1"/>
      <w:marLeft w:val="0"/>
      <w:marRight w:val="0"/>
      <w:marTop w:val="0"/>
      <w:marBottom w:val="0"/>
      <w:divBdr>
        <w:top w:val="none" w:sz="0" w:space="0" w:color="auto"/>
        <w:left w:val="none" w:sz="0" w:space="0" w:color="auto"/>
        <w:bottom w:val="none" w:sz="0" w:space="0" w:color="auto"/>
        <w:right w:val="none" w:sz="0" w:space="0" w:color="auto"/>
      </w:divBdr>
    </w:div>
    <w:div w:id="1431966386">
      <w:bodyDiv w:val="1"/>
      <w:marLeft w:val="0"/>
      <w:marRight w:val="0"/>
      <w:marTop w:val="0"/>
      <w:marBottom w:val="0"/>
      <w:divBdr>
        <w:top w:val="none" w:sz="0" w:space="0" w:color="auto"/>
        <w:left w:val="none" w:sz="0" w:space="0" w:color="auto"/>
        <w:bottom w:val="none" w:sz="0" w:space="0" w:color="auto"/>
        <w:right w:val="none" w:sz="0" w:space="0" w:color="auto"/>
      </w:divBdr>
    </w:div>
    <w:div w:id="1442605019">
      <w:bodyDiv w:val="1"/>
      <w:marLeft w:val="0"/>
      <w:marRight w:val="0"/>
      <w:marTop w:val="0"/>
      <w:marBottom w:val="0"/>
      <w:divBdr>
        <w:top w:val="none" w:sz="0" w:space="0" w:color="auto"/>
        <w:left w:val="none" w:sz="0" w:space="0" w:color="auto"/>
        <w:bottom w:val="none" w:sz="0" w:space="0" w:color="auto"/>
        <w:right w:val="none" w:sz="0" w:space="0" w:color="auto"/>
      </w:divBdr>
    </w:div>
    <w:div w:id="1444501012">
      <w:bodyDiv w:val="1"/>
      <w:marLeft w:val="0"/>
      <w:marRight w:val="0"/>
      <w:marTop w:val="0"/>
      <w:marBottom w:val="0"/>
      <w:divBdr>
        <w:top w:val="none" w:sz="0" w:space="0" w:color="auto"/>
        <w:left w:val="none" w:sz="0" w:space="0" w:color="auto"/>
        <w:bottom w:val="none" w:sz="0" w:space="0" w:color="auto"/>
        <w:right w:val="none" w:sz="0" w:space="0" w:color="auto"/>
      </w:divBdr>
    </w:div>
    <w:div w:id="1457138745">
      <w:bodyDiv w:val="1"/>
      <w:marLeft w:val="0"/>
      <w:marRight w:val="0"/>
      <w:marTop w:val="0"/>
      <w:marBottom w:val="0"/>
      <w:divBdr>
        <w:top w:val="none" w:sz="0" w:space="0" w:color="auto"/>
        <w:left w:val="none" w:sz="0" w:space="0" w:color="auto"/>
        <w:bottom w:val="none" w:sz="0" w:space="0" w:color="auto"/>
        <w:right w:val="none" w:sz="0" w:space="0" w:color="auto"/>
      </w:divBdr>
    </w:div>
    <w:div w:id="1497841968">
      <w:bodyDiv w:val="1"/>
      <w:marLeft w:val="0"/>
      <w:marRight w:val="0"/>
      <w:marTop w:val="0"/>
      <w:marBottom w:val="0"/>
      <w:divBdr>
        <w:top w:val="none" w:sz="0" w:space="0" w:color="auto"/>
        <w:left w:val="none" w:sz="0" w:space="0" w:color="auto"/>
        <w:bottom w:val="none" w:sz="0" w:space="0" w:color="auto"/>
        <w:right w:val="none" w:sz="0" w:space="0" w:color="auto"/>
      </w:divBdr>
    </w:div>
    <w:div w:id="1518039952">
      <w:bodyDiv w:val="1"/>
      <w:marLeft w:val="0"/>
      <w:marRight w:val="0"/>
      <w:marTop w:val="0"/>
      <w:marBottom w:val="0"/>
      <w:divBdr>
        <w:top w:val="none" w:sz="0" w:space="0" w:color="auto"/>
        <w:left w:val="none" w:sz="0" w:space="0" w:color="auto"/>
        <w:bottom w:val="none" w:sz="0" w:space="0" w:color="auto"/>
        <w:right w:val="none" w:sz="0" w:space="0" w:color="auto"/>
      </w:divBdr>
    </w:div>
    <w:div w:id="1531146784">
      <w:bodyDiv w:val="1"/>
      <w:marLeft w:val="0"/>
      <w:marRight w:val="0"/>
      <w:marTop w:val="0"/>
      <w:marBottom w:val="0"/>
      <w:divBdr>
        <w:top w:val="none" w:sz="0" w:space="0" w:color="auto"/>
        <w:left w:val="none" w:sz="0" w:space="0" w:color="auto"/>
        <w:bottom w:val="none" w:sz="0" w:space="0" w:color="auto"/>
        <w:right w:val="none" w:sz="0" w:space="0" w:color="auto"/>
      </w:divBdr>
    </w:div>
    <w:div w:id="1554854998">
      <w:bodyDiv w:val="1"/>
      <w:marLeft w:val="0"/>
      <w:marRight w:val="0"/>
      <w:marTop w:val="0"/>
      <w:marBottom w:val="0"/>
      <w:divBdr>
        <w:top w:val="none" w:sz="0" w:space="0" w:color="auto"/>
        <w:left w:val="none" w:sz="0" w:space="0" w:color="auto"/>
        <w:bottom w:val="none" w:sz="0" w:space="0" w:color="auto"/>
        <w:right w:val="none" w:sz="0" w:space="0" w:color="auto"/>
      </w:divBdr>
    </w:div>
    <w:div w:id="1578008330">
      <w:bodyDiv w:val="1"/>
      <w:marLeft w:val="0"/>
      <w:marRight w:val="0"/>
      <w:marTop w:val="0"/>
      <w:marBottom w:val="0"/>
      <w:divBdr>
        <w:top w:val="none" w:sz="0" w:space="0" w:color="auto"/>
        <w:left w:val="none" w:sz="0" w:space="0" w:color="auto"/>
        <w:bottom w:val="none" w:sz="0" w:space="0" w:color="auto"/>
        <w:right w:val="none" w:sz="0" w:space="0" w:color="auto"/>
      </w:divBdr>
    </w:div>
    <w:div w:id="1620065592">
      <w:bodyDiv w:val="1"/>
      <w:marLeft w:val="0"/>
      <w:marRight w:val="0"/>
      <w:marTop w:val="0"/>
      <w:marBottom w:val="0"/>
      <w:divBdr>
        <w:top w:val="none" w:sz="0" w:space="0" w:color="auto"/>
        <w:left w:val="none" w:sz="0" w:space="0" w:color="auto"/>
        <w:bottom w:val="none" w:sz="0" w:space="0" w:color="auto"/>
        <w:right w:val="none" w:sz="0" w:space="0" w:color="auto"/>
      </w:divBdr>
    </w:div>
    <w:div w:id="1648975552">
      <w:bodyDiv w:val="1"/>
      <w:marLeft w:val="0"/>
      <w:marRight w:val="0"/>
      <w:marTop w:val="0"/>
      <w:marBottom w:val="0"/>
      <w:divBdr>
        <w:top w:val="none" w:sz="0" w:space="0" w:color="auto"/>
        <w:left w:val="none" w:sz="0" w:space="0" w:color="auto"/>
        <w:bottom w:val="none" w:sz="0" w:space="0" w:color="auto"/>
        <w:right w:val="none" w:sz="0" w:space="0" w:color="auto"/>
      </w:divBdr>
    </w:div>
    <w:div w:id="1862083073">
      <w:bodyDiv w:val="1"/>
      <w:marLeft w:val="0"/>
      <w:marRight w:val="0"/>
      <w:marTop w:val="0"/>
      <w:marBottom w:val="0"/>
      <w:divBdr>
        <w:top w:val="none" w:sz="0" w:space="0" w:color="auto"/>
        <w:left w:val="none" w:sz="0" w:space="0" w:color="auto"/>
        <w:bottom w:val="none" w:sz="0" w:space="0" w:color="auto"/>
        <w:right w:val="none" w:sz="0" w:space="0" w:color="auto"/>
      </w:divBdr>
    </w:div>
    <w:div w:id="1899899315">
      <w:bodyDiv w:val="1"/>
      <w:marLeft w:val="0"/>
      <w:marRight w:val="0"/>
      <w:marTop w:val="0"/>
      <w:marBottom w:val="0"/>
      <w:divBdr>
        <w:top w:val="none" w:sz="0" w:space="0" w:color="auto"/>
        <w:left w:val="none" w:sz="0" w:space="0" w:color="auto"/>
        <w:bottom w:val="none" w:sz="0" w:space="0" w:color="auto"/>
        <w:right w:val="none" w:sz="0" w:space="0" w:color="auto"/>
      </w:divBdr>
    </w:div>
    <w:div w:id="1948734117">
      <w:bodyDiv w:val="1"/>
      <w:marLeft w:val="0"/>
      <w:marRight w:val="0"/>
      <w:marTop w:val="0"/>
      <w:marBottom w:val="0"/>
      <w:divBdr>
        <w:top w:val="none" w:sz="0" w:space="0" w:color="auto"/>
        <w:left w:val="none" w:sz="0" w:space="0" w:color="auto"/>
        <w:bottom w:val="none" w:sz="0" w:space="0" w:color="auto"/>
        <w:right w:val="none" w:sz="0" w:space="0" w:color="auto"/>
      </w:divBdr>
    </w:div>
    <w:div w:id="2045515445">
      <w:bodyDiv w:val="1"/>
      <w:marLeft w:val="0"/>
      <w:marRight w:val="0"/>
      <w:marTop w:val="0"/>
      <w:marBottom w:val="0"/>
      <w:divBdr>
        <w:top w:val="none" w:sz="0" w:space="0" w:color="auto"/>
        <w:left w:val="none" w:sz="0" w:space="0" w:color="auto"/>
        <w:bottom w:val="none" w:sz="0" w:space="0" w:color="auto"/>
        <w:right w:val="none" w:sz="0" w:space="0" w:color="auto"/>
      </w:divBdr>
    </w:div>
    <w:div w:id="2067950306">
      <w:bodyDiv w:val="1"/>
      <w:marLeft w:val="0"/>
      <w:marRight w:val="0"/>
      <w:marTop w:val="0"/>
      <w:marBottom w:val="0"/>
      <w:divBdr>
        <w:top w:val="none" w:sz="0" w:space="0" w:color="auto"/>
        <w:left w:val="none" w:sz="0" w:space="0" w:color="auto"/>
        <w:bottom w:val="none" w:sz="0" w:space="0" w:color="auto"/>
        <w:right w:val="none" w:sz="0" w:space="0" w:color="auto"/>
      </w:divBdr>
    </w:div>
    <w:div w:id="2107535820">
      <w:bodyDiv w:val="1"/>
      <w:marLeft w:val="0"/>
      <w:marRight w:val="0"/>
      <w:marTop w:val="0"/>
      <w:marBottom w:val="0"/>
      <w:divBdr>
        <w:top w:val="none" w:sz="0" w:space="0" w:color="auto"/>
        <w:left w:val="none" w:sz="0" w:space="0" w:color="auto"/>
        <w:bottom w:val="none" w:sz="0" w:space="0" w:color="auto"/>
        <w:right w:val="none" w:sz="0" w:space="0" w:color="auto"/>
      </w:divBdr>
    </w:div>
    <w:div w:id="21145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home-affairs/e-library/multimedia/infographic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2014-2020/2014-2020-RUPs-OR-EU-planned-investment/8gwq-ke5u" TargetMode="External"/><Relationship Id="rId2" Type="http://schemas.openxmlformats.org/officeDocument/2006/relationships/hyperlink" Target="https://ec.europa.eu/eurostat/cache/RCI/" TargetMode="External"/><Relationship Id="rId1" Type="http://schemas.openxmlformats.org/officeDocument/2006/relationships/hyperlink" Target="https://cohesiondata.ec.europa.eu/2014-2020/2014-2020-RUPs-OR-EU-planned-investment/8gwq-ke5u" TargetMode="External"/><Relationship Id="rId4" Type="http://schemas.openxmlformats.org/officeDocument/2006/relationships/hyperlink" Target="https://cohesiondata.ec.europa.eu/2014-2020/2014-2020-RUPs-OR-EU-planned-investment/8gwq-ke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4F153D-251B-45F2-A39B-F91EB9A8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5361</Words>
  <Characters>33402</Characters>
  <Application>Microsoft Office Word</Application>
  <DocSecurity>0</DocSecurity>
  <Lines>491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2020-02-04T16:28:00Z</cp:lastPrinted>
  <dcterms:created xsi:type="dcterms:W3CDTF">2020-03-10T15:38:00Z</dcterms:created>
  <dcterms:modified xsi:type="dcterms:W3CDTF">2020-03-17T11:37:00Z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200267774</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CP-003</vt:lpwstr>
  </property>
  <property fmtid="{D5CDD505-2E9C-101B-9397-08002B2CF9AE}" pid="8" name="Last edited using">
    <vt:lpwstr>LW 7.0, Build 20190717</vt:lpwstr>
  </property>
  <property fmtid="{D5CDD505-2E9C-101B-9397-08002B2CF9AE}" pid="9" name="Created using">
    <vt:lpwstr>LW 7.0, Build 20190717</vt:lpwstr>
  </property>
</Properties>
</file>