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3E7B996C-1CC8-44FD-ADFC-814BC1790E3F" style="width:450.7pt;height:407.1pt">
            <v:imagedata r:id="rId9" o:title=""/>
          </v:shape>
        </w:pict>
      </w:r>
    </w:p>
    <w:bookmarkEnd w:id="0"/>
    <w:p>
      <w:pPr>
        <w:spacing w:after="120"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OCHeading"/>
        <w:spacing w:before="0" w:after="120" w:line="240" w:lineRule="auto"/>
        <w:rPr>
          <w:rFonts w:asciiTheme="minorHAnsi" w:eastAsiaTheme="minorHAnsi" w:hAnsiTheme="minorHAnsi" w:cstheme="minorBidi"/>
          <w:b w:val="0"/>
          <w:bCs w:val="0"/>
          <w:noProof/>
          <w:color w:val="auto"/>
          <w:sz w:val="22"/>
          <w:szCs w:val="22"/>
        </w:rPr>
      </w:pPr>
      <w:bookmarkStart w:id="1" w:name="_GoBack"/>
      <w:bookmarkEnd w:id="1"/>
    </w:p>
    <w:sdt>
      <w:sdtPr>
        <w:rPr>
          <w:rFonts w:asciiTheme="minorHAnsi" w:eastAsiaTheme="minorHAnsi" w:hAnsiTheme="minorHAnsi" w:cstheme="minorBidi"/>
          <w:b w:val="0"/>
          <w:bCs w:val="0"/>
          <w:noProof/>
          <w:color w:val="auto"/>
          <w:sz w:val="22"/>
          <w:szCs w:val="22"/>
          <w:lang w:eastAsia="en-US"/>
        </w:rPr>
        <w:id w:val="-743801306"/>
        <w:docPartObj>
          <w:docPartGallery w:val="Table of Contents"/>
          <w:docPartUnique/>
        </w:docPartObj>
      </w:sdtPr>
      <w:sdtContent>
        <w:p>
          <w:pPr>
            <w:pStyle w:val="TOCHeading"/>
            <w:spacing w:before="0" w:after="120" w:line="240" w:lineRule="auto"/>
            <w:rPr>
              <w:noProof/>
            </w:rPr>
          </w:pPr>
          <w:r>
            <w:rPr>
              <w:noProof/>
            </w:rPr>
            <w:t>Índice</w:t>
          </w:r>
        </w:p>
        <w:p>
          <w:pPr>
            <w:spacing w:after="120" w:line="240" w:lineRule="auto"/>
            <w:rPr>
              <w:noProof/>
            </w:rPr>
          </w:pPr>
        </w:p>
        <w:p>
          <w:pPr>
            <w:pStyle w:val="TOC1"/>
            <w:rPr>
              <w:rFonts w:eastAsiaTheme="minorEastAsia"/>
              <w:noProof/>
              <w:lang w:val="en-GB" w:eastAsia="en-GB"/>
            </w:rPr>
          </w:pPr>
          <w:r>
            <w:rPr>
              <w:noProof/>
            </w:rPr>
            <w:fldChar w:fldCharType="begin"/>
          </w:r>
          <w:r>
            <w:rPr>
              <w:noProof/>
            </w:rPr>
            <w:instrText xml:space="preserve"> TOC \o "1-3" \h \z \u </w:instrText>
          </w:r>
          <w:r>
            <w:rPr>
              <w:noProof/>
            </w:rPr>
            <w:fldChar w:fldCharType="separate"/>
          </w:r>
          <w:hyperlink w:anchor="_Toc34923097" w:history="1">
            <w:r>
              <w:rPr>
                <w:rStyle w:val="Hyperlink"/>
                <w:rFonts w:ascii="Times New Roman" w:hAnsi="Times New Roman" w:cs="Times New Roman"/>
                <w:b/>
                <w:noProof/>
              </w:rPr>
              <w:t>1.</w:t>
            </w:r>
            <w:r>
              <w:rPr>
                <w:rFonts w:eastAsiaTheme="minorEastAsia"/>
                <w:noProof/>
                <w:lang w:val="en-GB" w:eastAsia="en-GB"/>
              </w:rPr>
              <w:tab/>
            </w:r>
            <w:r>
              <w:rPr>
                <w:rStyle w:val="Hyperlink"/>
                <w:rFonts w:ascii="Times New Roman" w:hAnsi="Times New Roman"/>
                <w:b/>
                <w:noProof/>
              </w:rPr>
              <w:t>Francia</w:t>
            </w:r>
            <w:r>
              <w:rPr>
                <w:noProof/>
                <w:webHidden/>
              </w:rPr>
              <w:tab/>
            </w:r>
            <w:r>
              <w:rPr>
                <w:noProof/>
                <w:webHidden/>
              </w:rPr>
              <w:fldChar w:fldCharType="begin"/>
            </w:r>
            <w:r>
              <w:rPr>
                <w:noProof/>
                <w:webHidden/>
              </w:rPr>
              <w:instrText xml:space="preserve"> PAGEREF _Toc34923097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lang w:val="en-GB" w:eastAsia="en-GB"/>
            </w:rPr>
          </w:pPr>
          <w:hyperlink w:anchor="_Toc34923098" w:history="1">
            <w:r>
              <w:rPr>
                <w:rStyle w:val="Hyperlink"/>
                <w:rFonts w:ascii="Times New Roman" w:hAnsi="Times New Roman" w:cs="Times New Roman"/>
                <w:b/>
                <w:noProof/>
              </w:rPr>
              <w:t>2.</w:t>
            </w:r>
            <w:r>
              <w:rPr>
                <w:rFonts w:eastAsiaTheme="minorEastAsia"/>
                <w:noProof/>
                <w:lang w:val="en-GB" w:eastAsia="en-GB"/>
              </w:rPr>
              <w:tab/>
            </w:r>
            <w:r>
              <w:rPr>
                <w:rStyle w:val="Hyperlink"/>
                <w:rFonts w:ascii="Times New Roman" w:hAnsi="Times New Roman"/>
                <w:b/>
                <w:noProof/>
              </w:rPr>
              <w:t>Guadalupe</w:t>
            </w:r>
            <w:r>
              <w:rPr>
                <w:noProof/>
                <w:webHidden/>
              </w:rPr>
              <w:tab/>
            </w:r>
            <w:r>
              <w:rPr>
                <w:noProof/>
                <w:webHidden/>
              </w:rPr>
              <w:fldChar w:fldCharType="begin"/>
            </w:r>
            <w:r>
              <w:rPr>
                <w:noProof/>
                <w:webHidden/>
              </w:rPr>
              <w:instrText xml:space="preserve"> PAGEREF _Toc34923098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lang w:val="en-GB" w:eastAsia="en-GB"/>
            </w:rPr>
          </w:pPr>
          <w:hyperlink w:anchor="_Toc34923099" w:history="1">
            <w:r>
              <w:rPr>
                <w:rStyle w:val="Hyperlink"/>
                <w:rFonts w:ascii="Times New Roman" w:hAnsi="Times New Roman" w:cs="Times New Roman"/>
                <w:b/>
                <w:noProof/>
              </w:rPr>
              <w:t>3.</w:t>
            </w:r>
            <w:r>
              <w:rPr>
                <w:rFonts w:eastAsiaTheme="minorEastAsia"/>
                <w:noProof/>
                <w:lang w:val="en-GB" w:eastAsia="en-GB"/>
              </w:rPr>
              <w:tab/>
            </w:r>
            <w:r>
              <w:rPr>
                <w:rStyle w:val="Hyperlink"/>
                <w:rFonts w:ascii="Times New Roman" w:hAnsi="Times New Roman"/>
                <w:b/>
                <w:noProof/>
              </w:rPr>
              <w:t>Guayana Francesa</w:t>
            </w:r>
            <w:r>
              <w:rPr>
                <w:noProof/>
                <w:webHidden/>
              </w:rPr>
              <w:tab/>
            </w:r>
            <w:r>
              <w:rPr>
                <w:noProof/>
                <w:webHidden/>
              </w:rPr>
              <w:fldChar w:fldCharType="begin"/>
            </w:r>
            <w:r>
              <w:rPr>
                <w:noProof/>
                <w:webHidden/>
              </w:rPr>
              <w:instrText xml:space="preserve"> PAGEREF _Toc34923099 \h </w:instrText>
            </w:r>
            <w:r>
              <w:rPr>
                <w:noProof/>
                <w:webHidden/>
              </w:rPr>
            </w:r>
            <w:r>
              <w:rPr>
                <w:noProof/>
                <w:webHidden/>
              </w:rPr>
              <w:fldChar w:fldCharType="separate"/>
            </w:r>
            <w:r>
              <w:rPr>
                <w:noProof/>
                <w:webHidden/>
              </w:rPr>
              <w:t>5</w:t>
            </w:r>
            <w:r>
              <w:rPr>
                <w:noProof/>
                <w:webHidden/>
              </w:rPr>
              <w:fldChar w:fldCharType="end"/>
            </w:r>
          </w:hyperlink>
        </w:p>
        <w:p>
          <w:pPr>
            <w:pStyle w:val="TOC1"/>
            <w:rPr>
              <w:rFonts w:eastAsiaTheme="minorEastAsia"/>
              <w:noProof/>
              <w:lang w:val="en-GB" w:eastAsia="en-GB"/>
            </w:rPr>
          </w:pPr>
          <w:hyperlink w:anchor="_Toc34923100" w:history="1">
            <w:r>
              <w:rPr>
                <w:rStyle w:val="Hyperlink"/>
                <w:rFonts w:ascii="Times New Roman" w:hAnsi="Times New Roman" w:cs="Times New Roman"/>
                <w:b/>
                <w:noProof/>
              </w:rPr>
              <w:t>4.</w:t>
            </w:r>
            <w:r>
              <w:rPr>
                <w:rFonts w:eastAsiaTheme="minorEastAsia"/>
                <w:noProof/>
                <w:lang w:val="en-GB" w:eastAsia="en-GB"/>
              </w:rPr>
              <w:tab/>
            </w:r>
            <w:r>
              <w:rPr>
                <w:rStyle w:val="Hyperlink"/>
                <w:rFonts w:ascii="Times New Roman" w:hAnsi="Times New Roman"/>
                <w:b/>
                <w:noProof/>
              </w:rPr>
              <w:t>Martinica</w:t>
            </w:r>
            <w:r>
              <w:rPr>
                <w:noProof/>
                <w:webHidden/>
              </w:rPr>
              <w:tab/>
            </w:r>
            <w:r>
              <w:rPr>
                <w:noProof/>
                <w:webHidden/>
              </w:rPr>
              <w:fldChar w:fldCharType="begin"/>
            </w:r>
            <w:r>
              <w:rPr>
                <w:noProof/>
                <w:webHidden/>
              </w:rPr>
              <w:instrText xml:space="preserve"> PAGEREF _Toc34923100 \h </w:instrText>
            </w:r>
            <w:r>
              <w:rPr>
                <w:noProof/>
                <w:webHidden/>
              </w:rPr>
            </w:r>
            <w:r>
              <w:rPr>
                <w:noProof/>
                <w:webHidden/>
              </w:rPr>
              <w:fldChar w:fldCharType="separate"/>
            </w:r>
            <w:r>
              <w:rPr>
                <w:noProof/>
                <w:webHidden/>
              </w:rPr>
              <w:t>7</w:t>
            </w:r>
            <w:r>
              <w:rPr>
                <w:noProof/>
                <w:webHidden/>
              </w:rPr>
              <w:fldChar w:fldCharType="end"/>
            </w:r>
          </w:hyperlink>
        </w:p>
        <w:p>
          <w:pPr>
            <w:pStyle w:val="TOC1"/>
            <w:rPr>
              <w:rFonts w:eastAsiaTheme="minorEastAsia"/>
              <w:noProof/>
              <w:lang w:val="en-GB" w:eastAsia="en-GB"/>
            </w:rPr>
          </w:pPr>
          <w:hyperlink w:anchor="_Toc34923101" w:history="1">
            <w:r>
              <w:rPr>
                <w:rStyle w:val="Hyperlink"/>
                <w:rFonts w:ascii="Times New Roman" w:hAnsi="Times New Roman" w:cs="Times New Roman"/>
                <w:b/>
                <w:noProof/>
              </w:rPr>
              <w:t>5.</w:t>
            </w:r>
            <w:r>
              <w:rPr>
                <w:rFonts w:eastAsiaTheme="minorEastAsia"/>
                <w:noProof/>
                <w:lang w:val="en-GB" w:eastAsia="en-GB"/>
              </w:rPr>
              <w:tab/>
            </w:r>
            <w:r>
              <w:rPr>
                <w:rStyle w:val="Hyperlink"/>
                <w:rFonts w:ascii="Times New Roman" w:hAnsi="Times New Roman"/>
                <w:b/>
                <w:noProof/>
              </w:rPr>
              <w:t>La Reunión</w:t>
            </w:r>
            <w:r>
              <w:rPr>
                <w:noProof/>
                <w:webHidden/>
              </w:rPr>
              <w:tab/>
            </w:r>
            <w:r>
              <w:rPr>
                <w:noProof/>
                <w:webHidden/>
              </w:rPr>
              <w:fldChar w:fldCharType="begin"/>
            </w:r>
            <w:r>
              <w:rPr>
                <w:noProof/>
                <w:webHidden/>
              </w:rPr>
              <w:instrText xml:space="preserve"> PAGEREF _Toc34923101 \h </w:instrText>
            </w:r>
            <w:r>
              <w:rPr>
                <w:noProof/>
                <w:webHidden/>
              </w:rPr>
            </w:r>
            <w:r>
              <w:rPr>
                <w:noProof/>
                <w:webHidden/>
              </w:rPr>
              <w:fldChar w:fldCharType="separate"/>
            </w:r>
            <w:r>
              <w:rPr>
                <w:noProof/>
                <w:webHidden/>
              </w:rPr>
              <w:t>9</w:t>
            </w:r>
            <w:r>
              <w:rPr>
                <w:noProof/>
                <w:webHidden/>
              </w:rPr>
              <w:fldChar w:fldCharType="end"/>
            </w:r>
          </w:hyperlink>
        </w:p>
        <w:p>
          <w:pPr>
            <w:pStyle w:val="TOC1"/>
            <w:rPr>
              <w:rFonts w:eastAsiaTheme="minorEastAsia"/>
              <w:noProof/>
              <w:lang w:val="en-GB" w:eastAsia="en-GB"/>
            </w:rPr>
          </w:pPr>
          <w:hyperlink w:anchor="_Toc34923102" w:history="1">
            <w:r>
              <w:rPr>
                <w:rStyle w:val="Hyperlink"/>
                <w:rFonts w:ascii="Times New Roman" w:hAnsi="Times New Roman" w:cs="Times New Roman"/>
                <w:b/>
                <w:noProof/>
              </w:rPr>
              <w:t>6.</w:t>
            </w:r>
            <w:r>
              <w:rPr>
                <w:rFonts w:eastAsiaTheme="minorEastAsia"/>
                <w:noProof/>
                <w:lang w:val="en-GB" w:eastAsia="en-GB"/>
              </w:rPr>
              <w:tab/>
            </w:r>
            <w:r>
              <w:rPr>
                <w:rStyle w:val="Hyperlink"/>
                <w:rFonts w:ascii="Times New Roman" w:hAnsi="Times New Roman"/>
                <w:b/>
                <w:noProof/>
              </w:rPr>
              <w:t>San Martín</w:t>
            </w:r>
            <w:r>
              <w:rPr>
                <w:noProof/>
                <w:webHidden/>
              </w:rPr>
              <w:tab/>
            </w:r>
            <w:r>
              <w:rPr>
                <w:noProof/>
                <w:webHidden/>
              </w:rPr>
              <w:fldChar w:fldCharType="begin"/>
            </w:r>
            <w:r>
              <w:rPr>
                <w:noProof/>
                <w:webHidden/>
              </w:rPr>
              <w:instrText xml:space="preserve"> PAGEREF _Toc34923102 \h </w:instrText>
            </w:r>
            <w:r>
              <w:rPr>
                <w:noProof/>
                <w:webHidden/>
              </w:rPr>
            </w:r>
            <w:r>
              <w:rPr>
                <w:noProof/>
                <w:webHidden/>
              </w:rPr>
              <w:fldChar w:fldCharType="separate"/>
            </w:r>
            <w:r>
              <w:rPr>
                <w:noProof/>
                <w:webHidden/>
              </w:rPr>
              <w:t>11</w:t>
            </w:r>
            <w:r>
              <w:rPr>
                <w:noProof/>
                <w:webHidden/>
              </w:rPr>
              <w:fldChar w:fldCharType="end"/>
            </w:r>
          </w:hyperlink>
        </w:p>
        <w:p>
          <w:pPr>
            <w:pStyle w:val="TOC1"/>
            <w:rPr>
              <w:rFonts w:eastAsiaTheme="minorEastAsia"/>
              <w:noProof/>
              <w:lang w:val="en-GB" w:eastAsia="en-GB"/>
            </w:rPr>
          </w:pPr>
          <w:hyperlink w:anchor="_Toc34923103" w:history="1">
            <w:r>
              <w:rPr>
                <w:rStyle w:val="Hyperlink"/>
                <w:rFonts w:ascii="Times New Roman" w:hAnsi="Times New Roman" w:cs="Times New Roman"/>
                <w:b/>
                <w:noProof/>
              </w:rPr>
              <w:t>7.</w:t>
            </w:r>
            <w:r>
              <w:rPr>
                <w:rFonts w:eastAsiaTheme="minorEastAsia"/>
                <w:noProof/>
                <w:lang w:val="en-GB" w:eastAsia="en-GB"/>
              </w:rPr>
              <w:tab/>
            </w:r>
            <w:r>
              <w:rPr>
                <w:rStyle w:val="Hyperlink"/>
                <w:rFonts w:ascii="Times New Roman" w:hAnsi="Times New Roman"/>
                <w:b/>
                <w:noProof/>
              </w:rPr>
              <w:t>Mayotte</w:t>
            </w:r>
            <w:r>
              <w:rPr>
                <w:noProof/>
                <w:webHidden/>
              </w:rPr>
              <w:tab/>
            </w:r>
            <w:r>
              <w:rPr>
                <w:noProof/>
                <w:webHidden/>
              </w:rPr>
              <w:fldChar w:fldCharType="begin"/>
            </w:r>
            <w:r>
              <w:rPr>
                <w:noProof/>
                <w:webHidden/>
              </w:rPr>
              <w:instrText xml:space="preserve"> PAGEREF _Toc34923103 \h </w:instrText>
            </w:r>
            <w:r>
              <w:rPr>
                <w:noProof/>
                <w:webHidden/>
              </w:rPr>
            </w:r>
            <w:r>
              <w:rPr>
                <w:noProof/>
                <w:webHidden/>
              </w:rPr>
              <w:fldChar w:fldCharType="separate"/>
            </w:r>
            <w:r>
              <w:rPr>
                <w:noProof/>
                <w:webHidden/>
              </w:rPr>
              <w:t>12</w:t>
            </w:r>
            <w:r>
              <w:rPr>
                <w:noProof/>
                <w:webHidden/>
              </w:rPr>
              <w:fldChar w:fldCharType="end"/>
            </w:r>
          </w:hyperlink>
        </w:p>
        <w:p>
          <w:pPr>
            <w:pStyle w:val="TOC1"/>
            <w:rPr>
              <w:rFonts w:eastAsiaTheme="minorEastAsia"/>
              <w:noProof/>
              <w:lang w:val="en-GB" w:eastAsia="en-GB"/>
            </w:rPr>
          </w:pPr>
          <w:hyperlink w:anchor="_Toc34923104" w:history="1">
            <w:r>
              <w:rPr>
                <w:rStyle w:val="Hyperlink"/>
                <w:rFonts w:ascii="Times New Roman" w:hAnsi="Times New Roman" w:cs="Times New Roman"/>
                <w:b/>
                <w:noProof/>
              </w:rPr>
              <w:t>8.</w:t>
            </w:r>
            <w:r>
              <w:rPr>
                <w:rFonts w:eastAsiaTheme="minorEastAsia"/>
                <w:noProof/>
                <w:lang w:val="en-GB" w:eastAsia="en-GB"/>
              </w:rPr>
              <w:tab/>
            </w:r>
            <w:r>
              <w:rPr>
                <w:rStyle w:val="Hyperlink"/>
                <w:rFonts w:ascii="Times New Roman" w:hAnsi="Times New Roman"/>
                <w:b/>
                <w:noProof/>
              </w:rPr>
              <w:t>Portugal</w:t>
            </w:r>
            <w:r>
              <w:rPr>
                <w:noProof/>
                <w:webHidden/>
              </w:rPr>
              <w:tab/>
            </w:r>
            <w:r>
              <w:rPr>
                <w:noProof/>
                <w:webHidden/>
              </w:rPr>
              <w:fldChar w:fldCharType="begin"/>
            </w:r>
            <w:r>
              <w:rPr>
                <w:noProof/>
                <w:webHidden/>
              </w:rPr>
              <w:instrText xml:space="preserve"> PAGEREF _Toc34923104 \h </w:instrText>
            </w:r>
            <w:r>
              <w:rPr>
                <w:noProof/>
                <w:webHidden/>
              </w:rPr>
            </w:r>
            <w:r>
              <w:rPr>
                <w:noProof/>
                <w:webHidden/>
              </w:rPr>
              <w:fldChar w:fldCharType="separate"/>
            </w:r>
            <w:r>
              <w:rPr>
                <w:noProof/>
                <w:webHidden/>
              </w:rPr>
              <w:t>13</w:t>
            </w:r>
            <w:r>
              <w:rPr>
                <w:noProof/>
                <w:webHidden/>
              </w:rPr>
              <w:fldChar w:fldCharType="end"/>
            </w:r>
          </w:hyperlink>
        </w:p>
        <w:p>
          <w:pPr>
            <w:pStyle w:val="TOC1"/>
            <w:rPr>
              <w:rFonts w:eastAsiaTheme="minorEastAsia"/>
              <w:noProof/>
              <w:lang w:val="en-GB" w:eastAsia="en-GB"/>
            </w:rPr>
          </w:pPr>
          <w:hyperlink w:anchor="_Toc34923105" w:history="1">
            <w:r>
              <w:rPr>
                <w:rStyle w:val="Hyperlink"/>
                <w:rFonts w:ascii="Times New Roman" w:hAnsi="Times New Roman" w:cs="Times New Roman"/>
                <w:b/>
                <w:noProof/>
              </w:rPr>
              <w:t>9.</w:t>
            </w:r>
            <w:r>
              <w:rPr>
                <w:rFonts w:eastAsiaTheme="minorEastAsia"/>
                <w:noProof/>
                <w:lang w:val="en-GB" w:eastAsia="en-GB"/>
              </w:rPr>
              <w:tab/>
            </w:r>
            <w:r>
              <w:rPr>
                <w:rStyle w:val="Hyperlink"/>
                <w:rFonts w:ascii="Times New Roman" w:hAnsi="Times New Roman"/>
                <w:b/>
                <w:noProof/>
              </w:rPr>
              <w:t>Azores</w:t>
            </w:r>
            <w:r>
              <w:rPr>
                <w:noProof/>
                <w:webHidden/>
              </w:rPr>
              <w:tab/>
            </w:r>
            <w:r>
              <w:rPr>
                <w:noProof/>
                <w:webHidden/>
              </w:rPr>
              <w:fldChar w:fldCharType="begin"/>
            </w:r>
            <w:r>
              <w:rPr>
                <w:noProof/>
                <w:webHidden/>
              </w:rPr>
              <w:instrText xml:space="preserve"> PAGEREF _Toc34923105 \h </w:instrText>
            </w:r>
            <w:r>
              <w:rPr>
                <w:noProof/>
                <w:webHidden/>
              </w:rPr>
            </w:r>
            <w:r>
              <w:rPr>
                <w:noProof/>
                <w:webHidden/>
              </w:rPr>
              <w:fldChar w:fldCharType="separate"/>
            </w:r>
            <w:r>
              <w:rPr>
                <w:noProof/>
                <w:webHidden/>
              </w:rPr>
              <w:t>14</w:t>
            </w:r>
            <w:r>
              <w:rPr>
                <w:noProof/>
                <w:webHidden/>
              </w:rPr>
              <w:fldChar w:fldCharType="end"/>
            </w:r>
          </w:hyperlink>
        </w:p>
        <w:p>
          <w:pPr>
            <w:pStyle w:val="TOC1"/>
            <w:rPr>
              <w:rFonts w:eastAsiaTheme="minorEastAsia"/>
              <w:noProof/>
              <w:lang w:val="en-GB" w:eastAsia="en-GB"/>
            </w:rPr>
          </w:pPr>
          <w:hyperlink w:anchor="_Toc34923106" w:history="1">
            <w:r>
              <w:rPr>
                <w:rStyle w:val="Hyperlink"/>
                <w:rFonts w:ascii="Times New Roman" w:hAnsi="Times New Roman" w:cs="Times New Roman"/>
                <w:b/>
                <w:noProof/>
              </w:rPr>
              <w:t>10.</w:t>
            </w:r>
            <w:r>
              <w:rPr>
                <w:rFonts w:eastAsiaTheme="minorEastAsia"/>
                <w:noProof/>
                <w:lang w:val="en-GB" w:eastAsia="en-GB"/>
              </w:rPr>
              <w:tab/>
            </w:r>
            <w:r>
              <w:rPr>
                <w:rStyle w:val="Hyperlink"/>
                <w:rFonts w:ascii="Times New Roman" w:hAnsi="Times New Roman"/>
                <w:b/>
                <w:noProof/>
              </w:rPr>
              <w:t>Madeira</w:t>
            </w:r>
            <w:r>
              <w:rPr>
                <w:noProof/>
                <w:webHidden/>
              </w:rPr>
              <w:tab/>
            </w:r>
            <w:r>
              <w:rPr>
                <w:noProof/>
                <w:webHidden/>
              </w:rPr>
              <w:fldChar w:fldCharType="begin"/>
            </w:r>
            <w:r>
              <w:rPr>
                <w:noProof/>
                <w:webHidden/>
              </w:rPr>
              <w:instrText xml:space="preserve"> PAGEREF _Toc34923106 \h </w:instrText>
            </w:r>
            <w:r>
              <w:rPr>
                <w:noProof/>
                <w:webHidden/>
              </w:rPr>
            </w:r>
            <w:r>
              <w:rPr>
                <w:noProof/>
                <w:webHidden/>
              </w:rPr>
              <w:fldChar w:fldCharType="separate"/>
            </w:r>
            <w:r>
              <w:rPr>
                <w:noProof/>
                <w:webHidden/>
              </w:rPr>
              <w:t>16</w:t>
            </w:r>
            <w:r>
              <w:rPr>
                <w:noProof/>
                <w:webHidden/>
              </w:rPr>
              <w:fldChar w:fldCharType="end"/>
            </w:r>
          </w:hyperlink>
        </w:p>
        <w:p>
          <w:pPr>
            <w:pStyle w:val="TOC1"/>
            <w:rPr>
              <w:rFonts w:eastAsiaTheme="minorEastAsia"/>
              <w:noProof/>
              <w:lang w:val="en-GB" w:eastAsia="en-GB"/>
            </w:rPr>
          </w:pPr>
          <w:hyperlink w:anchor="_Toc34923107" w:history="1">
            <w:r>
              <w:rPr>
                <w:rStyle w:val="Hyperlink"/>
                <w:rFonts w:ascii="Times New Roman" w:hAnsi="Times New Roman" w:cs="Times New Roman"/>
                <w:b/>
                <w:noProof/>
              </w:rPr>
              <w:t>11.</w:t>
            </w:r>
            <w:r>
              <w:rPr>
                <w:rFonts w:eastAsiaTheme="minorEastAsia"/>
                <w:noProof/>
                <w:lang w:val="en-GB" w:eastAsia="en-GB"/>
              </w:rPr>
              <w:tab/>
            </w:r>
            <w:r>
              <w:rPr>
                <w:rStyle w:val="Hyperlink"/>
                <w:rFonts w:ascii="Times New Roman" w:hAnsi="Times New Roman"/>
                <w:b/>
                <w:noProof/>
              </w:rPr>
              <w:t>España</w:t>
            </w:r>
            <w:r>
              <w:rPr>
                <w:noProof/>
                <w:webHidden/>
              </w:rPr>
              <w:tab/>
            </w:r>
            <w:r>
              <w:rPr>
                <w:noProof/>
                <w:webHidden/>
              </w:rPr>
              <w:fldChar w:fldCharType="begin"/>
            </w:r>
            <w:r>
              <w:rPr>
                <w:noProof/>
                <w:webHidden/>
              </w:rPr>
              <w:instrText xml:space="preserve"> PAGEREF _Toc34923107 \h </w:instrText>
            </w:r>
            <w:r>
              <w:rPr>
                <w:noProof/>
                <w:webHidden/>
              </w:rPr>
            </w:r>
            <w:r>
              <w:rPr>
                <w:noProof/>
                <w:webHidden/>
              </w:rPr>
              <w:fldChar w:fldCharType="separate"/>
            </w:r>
            <w:r>
              <w:rPr>
                <w:noProof/>
                <w:webHidden/>
              </w:rPr>
              <w:t>18</w:t>
            </w:r>
            <w:r>
              <w:rPr>
                <w:noProof/>
                <w:webHidden/>
              </w:rPr>
              <w:fldChar w:fldCharType="end"/>
            </w:r>
          </w:hyperlink>
        </w:p>
        <w:p>
          <w:pPr>
            <w:pStyle w:val="TOC1"/>
            <w:rPr>
              <w:rFonts w:eastAsiaTheme="minorEastAsia"/>
              <w:noProof/>
              <w:lang w:val="en-GB" w:eastAsia="en-GB"/>
            </w:rPr>
          </w:pPr>
          <w:hyperlink w:anchor="_Toc34923108" w:history="1">
            <w:r>
              <w:rPr>
                <w:rStyle w:val="Hyperlink"/>
                <w:rFonts w:ascii="Times New Roman" w:hAnsi="Times New Roman" w:cs="Times New Roman"/>
                <w:b/>
                <w:noProof/>
              </w:rPr>
              <w:t>12.</w:t>
            </w:r>
            <w:r>
              <w:rPr>
                <w:rFonts w:eastAsiaTheme="minorEastAsia"/>
                <w:noProof/>
                <w:lang w:val="en-GB" w:eastAsia="en-GB"/>
              </w:rPr>
              <w:tab/>
            </w:r>
            <w:r>
              <w:rPr>
                <w:rStyle w:val="Hyperlink"/>
                <w:rFonts w:ascii="Times New Roman" w:hAnsi="Times New Roman"/>
                <w:b/>
                <w:noProof/>
              </w:rPr>
              <w:t>Canarias</w:t>
            </w:r>
            <w:r>
              <w:rPr>
                <w:noProof/>
                <w:webHidden/>
              </w:rPr>
              <w:tab/>
            </w:r>
            <w:r>
              <w:rPr>
                <w:noProof/>
                <w:webHidden/>
              </w:rPr>
              <w:fldChar w:fldCharType="begin"/>
            </w:r>
            <w:r>
              <w:rPr>
                <w:noProof/>
                <w:webHidden/>
              </w:rPr>
              <w:instrText xml:space="preserve"> PAGEREF _Toc34923108 \h </w:instrText>
            </w:r>
            <w:r>
              <w:rPr>
                <w:noProof/>
                <w:webHidden/>
              </w:rPr>
            </w:r>
            <w:r>
              <w:rPr>
                <w:noProof/>
                <w:webHidden/>
              </w:rPr>
              <w:fldChar w:fldCharType="separate"/>
            </w:r>
            <w:r>
              <w:rPr>
                <w:noProof/>
                <w:webHidden/>
              </w:rPr>
              <w:t>19</w:t>
            </w:r>
            <w:r>
              <w:rPr>
                <w:noProof/>
                <w:webHidden/>
              </w:rPr>
              <w:fldChar w:fldCharType="end"/>
            </w:r>
          </w:hyperlink>
        </w:p>
        <w:p>
          <w:pPr>
            <w:rPr>
              <w:noProof/>
            </w:rPr>
          </w:pPr>
          <w:r>
            <w:rPr>
              <w:b/>
              <w:bCs/>
              <w:noProof/>
            </w:rPr>
            <w:fldChar w:fldCharType="end"/>
          </w:r>
        </w:p>
      </w:sdtContent>
    </w:sdt>
    <w:p>
      <w:pPr>
        <w:spacing w:after="120" w:line="240" w:lineRule="auto"/>
        <w:rPr>
          <w:rFonts w:ascii="Times New Roman" w:hAnsi="Times New Roman" w:cs="Times New Roman"/>
          <w:b/>
          <w:noProof/>
          <w:sz w:val="24"/>
          <w:szCs w:val="24"/>
          <w:highlight w:val="lightGray"/>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2" w:name="_Toc34923097"/>
      <w:r>
        <w:rPr>
          <w:rFonts w:ascii="Times New Roman" w:hAnsi="Times New Roman"/>
          <w:b/>
          <w:noProof/>
        </w:rPr>
        <w:t>Francia</w:t>
      </w:r>
      <w:bookmarkEnd w:id="2"/>
    </w:p>
    <w:p>
      <w:pPr>
        <w:spacing w:after="120" w:line="240" w:lineRule="auto"/>
        <w:jc w:val="both"/>
        <w:rPr>
          <w:rFonts w:ascii="Times New Roman" w:hAnsi="Times New Roman" w:cs="Times New Roman"/>
          <w:noProof/>
          <w:sz w:val="24"/>
          <w:szCs w:val="24"/>
        </w:rPr>
      </w:pPr>
      <w:r>
        <w:rPr>
          <w:rFonts w:ascii="Times New Roman" w:hAnsi="Times New Roman"/>
          <w:noProof/>
        </w:rPr>
        <w:t xml:space="preserve">Debido a su organización institucional, Francia establece marcos estratégicos para las políticas públicas en muchos sectores cubiertos por la Comunicación sobre las regiones ultraperiféricas a nivel nacional y local.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Adoptó un «Libro Azul» para las regiones ultraperiféricas y los países y territorios de ultramar franceses en junio de 2018, tras las consultas celebradas en 2017.</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rPr>
        <w:t xml:space="preserve">Lanzó la trayectoria Ultramar 5.0 en abril de 2019, con el objetivo de eliminar las emisiones de carbono, los residuos, los contaminantes agrícolas, la exclusión y la vulnerabilidad.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Está mejorando la recogida de datos en las regiones ultraperiféricas, en particular en Mayotte, y cooperando con las autoridades de San Martín para satisfacer las necesidades específicas del territorio.</w:t>
      </w:r>
    </w:p>
    <w:p>
      <w:pPr>
        <w:spacing w:after="120" w:line="240" w:lineRule="auto"/>
        <w:jc w:val="both"/>
        <w:rPr>
          <w:rFonts w:ascii="Times New Roman" w:hAnsi="Times New Roman" w:cs="Times New Roman"/>
          <w:noProof/>
          <w:sz w:val="24"/>
          <w:szCs w:val="24"/>
        </w:rPr>
      </w:pPr>
      <w:r>
        <w:rPr>
          <w:rFonts w:ascii="Times New Roman" w:hAnsi="Times New Roman"/>
          <w:noProof/>
        </w:rPr>
        <w:t>Economía azul</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Está cooperando con las regiones y las partes interesadas locales para ultimar, de aquí a 2020, un documento estratégico para cada cuenca marítima como parte de la ejecución de la estrategia nacional de 2017 para el mar y la línea de costa con el objetivo de apoyar el «crecimiento azul» y proteger el medio marino.  </w:t>
      </w:r>
    </w:p>
    <w:p>
      <w:pPr>
        <w:spacing w:after="120" w:line="240" w:lineRule="auto"/>
        <w:jc w:val="both"/>
        <w:rPr>
          <w:rFonts w:ascii="Times New Roman" w:hAnsi="Times New Roman" w:cs="Times New Roman"/>
          <w:noProof/>
          <w:sz w:val="24"/>
          <w:szCs w:val="24"/>
        </w:rPr>
      </w:pPr>
      <w:r>
        <w:rPr>
          <w:rFonts w:ascii="Times New Roman" w:hAnsi="Times New Roman"/>
          <w:noProof/>
        </w:rPr>
        <w:t>Biodiversidad</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Adoptó un plan de acción para mejorar la conservación de la biodiversidad en julio de 2018.</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Está organizando el Congreso Mundial de la Naturaleza que se celebrará en Marsella en junio de 2020 y que contribuirá a desarrollar la cooperación con las regiones de África, el Caribe y el Pacífico para promover objetivos comunes en el marco de acuerdos internacionales sobre cuestiones tales como la conservación de los arrecifes de coral.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Tiene previsto desplegar representantes de la Agencia Francesa para la Biodiversidad en las regiones ultraperiféricas de Francia para cooperar con las agencias locales para la biodiversidad.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Creó un servicio nacional encargado de proyectos económicos que promueven la biodiversidad en la Guayana Francesa en abril de 2019.   </w:t>
      </w:r>
    </w:p>
    <w:p>
      <w:pPr>
        <w:spacing w:after="120" w:line="240" w:lineRule="auto"/>
        <w:jc w:val="both"/>
        <w:rPr>
          <w:rFonts w:ascii="Times New Roman" w:hAnsi="Times New Roman" w:cs="Times New Roman"/>
          <w:noProof/>
          <w:sz w:val="24"/>
          <w:szCs w:val="24"/>
        </w:rPr>
      </w:pPr>
      <w:r>
        <w:rPr>
          <w:rFonts w:ascii="Times New Roman" w:hAnsi="Times New Roman"/>
          <w:noProof/>
        </w:rPr>
        <w:t>Agricultura y desarrollo rural</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Está ejecutando la mutualidad sobre gestión de riesgos en la agricultura para el próximo período de programación 2021-2027, según lo previsto en la Ley sobre igualdad real en los territorios de ultramar</w:t>
      </w:r>
      <w:r>
        <w:rPr>
          <w:rFonts w:ascii="Times New Roman" w:hAnsi="Times New Roman" w:cs="Times New Roman"/>
          <w:noProof/>
          <w:vertAlign w:val="superscript"/>
        </w:rPr>
        <w:footnoteReference w:id="2"/>
      </w:r>
      <w:r>
        <w:rPr>
          <w:rFonts w:ascii="Times New Roman" w:hAnsi="Times New Roman"/>
          <w:noProof/>
        </w:rPr>
        <w:t xml:space="preserve">.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Está debatiendo instrumentos de gestión de riesgos con aseguradores para cubrir específicamente los cultivos de plátano de aquí al final del actual período de programación. </w:t>
      </w:r>
    </w:p>
    <w:p>
      <w:pPr>
        <w:spacing w:after="120" w:line="240" w:lineRule="auto"/>
        <w:jc w:val="both"/>
        <w:rPr>
          <w:rFonts w:ascii="Times New Roman" w:hAnsi="Times New Roman" w:cs="Times New Roman"/>
          <w:noProof/>
          <w:sz w:val="24"/>
          <w:szCs w:val="24"/>
        </w:rPr>
      </w:pPr>
      <w:r>
        <w:rPr>
          <w:rFonts w:ascii="Times New Roman" w:hAnsi="Times New Roman"/>
          <w:noProof/>
        </w:rPr>
        <w:t>Cambio climático</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En diciembre de 2018, adoptó el segundo Plan Nacional de Adaptación al Cambio Climático en el que se describen los retos en los territorios de ultramar, en particular en lo que se refiere a la recogida de datos, la conservación de la biodiversidad y los recursos naturales, el turismo y los instrumentos financieros.</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En abril de 2019, nombró a un delegado interministerial para grandes riesgos en los territorios de ultramar.</w:t>
      </w:r>
    </w:p>
    <w:p>
      <w:pPr>
        <w:spacing w:after="120" w:line="240" w:lineRule="auto"/>
        <w:jc w:val="both"/>
        <w:rPr>
          <w:rFonts w:ascii="Times New Roman" w:hAnsi="Times New Roman" w:cs="Times New Roman"/>
          <w:noProof/>
          <w:sz w:val="24"/>
          <w:szCs w:val="24"/>
        </w:rPr>
      </w:pPr>
      <w:r>
        <w:rPr>
          <w:rFonts w:ascii="Times New Roman" w:hAnsi="Times New Roman"/>
          <w:noProof/>
        </w:rPr>
        <w:t>Empleo, educación y formación</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En junio de 2019, dirigió y publicó un estudio sobre la movilidad de los jóvenes residentes en ultramar, que cartografía los principales agentes y planes de movilidad.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Introdujo la posibilidad de celebrar contratos de trabajo que permitieran la obtención de cualificaciones profesionales con Estados vecinos de las regiones ultraperiféricas, tal y como se establece en la ley sobre la libertad de elegir el futuro profesional propio</w:t>
      </w:r>
      <w:r>
        <w:rPr>
          <w:rFonts w:ascii="Times New Roman" w:hAnsi="Times New Roman" w:cs="Times New Roman"/>
          <w:noProof/>
          <w:szCs w:val="16"/>
          <w:vertAlign w:val="superscript"/>
        </w:rPr>
        <w:footnoteReference w:id="3"/>
      </w:r>
      <w:r>
        <w:rPr>
          <w:rFonts w:ascii="Times New Roman" w:hAnsi="Times New Roman"/>
          <w:noProof/>
        </w:rPr>
        <w:t>.</w:t>
      </w:r>
    </w:p>
    <w:p>
      <w:pPr>
        <w:spacing w:after="120" w:line="240" w:lineRule="auto"/>
        <w:jc w:val="both"/>
        <w:rPr>
          <w:rFonts w:ascii="Times New Roman" w:hAnsi="Times New Roman" w:cs="Times New Roman"/>
          <w:noProof/>
          <w:sz w:val="24"/>
          <w:szCs w:val="24"/>
        </w:rPr>
      </w:pPr>
      <w:r>
        <w:rPr>
          <w:rFonts w:ascii="Times New Roman" w:hAnsi="Times New Roman"/>
          <w:noProof/>
        </w:rPr>
        <w:t>Energía</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Está trabajando con las autoridades locales de Guadalupe, Martinica, la Guayana Francesa, Mayotte y la Reunión en la revisión de sus planes energéticos plurianuales.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Firmó un contrato de transición ecológica para apoyar la transformación ecológica a nivel local en la Reunión (abril de 2019) y en la Guayana Francesa (julio de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Programó en 2019 una cantidad de 530 millones EUR durante los próximos cinco años para todas las regiones francesas no interconectadas a la red continental de electricidad para controlar la demanda de energía: el 35 % de la ayuda está destinada a los consumidores que se encuentran en situaciones de precariedad, incluidos aquellos en las regiones ultraperiféricas.  </w:t>
      </w:r>
    </w:p>
    <w:p>
      <w:pPr>
        <w:spacing w:after="120" w:line="240" w:lineRule="auto"/>
        <w:jc w:val="both"/>
        <w:rPr>
          <w:rFonts w:ascii="Times New Roman" w:hAnsi="Times New Roman" w:cs="Times New Roman"/>
          <w:noProof/>
          <w:sz w:val="24"/>
          <w:szCs w:val="24"/>
        </w:rPr>
      </w:pPr>
      <w:r>
        <w:rPr>
          <w:rFonts w:ascii="Times New Roman" w:hAnsi="Times New Roman"/>
          <w:noProof/>
        </w:rPr>
        <w:t>Economía circular</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Concluyó un estudio sobre la optimización de los fondos europeos para proyectos de gestión de residuos en favor de la economía circular en las regiones ultraperiféricas en febrero de 2020. </w:t>
      </w:r>
    </w:p>
    <w:p>
      <w:pPr>
        <w:spacing w:after="120" w:line="240" w:lineRule="auto"/>
        <w:jc w:val="both"/>
        <w:rPr>
          <w:rFonts w:ascii="Times New Roman" w:hAnsi="Times New Roman" w:cs="Times New Roman"/>
          <w:noProof/>
          <w:sz w:val="24"/>
          <w:szCs w:val="24"/>
        </w:rPr>
      </w:pPr>
      <w:r>
        <w:rPr>
          <w:rFonts w:ascii="Times New Roman" w:hAnsi="Times New Roman"/>
          <w:noProof/>
        </w:rPr>
        <w:t>Competitividad, emprendimiento y mercado único</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Redujo los umbrales para acceder a las ayudas financieras nacionales para los proyectos de innovación en las regiones ultraperiféricas necesarios;  y prorrogó un sistema de préstamos para las regiones ultraperiféricas a las empresas de menos de tres años y mejoró sus condiciones de financiación (junio de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En el primer trimestre de 2020, tiene previsto poner en marcha una convocatoria de manifestaciones de interés de 15 millones EUR dedicada a la innovación en las regiones ultraperiféricas francesas y los países y territorios de ultramar. </w:t>
      </w:r>
    </w:p>
    <w:p>
      <w:pPr>
        <w:spacing w:after="120" w:line="240" w:lineRule="auto"/>
        <w:jc w:val="both"/>
        <w:rPr>
          <w:rFonts w:ascii="Times New Roman" w:hAnsi="Times New Roman" w:cs="Times New Roman"/>
          <w:noProof/>
          <w:sz w:val="24"/>
          <w:szCs w:val="24"/>
        </w:rPr>
      </w:pPr>
      <w:r>
        <w:rPr>
          <w:rFonts w:ascii="Times New Roman" w:hAnsi="Times New Roman"/>
          <w:noProof/>
        </w:rPr>
        <w:t>Accesibilidad digital</w:t>
      </w:r>
    </w:p>
    <w:p>
      <w:pPr>
        <w:pStyle w:val="ListParagraph"/>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rPr>
        <w:t>Financió quince centros educativos de sus regiones ultraperiféricas para mejorar las competencias digitales.</w:t>
      </w:r>
    </w:p>
    <w:p>
      <w:pPr>
        <w:spacing w:after="120" w:line="240" w:lineRule="auto"/>
        <w:jc w:val="both"/>
        <w:rPr>
          <w:rFonts w:ascii="Times New Roman" w:hAnsi="Times New Roman" w:cs="Times New Roman"/>
          <w:noProof/>
          <w:sz w:val="24"/>
          <w:szCs w:val="24"/>
        </w:rPr>
      </w:pPr>
      <w:r>
        <w:rPr>
          <w:rFonts w:ascii="Times New Roman" w:hAnsi="Times New Roman"/>
          <w:noProof/>
        </w:rPr>
        <w:t>Cooperación con sus vecinos y más allá</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Promulgó una ley que refuerza los medios de acción de los servicios del Estado en materia de control de inmigración y asilo en septiembre de 2018; puso en marcha un proyecto piloto sobre la tramitación de las solicitudes de asilo en la Guayana Francesa en abril de 2018.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Creó un centro de operaciones en Mayotte y un grupo de investigación interservicios especializado en aspectos financieros de la inmigración ilegal.</w:t>
      </w:r>
    </w:p>
    <w:p>
      <w:pPr>
        <w:spacing w:after="120" w:line="240" w:lineRule="auto"/>
        <w:rPr>
          <w:noProof/>
        </w:rPr>
      </w:pPr>
      <w:r>
        <w:rPr>
          <w:noProof/>
        </w:rPr>
        <w:br w:type="page"/>
      </w:r>
    </w:p>
    <w:p>
      <w:pPr>
        <w:pStyle w:val="ListParagraph"/>
        <w:numPr>
          <w:ilvl w:val="0"/>
          <w:numId w:val="30"/>
        </w:numPr>
        <w:spacing w:after="120" w:line="240" w:lineRule="auto"/>
        <w:ind w:left="357" w:hanging="357"/>
        <w:contextualSpacing w:val="0"/>
        <w:jc w:val="both"/>
        <w:outlineLvl w:val="0"/>
        <w:rPr>
          <w:rFonts w:ascii="Times New Roman" w:hAnsi="Times New Roman" w:cs="Times New Roman"/>
          <w:b/>
          <w:noProof/>
          <w:sz w:val="24"/>
          <w:szCs w:val="24"/>
        </w:rPr>
      </w:pPr>
      <w:bookmarkStart w:id="3" w:name="_Toc34923098"/>
      <w:r>
        <w:rPr>
          <w:rFonts w:ascii="Times New Roman" w:hAnsi="Times New Roman"/>
          <w:b/>
          <w:noProof/>
        </w:rPr>
        <w:t>Guadalupe</w:t>
      </w:r>
      <w:bookmarkEnd w:id="3"/>
    </w:p>
    <w:p>
      <w:pPr>
        <w:spacing w:after="120" w:line="240" w:lineRule="auto"/>
        <w:jc w:val="both"/>
        <w:rPr>
          <w:rFonts w:ascii="Times New Roman" w:eastAsia="Calibri" w:hAnsi="Times New Roman" w:cs="Times New Roman"/>
          <w:i/>
          <w:noProof/>
          <w:sz w:val="24"/>
          <w:szCs w:val="24"/>
        </w:rPr>
      </w:pPr>
      <w:r>
        <w:rPr>
          <w:rFonts w:ascii="Times New Roman" w:hAnsi="Times New Roman"/>
          <w:noProof/>
        </w:rPr>
        <w:t>Guadalupe está avanzando en la aplicación de la Comunicación sobre las regiones ultraperiféricas, centrándose en las energías renovables y la eficiencia energética.</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Inauguró un astillero en la isla de Marie Galante en mayo de 2019, a fin de ofrecer formación en materia de conocimientos técnicos locales con vistas a apoyar la pesca sostenible.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Dirigió el proyecto piloto ORFISH en 2017-2019, que apoyó el intercambio de conocimientos sobre técnicas de pesca con escaso impacto entre los pescadores de todas las regiones ultraperiféricas y trató de aliviar la presión sobre los recursos pesqueros costeros (cofinanciación de la UE del 90 %).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Agricultura</w:t>
      </w:r>
    </w:p>
    <w:p>
      <w:pPr>
        <w:numPr>
          <w:ilvl w:val="0"/>
          <w:numId w:val="8"/>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En 2019, puso en marcha un proyecto de promoción y venta de bebidas espirituosas y productos agroalimentarios en los Estados Unidos en asociación con empresas del sector, Business France y el Ministerio francés de Ultramar.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numPr>
          <w:ilvl w:val="0"/>
          <w:numId w:val="7"/>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creando una agencia regional para la biodiversidad.</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en octubre de 2018 un «plan regional de eliminación de residuos para 2035» para reducir los residuos por habitante y la dependencia energética, y crear ocho puntos de recogida de residuos.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Apoyó a las empresas locales con el Fondo Europeo de Desarrollo Regional para tratar los residuos metálicos y los vehículos dañados por los huracanes Irma y María.</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Inauguró en junio de 2018 estaciones de recarga para vehículos basadas en la energía solar para fomentar el uso del excedente de energía solar.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Puso en marcha un proyecto de instalación fotovoltaica en el centro de gestión de residuos del municipio de Sainte-Rose en marzo de 2019, para reducir las emisiones y mejorar la eficiencia energética.</w:t>
      </w:r>
    </w:p>
    <w:p>
      <w:pPr>
        <w:numPr>
          <w:ilvl w:val="0"/>
          <w:numId w:val="5"/>
        </w:numPr>
        <w:spacing w:after="120" w:line="240" w:lineRule="auto"/>
        <w:jc w:val="both"/>
        <w:rPr>
          <w:rFonts w:ascii="Times New Roman" w:hAnsi="Times New Roman"/>
          <w:noProof/>
          <w:sz w:val="24"/>
        </w:rPr>
      </w:pPr>
      <w:r>
        <w:rPr>
          <w:rFonts w:ascii="Times New Roman" w:hAnsi="Times New Roman"/>
          <w:noProof/>
        </w:rPr>
        <w:t>Creó en febrero de 2019 una nueva central municipal de alumbrado público para reducir el consumo de energía en un 75 % y mejoró la iluminación pública en dos municipios con el apoyo del Fondo Europeo de Desarrollo Regional.</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Investigación e innovación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Instaló equipos de registro de ondas para mejorar la prevención de los principales riesgos naturales asociados al mar (marzo de 2019).</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Instaló un nuevo equipo de diagnóstico del cáncer y puso en marcha el primer centro de gestión del diagnóstico del cáncer en el Caribe (junio de 2018). </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Transporte</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Estableció una nueva conexión aérea entre Pointe-à-Pitre y Nueva York en febrero de 2020 para mejorar la conectividad.</w:t>
      </w:r>
    </w:p>
    <w:p>
      <w:pPr>
        <w:spacing w:after="8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Entró a formar parte de la Organización de Estados del Caribe Oriental en 2019.</w:t>
      </w:r>
    </w:p>
    <w:p>
      <w:pPr>
        <w:numPr>
          <w:ilvl w:val="0"/>
          <w:numId w:val="5"/>
        </w:numPr>
        <w:spacing w:after="120" w:line="240" w:lineRule="auto"/>
        <w:jc w:val="both"/>
        <w:rPr>
          <w:noProof/>
        </w:rPr>
      </w:pPr>
      <w:r>
        <w:rPr>
          <w:rFonts w:ascii="Times New Roman" w:hAnsi="Times New Roman"/>
          <w:noProof/>
        </w:rPr>
        <w:t>Puso en marcha un proyecto («Ready Together») para una coordinación más eficaz de la ayuda en caso de catástrofes naturales en el Caribe.</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4" w:name="_Toc34923099"/>
      <w:r>
        <w:rPr>
          <w:rFonts w:ascii="Times New Roman" w:hAnsi="Times New Roman"/>
          <w:b/>
          <w:noProof/>
        </w:rPr>
        <w:t>Guayana Francesa</w:t>
      </w:r>
      <w:bookmarkEnd w:id="4"/>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La Guayana Francesa avanza a un ritmo constante en las prioridades de la Comunicación, centrándose en la educación y la formación, así como en el uso sostenible de los recursos. Muchas iniciativas se encuentran actualmente en fase de planificación.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Desarrolló una estrategia regional de economía azul en diciembre de 2019.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rPr>
        <w:t>Creó un instrumento financiero en forma de un programa de préstamos de 4,7 millones EUR para los pequeños operadores, incluidos los del sector pesquero.</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Convirtió en servicio permanente un proyecto de servicios de asesoramiento para los pescadores locales dirigido por la agencia de desarrollo regional y la autoridad local.</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Agricultura</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Finalizó un estudio e inició la preparación de un proyecto piloto de agricultura experimental, destinado a establecer estaciones de ensayo para desarrollar métodos que permitan mejorar la utilización de los recursos orgánicos.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creando una agencia regional para la biodiversidad.</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elaborando un plan regional de prevención y gestión de residuos con el apoyo de la Agencia Francesa de Medioambiente y de Control de la Energía (ADEME).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construyendo nuevas instalaciones de electricidad basadas en la biomasa para cubrir una demanda de energía de 40 megavatios antes de 2023 y adaptarse al aumento de la demanda y al crecimiento demográfico.</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Investigación e innovación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Organizó un foro de investigación e innovación en abril de 2018 que reunió a las partes interesadas de las autoridades locales y los sectores de la investigación y empresariales con el objetivo de que sus aportaciones contribuyeran a la revisión en curso de su estrategia de especialización inteligente.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Firmó un acuerdo con un grupo empresarial francés de perfumería y cosmética para impulsar la investigación local sobre las sustancias naturales de la Guayana y desarrollar productos basados en recursos vegetales locales, incluida una asociación entre centros universitarios (noviembre de 2018).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Empleo, educación y formación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Estableció un acuerdo con las instituciones educativas de la región, AFMAé (una asociación para la formación en el sector de la aviación) y la empresa aeroespacial Ariane Group para desarrollar un bachillerato profesional en el ámbito de la industria aeroespacial para 2020.</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un proyecto con la organización patronal francesa MEDEF y la agencia nacional de empleo Pôle emploi para colocar a 300 jóvenes en empresas locales (2019); y creó de un punto de contacto para el asesoramiento a las empresas locales en materia de integración profesional.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Accesibilidad digital</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preparando el despliegue de un cable submarino entre la Guayana Francesa y el cable submarino de fibra óptica EllaLink, que conectará Europa y América Latina en 2020 y que será operativo en 2021, con el apoyo del Fondo Europeo de Desarrollo Regional y del Banco Europeo de Inversiones.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tomando medidas para que la región sea una zona de actividad económica para el almacenamiento de datos en servidores («centro de datos»).</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desplegando redes de banda ancha en diecisiete zonas aisladas; y, en abril de 2019, adquirió ancho de banda por satélite para facilitar la conectividad digital de las escuelas situadas en zonas remotas.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Creó cuarenta y cuatro puntos de acceso a la red en Saint Laurent du Maroni (lugares de interés económico y zonas remotas), con el apoyo del Fondo Europeo de Desarrollo Regional.</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Transporte</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desarrollando un proyecto a gran escala para la creación de carriles reservados al transporte público en la capital, Cayena.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creando una nueva conexión de transbordador entre Saint Laurent du Maroni y Albina, en Surinam, con el apoyo de Interreg.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numPr>
          <w:ilvl w:val="0"/>
          <w:numId w:val="6"/>
        </w:numPr>
        <w:spacing w:after="120" w:line="240" w:lineRule="auto"/>
        <w:jc w:val="both"/>
        <w:rPr>
          <w:rFonts w:ascii="Times New Roman" w:hAnsi="Times New Roman"/>
          <w:noProof/>
          <w:sz w:val="24"/>
        </w:rPr>
      </w:pPr>
      <w:r>
        <w:rPr>
          <w:rFonts w:ascii="Times New Roman" w:hAnsi="Times New Roman"/>
          <w:noProof/>
        </w:rPr>
        <w:t>Puso en marcha un estudio para evaluar las necesidades de las empresas locales y medidas que deben adoptarse con el fin de mejorar los intercambios con los países vecinos.</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5" w:name="_Toc34923100"/>
      <w:r>
        <w:rPr>
          <w:rFonts w:ascii="Times New Roman" w:hAnsi="Times New Roman"/>
          <w:b/>
          <w:noProof/>
        </w:rPr>
        <w:t>Martinica</w:t>
      </w:r>
      <w:bookmarkEnd w:id="5"/>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Martinica está aplicando la Comunicación logrando resultados en ámbitos como la economía circular, la energía y la competitividad, así como el empleo, la educación y la formación.</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rPr>
        <w:t>Programó un estudio de viabilidad a principios de 2020 sobre la creación de un Instituto de Acuicultura.</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rPr>
        <w:t>Confirmó la puesta en marcha de nuevos programas de formación centrados en la pesca y los ámbitos relacionados con la economía azul a través de un centro de formación profesional específico (PÔLE MER).</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numPr>
          <w:ilvl w:val="0"/>
          <w:numId w:val="9"/>
        </w:numPr>
        <w:spacing w:after="120" w:line="240" w:lineRule="auto"/>
        <w:ind w:left="709"/>
        <w:jc w:val="both"/>
        <w:rPr>
          <w:rFonts w:ascii="Times New Roman" w:eastAsia="Calibri" w:hAnsi="Times New Roman" w:cs="Times New Roman"/>
          <w:noProof/>
          <w:sz w:val="24"/>
          <w:szCs w:val="24"/>
        </w:rPr>
      </w:pPr>
      <w:r>
        <w:rPr>
          <w:rFonts w:ascii="Times New Roman" w:hAnsi="Times New Roman"/>
          <w:noProof/>
        </w:rPr>
        <w:t xml:space="preserve">Firmó un acuerdo marco entre la autoridad local, la reserva natural y las autoridades francesas en junio de 2019 para establecer un programa regional de conservación y mejorar el conocimiento y la sensibilización sobre la reserva natural.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una consulta pública y adoptó un plan para la prevención y la gestión de residuos, a fin de allanar el camino para una estrategia local de economía circular (finales de 2019).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Inició campañas de información contra el desperdicio de alimentos en las escuelas locales con el fin de sensibilizar a los alumnos sobre la sostenibilidad.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de la campaña de sensibilización «Kaz Zéro gaspi» en 2018, en el marco de la Semana del consumo ecológico.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llevando a cabo catorce proyectos, entre los que se incluyen estudios sobre la reutilización de los equipos y el mobiliario médicos, la creación de un servicio móvil con servicios de reparación («Repair Truck») y la ampliación de un servicio de reparación con oferta de talleres («Repair Café»).</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un proyecto de apoyo a la instalación de paneles fotovoltaicos para mejorar la autosuficiencia energética en 2017 y dos convocatorias de propuestas para la construcción de edificios energéticamente eficientes en 2019.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desplegando una red de alumbrado público eficiente desde el punto de vista energético para ahorrar al menos un 30 % de la electricidad de aquí a 2020.</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Puso en marcha un programa de ayuda al ahorro energético de cinco años por valor de 100 millones EUR que se centra en aproximadamente sesenta acciones destinadas a reducir el consumo de electricidad en (2019-2023).</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En 2019, creó una plataforma de información</w:t>
      </w:r>
      <w:r>
        <w:rPr>
          <w:rFonts w:ascii="Times New Roman" w:eastAsia="Calibri" w:hAnsi="Times New Roman" w:cs="Times New Roman"/>
          <w:noProof/>
          <w:vertAlign w:val="superscript"/>
        </w:rPr>
        <w:footnoteReference w:id="4"/>
      </w:r>
      <w:r>
        <w:rPr>
          <w:rFonts w:ascii="Times New Roman" w:hAnsi="Times New Roman"/>
          <w:noProof/>
        </w:rPr>
        <w:t xml:space="preserve"> sobre la transición energética que incluye información sobre la movilidad, las energías renovables, los servicios públicos domésticos y el aislamiento térmico.</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Instaló estaciones de recarga con un 100 % de energía solar para vehículos eléctricos en el marco del proyecto Green Drive.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Planea implantar gradualmente 250 estaciones de recarga solar en el marco del projecto «Madin'Drive».</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Empleo, educación y formación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Organizó una oposición para los aprendices de formación profesional en marzo de 2019.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Organizó una feria local de empleo y educación centrada en la contratación digital en junio de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Competitividad, emprendimiento y mercado único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Adoptó en 2017 un Programa de desarrollo económico, innovación e internacionalización locales, que proporciona financiación para mejorar la producción, el rendimiento y la empleabilidad; Estableció de una asociación para prestar servicios de información a las empresas.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Inició el foro empresarial anual de tres días «OSE!» en 2018, con el fin de proporcionar oportunidades para crear redes de contactos a las empresas establecidas y orientación sobre la puesta en marcha de un negocio.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Accesibilidad digital</w:t>
      </w:r>
    </w:p>
    <w:p>
      <w:pPr>
        <w:numPr>
          <w:ilvl w:val="0"/>
          <w:numId w:val="6"/>
        </w:numPr>
        <w:spacing w:after="120" w:line="240" w:lineRule="auto"/>
        <w:jc w:val="both"/>
        <w:rPr>
          <w:rFonts w:ascii="Times New Roman" w:hAnsi="Times New Roman"/>
          <w:noProof/>
          <w:sz w:val="24"/>
        </w:rPr>
      </w:pPr>
      <w:r>
        <w:rPr>
          <w:rFonts w:ascii="Times New Roman" w:hAnsi="Times New Roman"/>
          <w:noProof/>
        </w:rPr>
        <w:t>Está desplegando la fibra óptica que conecta las instituciones educativas con el apoyo del Fondo Europeo Agrícola de Desarrollo Rural y las redes de banda ancha de fibra óptica de alta velocidad con el apoyo del Fondo Europeo de Desarrollo Regional.</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Mostró un «pueblo digital» en el foro «OSE!» de 2019 con el fin de promover la digitalización entre las empresas locales (por ejemplo, la impresión en 3D)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Organizó tres Consejos de Ministros de la Organización de Estados del Caribe Oriental en los ámbitos de la salud, la educación y el medioambiente.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Puso en marcha el proyecto para reforzar las relaciones comerciales en el Caribe Oriental (TEECA) en enero de 2018 para ayudar a treinta empresas locales en la exportación a los Estados del Caribe.</w:t>
      </w:r>
    </w:p>
    <w:p>
      <w:pPr>
        <w:numPr>
          <w:ilvl w:val="0"/>
          <w:numId w:val="5"/>
        </w:numPr>
        <w:spacing w:after="120" w:line="240" w:lineRule="auto"/>
        <w:jc w:val="both"/>
        <w:rPr>
          <w:noProof/>
        </w:rPr>
      </w:pPr>
      <w:r>
        <w:rPr>
          <w:rFonts w:ascii="Times New Roman" w:hAnsi="Times New Roman"/>
          <w:noProof/>
        </w:rPr>
        <w:t>Colaboró como socio en el proyecto Odyssea (febrero de 2019) en el ámbito de la economía azul, destinado a mejorar el turismo azul y el crecimiento en el Caribe.</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6" w:name="_Toc34923101"/>
      <w:r>
        <w:rPr>
          <w:rFonts w:ascii="Times New Roman" w:hAnsi="Times New Roman"/>
          <w:b/>
          <w:noProof/>
        </w:rPr>
        <w:t>La Reunión</w:t>
      </w:r>
      <w:bookmarkEnd w:id="6"/>
    </w:p>
    <w:p>
      <w:pPr>
        <w:spacing w:after="120" w:line="240" w:lineRule="auto"/>
        <w:jc w:val="both"/>
        <w:rPr>
          <w:rFonts w:ascii="Times New Roman" w:hAnsi="Times New Roman" w:cs="Times New Roman"/>
          <w:noProof/>
          <w:sz w:val="24"/>
          <w:szCs w:val="24"/>
        </w:rPr>
      </w:pPr>
      <w:r>
        <w:rPr>
          <w:rFonts w:ascii="Times New Roman" w:hAnsi="Times New Roman"/>
          <w:noProof/>
        </w:rPr>
        <w:t>La Reunión se está centrando en muchos sectores de la Comunicación, en particular, en la economía circular y azul, la energía, la investigación y la cooperación con los países vecinos.</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rPr>
        <w:t>Economía azul</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Puso en marcha un proyecto de ordenación del espacio marítimo (2018-2020) en la cuenca sudoriental del Océano Índico (OCEAN MÉTISS) en asociación con el Estado, la Comisión del Océano Índico y la Comisión Europea.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Creó en marzo de 2019 un «Instituto Azul» para coordinar y diseñar políticas públicas en el ámbito de la economía azul. </w:t>
      </w:r>
    </w:p>
    <w:p>
      <w:pPr>
        <w:spacing w:after="120" w:line="240" w:lineRule="auto"/>
        <w:jc w:val="both"/>
        <w:rPr>
          <w:rFonts w:ascii="Times New Roman" w:hAnsi="Times New Roman" w:cs="Times New Roman"/>
          <w:noProof/>
          <w:sz w:val="24"/>
          <w:szCs w:val="24"/>
        </w:rPr>
      </w:pPr>
      <w:r>
        <w:rPr>
          <w:rFonts w:ascii="Times New Roman" w:hAnsi="Times New Roman"/>
          <w:noProof/>
        </w:rPr>
        <w:t>Agricultura y desarrollo rural</w:t>
      </w:r>
    </w:p>
    <w:p>
      <w:pPr>
        <w:pStyle w:val="ListParagraph"/>
        <w:numPr>
          <w:ilvl w:val="0"/>
          <w:numId w:val="12"/>
        </w:numPr>
        <w:spacing w:after="160" w:line="259" w:lineRule="auto"/>
        <w:jc w:val="both"/>
        <w:rPr>
          <w:rFonts w:ascii="Times New Roman" w:hAnsi="Times New Roman" w:cs="Times New Roman"/>
          <w:noProof/>
          <w:sz w:val="24"/>
          <w:szCs w:val="24"/>
        </w:rPr>
      </w:pPr>
      <w:r>
        <w:rPr>
          <w:rFonts w:ascii="Times New Roman" w:hAnsi="Times New Roman"/>
          <w:noProof/>
        </w:rPr>
        <w:t>Está desarrollando un modelo agrícola que promueve la producción local y garantiza la transición agroecológica (proyecto AGRIPEI 2030).</w:t>
      </w:r>
    </w:p>
    <w:p>
      <w:pPr>
        <w:spacing w:after="120" w:line="240" w:lineRule="auto"/>
        <w:jc w:val="both"/>
        <w:rPr>
          <w:rFonts w:ascii="Times New Roman" w:hAnsi="Times New Roman" w:cs="Times New Roman"/>
          <w:noProof/>
          <w:sz w:val="24"/>
          <w:szCs w:val="24"/>
        </w:rPr>
      </w:pPr>
      <w:r>
        <w:rPr>
          <w:rFonts w:ascii="Times New Roman" w:hAnsi="Times New Roman"/>
          <w:noProof/>
        </w:rPr>
        <w:t>Biodiversidad</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Proporcionó formación y apoyo para la creación de los proyectos LIFE y BEST con financiación de la UE en 2018 y 2019.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Realizó proyectos de desarrollo con ayuda del Fondo Europeo de Desarrollo Regional para proteger las especies amenazadas: el aguilucho lagunero y especies vegetales (proyecto ESPECES).</w:t>
      </w:r>
    </w:p>
    <w:p>
      <w:pPr>
        <w:spacing w:after="120" w:line="240" w:lineRule="auto"/>
        <w:jc w:val="both"/>
        <w:rPr>
          <w:rFonts w:ascii="Times New Roman" w:hAnsi="Times New Roman" w:cs="Times New Roman"/>
          <w:noProof/>
          <w:sz w:val="24"/>
          <w:szCs w:val="24"/>
        </w:rPr>
      </w:pPr>
      <w:r>
        <w:rPr>
          <w:rFonts w:ascii="Times New Roman" w:hAnsi="Times New Roman"/>
          <w:noProof/>
        </w:rPr>
        <w:t>Economía circular</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Diseñó un plan regional de prevención y gestión de residuos con el Estado y las autoridades locales, que establece objetivos regionales, como la eliminación de los residuos, y garantiza la coordinación.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Ha desarrollado un plan de acción regional sobre la economía circular para definir la visión estratégica y las medidas concretas para alcanzar el objetivo de eliminación de residuos.</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Ejecutó veintidós proyectos de economía circular (entre febrero de 2018 y junio de 2019), que iban desde el diseño y la vida útil de los productos hasta el reciclado.</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Participa en el proyecto REPLACE (agosto de 2019), financiado por Interreg Europa, con el objetivo de definir y aplicar políticas para la economía circular.</w:t>
      </w:r>
    </w:p>
    <w:p>
      <w:pPr>
        <w:spacing w:after="120" w:line="240" w:lineRule="auto"/>
        <w:jc w:val="both"/>
        <w:rPr>
          <w:rFonts w:ascii="Times New Roman" w:hAnsi="Times New Roman" w:cs="Times New Roman"/>
          <w:noProof/>
          <w:sz w:val="24"/>
          <w:szCs w:val="24"/>
        </w:rPr>
      </w:pPr>
      <w:r>
        <w:rPr>
          <w:rFonts w:ascii="Times New Roman" w:hAnsi="Times New Roman"/>
          <w:noProof/>
        </w:rPr>
        <w:t>Energía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Creó un grupo de trabajo sobre la transición energética junto con el Estado y la Comisión Europea en febrero de 2018.</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Está ejecutando dos proyectos con el apoyo del Fondo Europeo de Desarrollo Regional: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SOLARPLEXUS, con el fin de diseñar un sistema innovador que proporcione a los lugares remotos acceso a los servicios de electricidad, agua y comunicaciones; y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rPr>
        <w:t>MICRO-MAFATE NETWORK, que está experimentando con una microrred eléctrica en el circo de Mafate con el objetivo de lograr la autosuficiencia.</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Está llevando a cabo obras de renovación térmica en dieciocho centros de educación secundaria desde 2018.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Está desarrollando vehículos sostenibles como las motocicletas eléctricas para la movilidad urbana con la ayuda del Fondo Europeo de Desarrollo Regional (proyecto VELOCE de marzo de 2018).</w:t>
      </w:r>
    </w:p>
    <w:p>
      <w:pPr>
        <w:spacing w:after="120" w:line="240" w:lineRule="auto"/>
        <w:ind w:left="720"/>
        <w:jc w:val="both"/>
        <w:rPr>
          <w:rFonts w:ascii="Times New Roman" w:hAnsi="Times New Roman" w:cs="Times New Roman"/>
          <w:noProof/>
          <w:sz w:val="24"/>
          <w:szCs w:val="24"/>
        </w:rPr>
      </w:pPr>
    </w:p>
    <w:p>
      <w:pPr>
        <w:spacing w:after="120" w:line="240" w:lineRule="auto"/>
        <w:ind w:left="72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rPr>
        <w:t>Investigación e innovación</w:t>
      </w:r>
    </w:p>
    <w:p>
      <w:pPr>
        <w:pStyle w:val="ListParagraph"/>
        <w:numPr>
          <w:ilvl w:val="0"/>
          <w:numId w:val="39"/>
        </w:numPr>
        <w:spacing w:after="120" w:line="240" w:lineRule="auto"/>
        <w:jc w:val="both"/>
        <w:rPr>
          <w:rFonts w:ascii="Times New Roman" w:hAnsi="Times New Roman" w:cs="Times New Roman"/>
          <w:noProof/>
          <w:sz w:val="24"/>
          <w:szCs w:val="24"/>
        </w:rPr>
      </w:pPr>
      <w:r>
        <w:rPr>
          <w:rFonts w:ascii="Times New Roman" w:hAnsi="Times New Roman"/>
          <w:noProof/>
        </w:rPr>
        <w:t>Está ejecutando el proyecto VALOBIO (respaldado por el Fondo Europeo Marítimo y de Pesca, mayo de 2019), utilizando un método innovador para transformar los coproductos de pescado desechados en el mar en abonos orgánicos líquidos para una agricultura sostenible.</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Puso en marcha la evaluación de su estrategia de especialización inteligente en abril de 2019 para analizar el potencial de las regiones en diversos ámbitos y detectar los nichos de mercado de interés estratégico.</w:t>
      </w:r>
    </w:p>
    <w:p>
      <w:pPr>
        <w:spacing w:after="120" w:line="240" w:lineRule="auto"/>
        <w:jc w:val="both"/>
        <w:rPr>
          <w:rFonts w:ascii="Times New Roman" w:hAnsi="Times New Roman" w:cs="Times New Roman"/>
          <w:noProof/>
          <w:sz w:val="24"/>
          <w:szCs w:val="24"/>
        </w:rPr>
      </w:pPr>
      <w:r>
        <w:rPr>
          <w:rFonts w:ascii="Times New Roman" w:hAnsi="Times New Roman"/>
          <w:noProof/>
        </w:rPr>
        <w:t>Empleo, educación y formación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Estableció en noviembre de 2017 el proyecto CAMPUS SUD con el apoyo del Fondo Europeo de Desarrollo Regional, con el objetivo de reagrupar y ampliar la oferta de la universidad regional, y de crear un polo técnico (proyecto «Vallée Blanche»).</w:t>
      </w:r>
    </w:p>
    <w:p>
      <w:pPr>
        <w:spacing w:after="160" w:line="259" w:lineRule="auto"/>
        <w:jc w:val="both"/>
        <w:rPr>
          <w:rFonts w:ascii="Times New Roman" w:hAnsi="Times New Roman" w:cs="Times New Roman"/>
          <w:noProof/>
          <w:sz w:val="24"/>
          <w:szCs w:val="24"/>
        </w:rPr>
      </w:pPr>
      <w:r>
        <w:rPr>
          <w:rFonts w:ascii="Times New Roman" w:hAnsi="Times New Roman"/>
          <w:noProof/>
        </w:rPr>
        <w:t>Competitividad, emprendimiento y mercado único</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Creó el Fondo «Financière Région Réunion» por un valor de 50 millones EUR (procedente del Fondo Europeo de Desarrollo Regional y del Banco Europeo de Inversiones y de la región) para apoyar a las pequeñas y medianas empresas (pymes) mediante un préstamo y un instrumento de capital privado. En junio de 2019, el Fondo había financiado a 135 pymes con 13 millones EUR.</w:t>
      </w:r>
    </w:p>
    <w:p>
      <w:pPr>
        <w:pStyle w:val="ListParagraph"/>
        <w:numPr>
          <w:ilvl w:val="0"/>
          <w:numId w:val="32"/>
        </w:numPr>
        <w:spacing w:after="160" w:line="259" w:lineRule="auto"/>
        <w:jc w:val="both"/>
        <w:rPr>
          <w:rFonts w:ascii="Times New Roman" w:hAnsi="Times New Roman" w:cs="Times New Roman"/>
          <w:noProof/>
          <w:sz w:val="24"/>
          <w:szCs w:val="24"/>
        </w:rPr>
      </w:pPr>
      <w:r>
        <w:rPr>
          <w:rFonts w:ascii="Times New Roman" w:hAnsi="Times New Roman"/>
          <w:noProof/>
        </w:rPr>
        <w:t>Participa en el proyecto REACT, apoyado por Horizonte 2020, para descarbonizar los sistemas energéticos de la isla. </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Accesibilidad digital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Está finalizando el despliegue de la banda ancha, que se espera que llegue a todos las zonas no cubiertas de aquí al final de 2022, con el apoyo del Fondo Europeo de Desarrollo Regional (gran proyecto de 2019). </w:t>
      </w:r>
    </w:p>
    <w:p>
      <w:pPr>
        <w:spacing w:after="120" w:line="240" w:lineRule="auto"/>
        <w:jc w:val="both"/>
        <w:rPr>
          <w:rFonts w:ascii="Times New Roman" w:hAnsi="Times New Roman" w:cs="Times New Roman"/>
          <w:b/>
          <w:noProof/>
          <w:sz w:val="24"/>
          <w:szCs w:val="24"/>
        </w:rPr>
      </w:pPr>
      <w:r>
        <w:rPr>
          <w:rFonts w:ascii="Times New Roman" w:hAnsi="Times New Roman"/>
          <w:noProof/>
        </w:rPr>
        <w:t>Cooperación con sus vecinos y más allá</w:t>
      </w:r>
      <w:r>
        <w:rPr>
          <w:rFonts w:ascii="Times New Roman" w:hAnsi="Times New Roman"/>
          <w:b/>
          <w:noProof/>
        </w:rPr>
        <w:t xml:space="preserve">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 xml:space="preserve">Está llevando a cabo un proyecto («TIS AEDES OI», en el marco de Interreg) que explora una técnica para controlar el mosquito tigre </w:t>
      </w:r>
      <w:r>
        <w:rPr>
          <w:rFonts w:ascii="Times New Roman" w:hAnsi="Times New Roman"/>
          <w:i/>
          <w:iCs/>
          <w:noProof/>
        </w:rPr>
        <w:t>Aedes</w:t>
      </w:r>
      <w:r>
        <w:rPr>
          <w:rFonts w:ascii="Times New Roman" w:hAnsi="Times New Roman"/>
          <w:noProof/>
        </w:rPr>
        <w: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rPr>
        <w:t>Está reforzando la capacidad de las estructuras públicas y privadas en los países socios enviando graduados locales a estos países, con el apoyo de Interreg.</w:t>
      </w:r>
    </w:p>
    <w:p>
      <w:pPr>
        <w:numPr>
          <w:ilvl w:val="0"/>
          <w:numId w:val="13"/>
        </w:numPr>
        <w:spacing w:after="120" w:line="240" w:lineRule="auto"/>
        <w:jc w:val="both"/>
        <w:rPr>
          <w:noProof/>
        </w:rPr>
      </w:pPr>
      <w:r>
        <w:rPr>
          <w:rFonts w:ascii="Times New Roman" w:hAnsi="Times New Roman"/>
          <w:noProof/>
        </w:rPr>
        <w:t>Los acuerdos marco celebrados con los vecinos en el marco del programa Interreg «Océano Índico» (por ejemplo, en abril de 2019 con Seychelles), que mejoran la coordinación en ámbitos de interés común.</w:t>
      </w:r>
    </w:p>
    <w:p>
      <w:pPr>
        <w:numPr>
          <w:ilvl w:val="0"/>
          <w:numId w:val="13"/>
        </w:numPr>
        <w:spacing w:after="120" w:line="240" w:lineRule="auto"/>
        <w:jc w:val="both"/>
        <w:rPr>
          <w:noProof/>
        </w:rPr>
      </w:pPr>
      <w:r>
        <w:rPr>
          <w:rFonts w:ascii="Times New Roman" w:hAnsi="Times New Roman"/>
          <w:noProof/>
        </w:rPr>
        <w:t>En julio de 2019, creó un servicio de apoyo a las empresas en Mozambique con el fin de apoyar la internacionalización de las empresas locales y la cooperación regional.</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7" w:name="_Toc34923102"/>
      <w:r>
        <w:rPr>
          <w:rFonts w:ascii="Times New Roman" w:hAnsi="Times New Roman"/>
          <w:b/>
          <w:noProof/>
        </w:rPr>
        <w:t>San Martín</w:t>
      </w:r>
      <w:bookmarkEnd w:id="7"/>
    </w:p>
    <w:p>
      <w:pPr>
        <w:spacing w:line="240" w:lineRule="auto"/>
        <w:jc w:val="both"/>
        <w:rPr>
          <w:rFonts w:ascii="Times New Roman" w:eastAsia="Calibri" w:hAnsi="Times New Roman" w:cs="Times New Roman"/>
          <w:noProof/>
          <w:sz w:val="24"/>
          <w:szCs w:val="24"/>
        </w:rPr>
      </w:pPr>
      <w:r>
        <w:rPr>
          <w:rFonts w:ascii="Times New Roman" w:hAnsi="Times New Roman"/>
          <w:noProof/>
        </w:rPr>
        <w:t>San Martín está aplicando la Comunicación sobre las regiones ultraperiféricas en el contexto particular de la reconstrucción de la isla tras el huracán Irma. Por tanto, la atención se centra en la reconstrucción de infraestructuras mejoradas y en dar respuestas adecuadas al cambio climático.</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15"/>
        </w:num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Desde 2018, ofrece formación profesional sobre actividades marítimas relacionadas con la economía azul.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Agricultura</w:t>
      </w:r>
    </w:p>
    <w:p>
      <w:pPr>
        <w:numPr>
          <w:ilvl w:val="0"/>
          <w:numId w:val="1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Tiene previsto poner en marcha soluciones innovadoras para la agricultura, como el cultivo sin suelo, e invertir en recintos de explotación ganadera desmontables, que habría que desmantelar en caso de mal tiempo.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aumentando la sensibilización y poniendo en marcha acciones de comunicación sobre el reciclado y la clasificación de residuos, además de estableciendo un punto de recogida de residuos y llevando a cabo un estudio común para toda la isla (con el apoyo del programa Interreg Caribe) para mejorar la gestión de los residuos.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Cambio climático</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Ha creado en 2018 un sistema de gestión de riesgos para las catástrofes mediante la realización de ejercicios de alerta, la sensibilización pública, la evaluación de los sistemas de alerta y la adquisición de un radar meteorológico para mejorar las previsiones meteorológicas (Interreg Caribe).</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Inició estudios previos de viabilidad sobre los recursos geotérmicos potenciales en las islas de Saba, San Eustaquio y San Cristóbal y sobre la interconexión eléctrica entre las islas para promover la energía renovable (Interreg Caribe, julio de 2019).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Accesibilidad digital</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creando redes subterráneas de fibra óptica para mejorar la conectividad digital en todos los distritos, como parte de la reconstrucción.</w:t>
      </w:r>
    </w:p>
    <w:p>
      <w:pPr>
        <w:pStyle w:val="ListParagraph"/>
        <w:numPr>
          <w:ilvl w:val="0"/>
          <w:numId w:val="6"/>
        </w:numPr>
        <w:spacing w:after="160" w:line="259" w:lineRule="auto"/>
        <w:jc w:val="both"/>
        <w:rPr>
          <w:rFonts w:ascii="Times New Roman" w:eastAsia="Calibri" w:hAnsi="Times New Roman" w:cs="Times New Roman"/>
          <w:noProof/>
          <w:sz w:val="24"/>
          <w:szCs w:val="24"/>
        </w:rPr>
      </w:pPr>
      <w:r>
        <w:rPr>
          <w:rFonts w:ascii="Times New Roman" w:hAnsi="Times New Roman"/>
          <w:noProof/>
        </w:rPr>
        <w:t xml:space="preserve">Está llevando a cabo estudios de previabilidad para la interconexión digital entre las Islas de Sotavento (islas septentrionales de la cadena de las </w:t>
      </w:r>
      <w:hyperlink r:id="rId16" w:tooltip="Pequeñas Antillas" w:history="1">
        <w:r>
          <w:rPr>
            <w:rFonts w:ascii="Times New Roman" w:hAnsi="Times New Roman"/>
            <w:noProof/>
          </w:rPr>
          <w:t>Pequeñas Antillas</w:t>
        </w:r>
      </w:hyperlink>
      <w:r>
        <w:rPr>
          <w:rFonts w:ascii="Times New Roman" w:hAnsi="Times New Roman"/>
          <w:noProof/>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de las regiones ultraperiféricas y más allá</w:t>
      </w:r>
    </w:p>
    <w:p>
      <w:pPr>
        <w:numPr>
          <w:ilvl w:val="0"/>
          <w:numId w:val="16"/>
        </w:numPr>
        <w:spacing w:after="120" w:line="240" w:lineRule="auto"/>
        <w:jc w:val="both"/>
        <w:rPr>
          <w:noProof/>
        </w:rPr>
      </w:pPr>
      <w:r>
        <w:rPr>
          <w:rFonts w:ascii="Times New Roman" w:hAnsi="Times New Roman"/>
          <w:noProof/>
        </w:rPr>
        <w:t>Obtuvo el estatuto de observador en la Organización de Estados del Caribe Oriental.</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8" w:name="_Toc34923103"/>
      <w:r>
        <w:rPr>
          <w:rFonts w:ascii="Times New Roman" w:hAnsi="Times New Roman"/>
          <w:b/>
          <w:noProof/>
        </w:rPr>
        <w:t>Mayotte</w:t>
      </w:r>
      <w:bookmarkEnd w:id="8"/>
    </w:p>
    <w:p>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Mayotte está aplicando la Comunicación de 2017 prestando especial atención a la economía azul. </w:t>
      </w:r>
    </w:p>
    <w:p>
      <w:p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Economía azul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En 2018 puso en marcha un grupo de trabajo para preparar una estrategia regional en materia de economía azul: recopilación de datos sobre los sectores de la economía azul y organización de intercambios con los agentes del crecimiento azul (formación, turismo, pesca y acuicultura).</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elaborando un plan regional de ordenación del territorio, con un capítulo específico sobre la ordenación del espacio marítimo, como base para todas las actividades relacionadas con la costa.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desarrollando un plan de gestión de la flota junto con las autoridades nacionales, así como un plan director para la acuicultura.</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invirtiendo en instalaciones acuícolas abandonadas previamente y apoyando la capacidad de las partes interesadas locales.</w:t>
      </w:r>
    </w:p>
    <w:p>
      <w:pPr>
        <w:spacing w:before="120" w:after="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numPr>
          <w:ilvl w:val="0"/>
          <w:numId w:val="17"/>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Está creando una agencia regional para la biodiversidad en colaboración con las autoridades nacionales.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llevando a cabo un proyecto piloto con vehículos eléctricos y estaciones de recarga que funcionan al 100 % con energía solar para un transporte sostenible (2019).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rPr>
        <w:t>Está estudiando el potencial de la energía fotovoltaica en las escuelas y los edificios públicos, ya que la energía solar es la energía renovable más importante de la región.</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Competitividad, emprendimiento y mercado único</w:t>
      </w:r>
    </w:p>
    <w:p>
      <w:pPr>
        <w:numPr>
          <w:ilvl w:val="0"/>
          <w:numId w:val="5"/>
        </w:numPr>
        <w:spacing w:after="120" w:line="240" w:lineRule="auto"/>
        <w:jc w:val="both"/>
        <w:rPr>
          <w:rFonts w:ascii="Times New Roman" w:eastAsia="Calibri" w:hAnsi="Times New Roman" w:cs="Times New Roman"/>
          <w:i/>
          <w:noProof/>
          <w:sz w:val="24"/>
          <w:szCs w:val="24"/>
        </w:rPr>
      </w:pPr>
      <w:r>
        <w:rPr>
          <w:rFonts w:ascii="Times New Roman" w:hAnsi="Times New Roman"/>
          <w:noProof/>
        </w:rPr>
        <w:t xml:space="preserve">Puso en marcha un proyecto de ciudad tecnológica en 2017 para agrupar a empresas de fabricación y de servicios en los sectores de la alta tecnología con el fin de mejorar la capacidad de sus empresas para operar en el mercado único.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Está trabajando en un proyecto de transporte interurbano con tres líneas de autobús para conectar el sur, centro y norte de Mayotte con la capital, Mamoudzou, y con posibles conexiones marítimas para 2021 con el fin de mejorar la conectividad. </w:t>
      </w:r>
    </w:p>
    <w:p>
      <w:pPr>
        <w:numPr>
          <w:ilvl w:val="0"/>
          <w:numId w:val="5"/>
        </w:numPr>
        <w:spacing w:after="120" w:line="240" w:lineRule="auto"/>
        <w:jc w:val="both"/>
        <w:rPr>
          <w:rFonts w:ascii="Times New Roman" w:hAnsi="Times New Roman"/>
          <w:noProof/>
          <w:sz w:val="24"/>
        </w:rPr>
      </w:pPr>
      <w:r>
        <w:rPr>
          <w:rFonts w:ascii="Times New Roman" w:hAnsi="Times New Roman"/>
          <w:noProof/>
        </w:rPr>
        <w:t xml:space="preserve">En 2018, puso en marcha un proyecto para mejorar la seguridad del aeropuerto de Mayotte con ayuda del Fondo Europeo de Desarrollo Regional.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numPr>
          <w:ilvl w:val="0"/>
          <w:numId w:val="18"/>
        </w:numPr>
        <w:spacing w:after="120" w:line="240" w:lineRule="auto"/>
        <w:jc w:val="both"/>
        <w:rPr>
          <w:rFonts w:ascii="Times New Roman" w:eastAsia="Calibri" w:hAnsi="Times New Roman" w:cs="Times New Roman"/>
          <w:noProof/>
          <w:sz w:val="24"/>
          <w:szCs w:val="24"/>
        </w:rPr>
      </w:pPr>
      <w:r>
        <w:rPr>
          <w:rFonts w:ascii="Times New Roman" w:hAnsi="Times New Roman"/>
          <w:noProof/>
        </w:rPr>
        <w:t>Firmó un acuerdo para permitir a los estudiantes universitarios de Mayotte la movilidad en los países del África oriental, en los ámbitos de la tecnología digital, la animación y la cultura (febrero de 2019).</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9" w:name="_Toc34923104"/>
      <w:r>
        <w:rPr>
          <w:rFonts w:ascii="Times New Roman" w:hAnsi="Times New Roman"/>
          <w:b/>
          <w:noProof/>
        </w:rPr>
        <w:t>Portugal</w:t>
      </w:r>
      <w:bookmarkEnd w:id="9"/>
    </w:p>
    <w:p>
      <w:pPr>
        <w:spacing w:after="120" w:line="240" w:lineRule="auto"/>
        <w:jc w:val="both"/>
        <w:rPr>
          <w:rFonts w:ascii="Times New Roman" w:hAnsi="Times New Roman" w:cs="Times New Roman"/>
          <w:noProof/>
          <w:color w:val="FF0000"/>
          <w:sz w:val="24"/>
          <w:szCs w:val="24"/>
        </w:rPr>
      </w:pPr>
      <w:r>
        <w:rPr>
          <w:rFonts w:ascii="Times New Roman" w:hAnsi="Times New Roman"/>
          <w:noProof/>
        </w:rPr>
        <w:t>Portugal colabora estrechamente con las regiones autónomas de Azores y Madeira para aplicar la Comunicación de 2017, en particular en los ámbitos de la economía circular, el cambio climático y la investigación.</w:t>
      </w:r>
    </w:p>
    <w:p>
      <w:pPr>
        <w:pStyle w:val="ListParagraph"/>
        <w:numPr>
          <w:ilvl w:val="0"/>
          <w:numId w:val="20"/>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Desarrolló la cooperación en 2018-2019 entre el Instituto Nacional de Estadística y los departamentos de estadísticas regionales de Azores y Madeira para mejorar la recogida y gestión de datos, especialmente en los ámbitos de la agricultura, el mar y el transporte aéreo.</w:t>
      </w:r>
    </w:p>
    <w:p>
      <w:pPr>
        <w:spacing w:after="120" w:line="240" w:lineRule="auto"/>
        <w:jc w:val="both"/>
        <w:rPr>
          <w:rFonts w:ascii="Times New Roman" w:hAnsi="Times New Roman" w:cs="Times New Roman"/>
          <w:noProof/>
          <w:sz w:val="24"/>
          <w:szCs w:val="24"/>
        </w:rPr>
      </w:pPr>
      <w:r>
        <w:rPr>
          <w:rFonts w:ascii="Times New Roman" w:hAnsi="Times New Roman"/>
          <w:noProof/>
        </w:rPr>
        <w:t>Economía circular</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Apoyó proyectos que promueven un uso más eficiente de los recursos en Madeira y Azores en el marco del Fondo Medioambiental nacional en 2018 y 2019.</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Facilitó la participación de los ciudadanos de Madeira y Azores en los acontecimientos relacionados con la economía circular y el cambio climático en Portugal (mayor reembolso de gastos).</w:t>
      </w:r>
    </w:p>
    <w:p>
      <w:pPr>
        <w:spacing w:after="120" w:line="240" w:lineRule="auto"/>
        <w:jc w:val="both"/>
        <w:rPr>
          <w:rFonts w:ascii="Times New Roman" w:hAnsi="Times New Roman" w:cs="Times New Roman"/>
          <w:noProof/>
          <w:sz w:val="24"/>
          <w:szCs w:val="24"/>
        </w:rPr>
      </w:pPr>
      <w:r>
        <w:rPr>
          <w:rFonts w:ascii="Times New Roman" w:hAnsi="Times New Roman"/>
          <w:noProof/>
        </w:rPr>
        <w:t>Cambio climático</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Prestó apoyo a proyectos que promueven la instalación de estaciones de recarga para vehículos eléctricos en Azores, mediante convocatorias en el marco del Fondo Medioambiental en 2018 y 2019.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Proporcionó financiación a Madeira y Azores en el marco del Programa «Medioambiente, cambio climático y economía de bajas emisiones de carbono».</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Organizó sesiones en Madeira y Azores en marzo de 2019 para presentar el mecanismo financiero de subvenciones del EEE</w:t>
      </w:r>
      <w:r>
        <w:rPr>
          <w:rStyle w:val="FootnoteReference"/>
          <w:rFonts w:ascii="Times New Roman" w:hAnsi="Times New Roman" w:cs="Times New Roman"/>
          <w:noProof/>
        </w:rPr>
        <w:footnoteReference w:id="5"/>
      </w:r>
      <w:r>
        <w:rPr>
          <w:rFonts w:ascii="Times New Roman" w:hAnsi="Times New Roman"/>
          <w:noProof/>
        </w:rPr>
        <w:t>.</w:t>
      </w:r>
    </w:p>
    <w:p>
      <w:pPr>
        <w:spacing w:after="120" w:line="240" w:lineRule="auto"/>
        <w:jc w:val="both"/>
        <w:rPr>
          <w:rFonts w:ascii="Times New Roman" w:hAnsi="Times New Roman" w:cs="Times New Roman"/>
          <w:noProof/>
          <w:sz w:val="24"/>
          <w:szCs w:val="24"/>
        </w:rPr>
      </w:pPr>
      <w:r>
        <w:rPr>
          <w:rFonts w:ascii="Times New Roman" w:hAnsi="Times New Roman"/>
          <w:noProof/>
        </w:rPr>
        <w:t>Biodiversidad</w:t>
      </w:r>
    </w:p>
    <w:p>
      <w:pPr>
        <w:pStyle w:val="ListParagraph"/>
        <w:numPr>
          <w:ilvl w:val="0"/>
          <w:numId w:val="21"/>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Puso en marcha en 2019 una convocatoria de proyectos para promover modelos de desarrollo sostenible en todas las reservas de la biosfera portuguesa, cinco de ellas situadas en Madeira y Azores.</w:t>
      </w:r>
    </w:p>
    <w:p>
      <w:pPr>
        <w:spacing w:after="120" w:line="240" w:lineRule="auto"/>
        <w:jc w:val="both"/>
        <w:rPr>
          <w:rFonts w:ascii="Times New Roman" w:hAnsi="Times New Roman" w:cs="Times New Roman"/>
          <w:noProof/>
          <w:sz w:val="24"/>
          <w:szCs w:val="24"/>
        </w:rPr>
      </w:pPr>
      <w:r>
        <w:rPr>
          <w:rFonts w:ascii="Times New Roman" w:hAnsi="Times New Roman"/>
          <w:noProof/>
        </w:rPr>
        <w:t>Investigación e innovación</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 xml:space="preserve">En septiembre de 2018, inició el programa internacional de lanzamiento de satélites para crear un centro espacial internacional en la isla de Santa Maria, en las Azores, que está previsto que sea operativo de aquí al final de 2021. </w:t>
      </w:r>
    </w:p>
    <w:p>
      <w:pPr>
        <w:pStyle w:val="ListParagraph"/>
        <w:numPr>
          <w:ilvl w:val="0"/>
          <w:numId w:val="19"/>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rPr>
        <w:t>Estableció la Agencia Espacial Portuguesa en marzo de 2019, situada en la isla de Santa Maria, en Azores.</w:t>
      </w:r>
    </w:p>
    <w:p>
      <w:pPr>
        <w:spacing w:after="120" w:line="240" w:lineRule="auto"/>
        <w:jc w:val="both"/>
        <w:rPr>
          <w:rFonts w:ascii="Times New Roman" w:hAnsi="Times New Roman" w:cs="Times New Roman"/>
          <w:noProof/>
          <w:sz w:val="24"/>
          <w:szCs w:val="24"/>
        </w:rPr>
      </w:pPr>
      <w:r>
        <w:rPr>
          <w:rFonts w:ascii="Times New Roman" w:hAnsi="Times New Roman"/>
          <w:noProof/>
        </w:rPr>
        <w:t>Accesibilidad digital</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rPr>
        <w:t>Creó, en mayo de 2019, el grupo de trabajo «Cables submarinos CAM:– Portugal continental, Azores y Madeira» para analizar la mejor manera de sustituir los cables submarinos que garantizan las conexiones de comunicación de Madeira y Azores con el continente. El grupo emitió sus conclusiones en diciembre de 2019.</w:t>
      </w:r>
    </w:p>
    <w:p>
      <w:pPr>
        <w:spacing w:after="120" w:line="240" w:lineRule="auto"/>
        <w:jc w:val="both"/>
        <w:rPr>
          <w:rFonts w:ascii="Times New Roman" w:hAnsi="Times New Roman" w:cs="Times New Roman"/>
          <w:noProof/>
          <w:sz w:val="24"/>
          <w:szCs w:val="24"/>
        </w:rPr>
      </w:pPr>
      <w:r>
        <w:rPr>
          <w:rFonts w:ascii="Times New Roman" w:hAnsi="Times New Roman"/>
          <w:noProof/>
        </w:rPr>
        <w:t>Transporte</w:t>
      </w:r>
    </w:p>
    <w:p>
      <w:pPr>
        <w:pStyle w:val="ListParagraph"/>
        <w:numPr>
          <w:ilvl w:val="0"/>
          <w:numId w:val="19"/>
        </w:numPr>
        <w:spacing w:after="120" w:line="240" w:lineRule="auto"/>
        <w:contextualSpacing w:val="0"/>
        <w:jc w:val="both"/>
        <w:rPr>
          <w:noProof/>
        </w:rPr>
      </w:pPr>
      <w:r>
        <w:rPr>
          <w:rFonts w:ascii="Times New Roman" w:hAnsi="Times New Roman"/>
          <w:noProof/>
        </w:rPr>
        <w:t>Propuso incluir los aeropuertos de Funchal, Porto Santo y Ponta Delgada en la red básica de la red transeuropea de transporte (RTE-T), en respuesta a la consulta sobre la revisión de las orientaciones de la RTE-T.</w:t>
      </w: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0" w:name="_Toc34923105"/>
      <w:r>
        <w:rPr>
          <w:rFonts w:ascii="Times New Roman" w:hAnsi="Times New Roman"/>
          <w:b/>
          <w:noProof/>
        </w:rPr>
        <w:t>Azores</w:t>
      </w:r>
      <w:bookmarkEnd w:id="10"/>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Azores está aplicando la Comunicación de 2017 centrándose principalmente en la economía azul, así como en la energía y la investigación.</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 xml:space="preserve">Está recopilando datos sobre el empleo y las actividades en el sector pesquero para todas las islas.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En 2018 creó un grupo de trabajo para que estableciera el Observatorio Atlántico, dedicado a la investigación científica marítima, que incluye la protección, la investigación, el control y la explotación socioeconómica de los espacios marítimos.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Dirige el proyecto MarSP (2018-2019) para desarrollar planes de ordenación del espacio marítimo en Azores, Madeira y Canarias.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Concluyó el proyecto MISTIC SEAS II y está coordinando el proyecto MISTIC SEAS III (2019), con el fin de evaluar la Directiva marco sobre la estrategia marina.</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Participa en el proyecto AQUA-LIT (2019), destinado a prevenir los vertidos marinos procedentes de actividades de acuicultura y eliminar los deshechos de las instalaciones acuícolas.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Puso en marcha el proyecto piloto «E-log» (2019) para supervisar electrónicamente la pesca a pequeña escala y apoyar a los agentes locales.</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rPr>
        <w:t>Promovió la Declaración de Azores para la defensa de la pesca del atún con líneas y cañas (octubre de 2018) para aumentar la sensibilización sobre las técnicas de pesca sostenibles.</w:t>
      </w:r>
    </w:p>
    <w:p>
      <w:pPr>
        <w:numPr>
          <w:ilvl w:val="0"/>
          <w:numId w:val="12"/>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Creó la «Escuela del Mar» (2019), para promover las cualificaciones y la formación, y está participando, en el marco de Erasmus, en el proyecto MATES (2018-2021), destinado a fomentar una estrategia de capacitación en el ámbito de la tecnología marina.</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Agricultura</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rPr>
        <w:t>Tiene previsto completar un «Plan estratégico para el sector lácteo» en 2020, para detectar nuevos mercados y promover la innovación y la internacionalización de los productos lácteos.</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Apoyó el uso de aeronaves pilotadas a distancia para la gestión forestal (cofinanciado con el Fondo Europeo Agrícola de Desarrollo Rural).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Está evaluando la contaminación causada por los plásticos en alta mar con el apoyo del Fondo Europeo de Desarrollo Regional (PLASTDEEP 2019).</w:t>
      </w:r>
    </w:p>
    <w:p>
      <w:pPr>
        <w:numPr>
          <w:ilvl w:val="0"/>
          <w:numId w:val="22"/>
        </w:numPr>
        <w:spacing w:before="60" w:after="120" w:line="240" w:lineRule="auto"/>
        <w:ind w:left="714" w:hanging="357"/>
        <w:jc w:val="both"/>
        <w:rPr>
          <w:rFonts w:ascii="Times New Roman" w:eastAsia="Calibri" w:hAnsi="Times New Roman" w:cs="Times New Roman"/>
          <w:noProof/>
          <w:sz w:val="24"/>
          <w:szCs w:val="24"/>
        </w:rPr>
      </w:pPr>
      <w:r>
        <w:rPr>
          <w:rFonts w:ascii="Times New Roman" w:hAnsi="Times New Roman"/>
          <w:noProof/>
        </w:rPr>
        <w:t xml:space="preserve">Está llevando a cabo tres proyectos apoyados por el programa LIFE de la UE: LIFE VIDALIA (2018-2023), para la conservación de especies de flora en peligro de extinción; LIFE-IP AZORES NATURA (2019-2027), para la conservación de hábitats y especies protegidas; y LIFE Beetles (a partir de 2020) para reducir los riesgos para las especies en peligro de extinción. </w:t>
      </w:r>
    </w:p>
    <w:p>
      <w:pPr>
        <w:pStyle w:val="ListParagraph"/>
        <w:numPr>
          <w:ilvl w:val="0"/>
          <w:numId w:val="22"/>
        </w:numPr>
        <w:spacing w:before="60" w:after="160" w:line="259" w:lineRule="auto"/>
        <w:contextualSpacing w:val="0"/>
        <w:jc w:val="both"/>
        <w:rPr>
          <w:rFonts w:ascii="Times New Roman" w:hAnsi="Times New Roman"/>
          <w:noProof/>
          <w:sz w:val="24"/>
        </w:rPr>
      </w:pPr>
      <w:r>
        <w:rPr>
          <w:rFonts w:ascii="Times New Roman" w:hAnsi="Times New Roman"/>
          <w:noProof/>
        </w:rPr>
        <w:t>Está ejecutando el proyecto MOVE I (2018-2021) y puso en marcha el proyecto MOVE ON (2019-2022) en cumplimiento de la Estrategia de la UE sobre la Biodiversidad para cartografiar y evaluar el estado de los ecosistemas y sus servicios.</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Apoyó el proyecto BIOINVENT, dedicado al estudio de la diversidad microbiana del suelo en los ecosistemas de Azores, y el proyecto MARFOR, centrado en el estudio de la dinámica de las respuestas de los bosques marinos al cambio global (ambos se desarrollan en el período 2017-2020).</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Cambio climático</w:t>
      </w:r>
    </w:p>
    <w:p>
      <w:pPr>
        <w:numPr>
          <w:ilvl w:val="0"/>
          <w:numId w:val="23"/>
        </w:numPr>
        <w:spacing w:after="120" w:line="240" w:lineRule="auto"/>
        <w:jc w:val="both"/>
        <w:rPr>
          <w:rFonts w:ascii="Times New Roman" w:eastAsia="Calibri" w:hAnsi="Times New Roman" w:cs="Times New Roman"/>
          <w:noProof/>
          <w:sz w:val="24"/>
          <w:szCs w:val="24"/>
        </w:rPr>
      </w:pPr>
      <w:r>
        <w:rPr>
          <w:rFonts w:ascii="Times New Roman" w:hAnsi="Times New Roman"/>
          <w:noProof/>
        </w:rPr>
        <w:t>Aprobó, en septiembre de 2019, el Programa Regional para el Cambio Climático, cuyo objetivo era minimizar las emisiones de gases de efecto invernadero y reducir la exposición a los riesgos climáticos.</w:t>
      </w:r>
    </w:p>
    <w:p>
      <w:pPr>
        <w:spacing w:before="60" w:after="0"/>
        <w:jc w:val="both"/>
        <w:rPr>
          <w:rFonts w:ascii="Times New Roman" w:hAnsi="Times New Roman" w:cs="Times New Roman"/>
          <w:noProof/>
          <w:sz w:val="24"/>
          <w:szCs w:val="24"/>
        </w:rPr>
      </w:pPr>
      <w:r>
        <w:rPr>
          <w:rFonts w:ascii="Times New Roman" w:hAnsi="Times New Roman"/>
          <w:noProof/>
        </w:rPr>
        <w:t>Economía circular</w:t>
      </w:r>
    </w:p>
    <w:p>
      <w:pPr>
        <w:pStyle w:val="ListParagraph"/>
        <w:numPr>
          <w:ilvl w:val="0"/>
          <w:numId w:val="22"/>
        </w:numPr>
        <w:spacing w:before="60" w:after="0" w:line="259" w:lineRule="auto"/>
        <w:contextualSpacing w:val="0"/>
        <w:jc w:val="both"/>
        <w:rPr>
          <w:rFonts w:ascii="Times New Roman" w:hAnsi="Times New Roman" w:cs="Times New Roman"/>
          <w:noProof/>
          <w:sz w:val="24"/>
          <w:szCs w:val="24"/>
        </w:rPr>
      </w:pPr>
      <w:r>
        <w:rPr>
          <w:rFonts w:ascii="Times New Roman" w:hAnsi="Times New Roman"/>
          <w:noProof/>
        </w:rPr>
        <w:t>Está previsto que se adopte el Programa de gestión del turismo para el desarrollo sostenible del sector.</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Lanzó, en octubre de 2018, la «Estrategia energética de Azores para 2030» para aprovechar el potencial de los recursos naturales y las tecnologías emergentes y está trabajando en el «Plan de acción para la eficiencia energética de Azores».</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Estableció el «Plan de acción para la movilidad eléctrica en Azores» (2018-2024), que incluye la explotación de puntos de recarga para vehículos eléctricos en las nueve islas.</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rPr>
        <w:t>Está desarrollando una agenda para la transición energética apoyada por la iniciativa «Energía limpia para las islas de la UE»; y está analizando el uso de cables submarinos para conectar las redes eléctricas de sus islas.</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rPr>
        <w:t>Participa en un proyecto de Horizonte 2020 (2019-2021) sobre energía geotérmica profunda y en el proyecto Interreg E-MOBICITY (2019-2023), destinado a la optimización de las políticas públicas en materia de movilidad eléctrica en las zonas urbanas.</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rPr>
        <w:t>Investigación e innovación</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un puerto espacial internacional en la isla de Santa Maria en septiembre de 2018, que se espera esté operativo de aquí al final de 2021. </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Aprobó el «Plan para la internacionalización de la ciencia y la tecnología» en 2018, destinado a promover la ciencia y atraer proyectos y asociaciones exteriores.</w:t>
      </w:r>
    </w:p>
    <w:p>
      <w:pPr>
        <w:pStyle w:val="ListParagraph"/>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rPr>
        <w:t>Aprobó, en 2018, la iniciativa Transfer+ y participa en el proyecto FANBEST para promover la transferencia de tecnología en las pymes locales, en particular, en el sector de la economía azul.</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Empleo, educación y formación</w:t>
      </w:r>
    </w:p>
    <w:p>
      <w:pPr>
        <w:pStyle w:val="ListParagraph"/>
        <w:numPr>
          <w:ilvl w:val="0"/>
          <w:numId w:val="13"/>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rPr>
        <w:t>Fomentó el empleo a través de las iniciativas INOVAR (desde marzo de 2019) para los jóvenes desempleados, Berço de Emprego (actualizada en 2019) para sustituciones temporales y Movemprego (en 2020) para promover la movilidad geográfica de los recursos humanos.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Accesibilidad digital</w:t>
      </w:r>
    </w:p>
    <w:p>
      <w:pPr>
        <w:numPr>
          <w:ilvl w:val="0"/>
          <w:numId w:val="24"/>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Puso en marcha, en 2018, el Plan de acción para la cultura científica y tecnológica, que apoyó la creación de laboratorios escolares de informática, robótica y programación.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Transporte</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rPr>
        <w:t>Puso en marcha una licitación internacional para construir un buque para pasajeros, vehículos y mercancías para conectar todas las islas durante todo el año (enero de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rPr>
        <w:t>Participa en el proyecto Marine-Earth Observation (Observación marina y terrestre) para desarrollar tecnologías adaptadas, basadas en los servicios derivados de Copernicus, dirigidas a mejorar la sensibilización sobre cuestiones marítimas.</w:t>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r>
        <w:rPr>
          <w:noProof/>
        </w:rPr>
        <w:br w:type="page"/>
      </w:r>
      <w:bookmarkStart w:id="11" w:name="_Toc34923106"/>
      <w:r>
        <w:rPr>
          <w:rFonts w:ascii="Times New Roman" w:hAnsi="Times New Roman"/>
          <w:b/>
          <w:noProof/>
        </w:rPr>
        <w:t>Madeira</w:t>
      </w:r>
      <w:bookmarkEnd w:id="11"/>
    </w:p>
    <w:p>
      <w:pPr>
        <w:spacing w:after="120" w:line="240" w:lineRule="auto"/>
        <w:jc w:val="both"/>
        <w:rPr>
          <w:rFonts w:ascii="Times New Roman" w:eastAsia="Calibri" w:hAnsi="Times New Roman" w:cs="Times New Roman"/>
          <w:noProof/>
          <w:sz w:val="24"/>
          <w:szCs w:val="24"/>
        </w:rPr>
      </w:pPr>
      <w:r>
        <w:rPr>
          <w:rFonts w:ascii="Times New Roman" w:hAnsi="Times New Roman"/>
          <w:noProof/>
        </w:rPr>
        <w:t>Madeira está avanzando en la aplicación de la Comunicación de 2017, centrándose en la economía azul, la economía circular, el cambio climático, la investigación, la energía, el empleo y las capacidades.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azul</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En 2018, puso en marcha la línea de crédito INVESTE RAM 2020, un instrumento financiero para facilitar el acceso a la financiación a los pequeños operadores (20 millones EUR).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Desarrolló el Plan de ordenación espacial del medioambiente marítimo, una herramienta de gestión territorial para promover una economía azul sostenible.</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Creó en 2019 un consorcio responsable del Centro Internacional Integrado de Formación Profesional Marítima de Madeira, que comenzará a impartir formación en 2020.</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Agricultura y desarrollo rural</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Introdujo, en 2018, legislación por la que se establecía una comisión técnica para la evaluación de la conformidad de los productos agrícolas y alimenticios de Madeira con el fin de garantizar que los productos que se benefician de un régimen de calidad de la UE son conformes con la legislación de la UE.</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Biodiversidad</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Reforzó la gestión de las zonas protegidas y de los sitios de la red Natura 2000 (desde 2017) mediante la revisión y actualización de los planes de gestión, las estrategias y las zonas clasificadas.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Elaboró una Agenda Regional para la Economía Circular con el fin de mitigar el impacto medioambiental en la búsqueda de un crecimiento económico sostenible (2019).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Elaboró la «Estrategia de residuos 2020-2030» para mejorar la gestión de residuos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Cambio climático</w:t>
      </w:r>
    </w:p>
    <w:p>
      <w:pPr>
        <w:numPr>
          <w:ilvl w:val="0"/>
          <w:numId w:val="25"/>
        </w:numPr>
        <w:spacing w:after="120" w:line="240" w:lineRule="auto"/>
        <w:jc w:val="both"/>
        <w:rPr>
          <w:rFonts w:ascii="Times New Roman" w:hAnsi="Times New Roman" w:cs="Times New Roman"/>
          <w:noProof/>
          <w:sz w:val="24"/>
          <w:szCs w:val="24"/>
        </w:rPr>
      </w:pPr>
      <w:r>
        <w:rPr>
          <w:rFonts w:ascii="Times New Roman" w:hAnsi="Times New Roman"/>
          <w:noProof/>
        </w:rPr>
        <w:t>Impulsó la aplicación de la estrategia regional de adaptación al cambio climático a través de proyectos apoyados por Interreg y el programa LIFE de la UE y comenzó su actualización.</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Está desarrollando un programa informático y sistemas para evaluar, prevenir y mitigar los riesgos de incendio forestal y mejorar la gestión de los incendios forestales mediante el apoyo del Fondo de Cohesión.</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Ejecutó el proyecto «Sustainable Porto Santo: Smart Fossil Free Island» (Porto Santo sostenible: una isla inteligente sin combustibles fósiles, 2019), destinado a promover el uso de </w:t>
      </w:r>
      <w:hyperlink r:id="rId17" w:history="1">
        <w:r>
          <w:rPr>
            <w:rFonts w:ascii="Times New Roman" w:hAnsi="Times New Roman"/>
            <w:noProof/>
          </w:rPr>
          <w:t>vehículos eléctricos</w:t>
        </w:r>
      </w:hyperlink>
      <w:r>
        <w:rPr>
          <w:rFonts w:ascii="Times New Roman" w:hAnsi="Times New Roman"/>
          <w:noProof/>
        </w:rPr>
        <w:t xml:space="preserve"> y los sistemas de recarga inteligentes.</w:t>
      </w:r>
    </w:p>
    <w:p>
      <w:pPr>
        <w:pStyle w:val="ListParagraph"/>
        <w:numPr>
          <w:ilvl w:val="0"/>
          <w:numId w:val="25"/>
        </w:numPr>
        <w:spacing w:after="160" w:line="259" w:lineRule="auto"/>
        <w:jc w:val="both"/>
        <w:rPr>
          <w:rFonts w:ascii="Times New Roman" w:eastAsia="Calibri" w:hAnsi="Times New Roman" w:cs="Times New Roman"/>
          <w:noProof/>
          <w:sz w:val="24"/>
          <w:szCs w:val="24"/>
        </w:rPr>
      </w:pPr>
      <w:r>
        <w:rPr>
          <w:rFonts w:ascii="Times New Roman" w:hAnsi="Times New Roman"/>
          <w:noProof/>
        </w:rPr>
        <w:t>Está a punto de concluir la ampliación del proyecto hidroeléctrico Calheta III, apoyado por el Fondo de Cohesión.</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Participó en varios proyectos de la UE en el ámbito de la energía, entre los que se incluye ENERMAC (2017-2019), que tiene por objeto la planificación de estrategias para la implantación de infraestructuras de energías renovables.</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Está promoviendo el transporte limpio, con el apoyo del Fondo Europeo de Desarrollo Regional, mediante la adquisición de cinco minibuses eléctricos y veinticinco autobuses limpios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Investigación e innovación</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rPr>
        <w:t>Ha cooperado en el proyecto SMART4HEALTH desde 2019 para permitir a los ciudadanos que gestionen y conserven los registros de sus propios datos sanitarios en toda la UE y fuera de ella.</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rPr>
        <w:t>Reevaluó la Estrategia regional de especialización inteligente (2019) para preparar la puesta en marcha de la estrategia 2.0 para el período 2021-2027.</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Empleo, educación y formación</w:t>
      </w:r>
    </w:p>
    <w:p>
      <w:pPr>
        <w:numPr>
          <w:ilvl w:val="0"/>
          <w:numId w:val="27"/>
        </w:numPr>
        <w:spacing w:after="120" w:line="240" w:lineRule="auto"/>
        <w:jc w:val="both"/>
        <w:rPr>
          <w:rFonts w:ascii="Times New Roman" w:eastAsia="Calibri" w:hAnsi="Times New Roman" w:cs="Times New Roman"/>
          <w:noProof/>
          <w:sz w:val="24"/>
          <w:szCs w:val="24"/>
        </w:rPr>
      </w:pPr>
      <w:r>
        <w:rPr>
          <w:rFonts w:ascii="Times New Roman" w:hAnsi="Times New Roman"/>
          <w:noProof/>
        </w:rPr>
        <w:t>Desarrolló medidas para apoyar a los desempleados, incluidos los programas destinados a la creación de empleo para los jóvenes, como PROJOVEM. En 2018, los 68 proyectos aprobados en el marco del programa «Fomento del espíritu empresarial en materia de desempleo» crearon 118 nuevos puestos de trabajo. Estas medidas cubrieron a 5 512 personas en 2018.</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Accesibilidad digital</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En 2018, firmó un contrato para el suministro de un nuevo enlace de telecomunicaciones mediante cable óptico submarino entre Madeira y Portugal continental.</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Desarrolló cursos para mejorar las competencias digitales en las escuelas (2018-2019) a través del «Plan estratégico para la innovación educativa de las escuelas», que incluye proyectos CTIM (en los ámbitos de la ciencia, la tecnología, la ingeniería y las matemáticas). </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Introdujo el «Future Classroom Lab» (Aula-laboratorio del futuro), que proporcionó equipos robóticos a las escuelas en el curso 2018-2019.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Transporte</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Aprobó el Plan de Acción para la Movilidad Sostenible en Madeira (junio de 2019). El plan debe apoyar la transición hacia un transporte limpio y seguro.</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Cooperación con sus vecinos y más allá</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Reactivó la Cumbre del archipiélago macaronésico en 2018, que fomenta el debate sobre los desafíos comunes relacionados con el medioambiente y el cambio climático, la economía del mar, el fomento del comercio y la inversión y la formación, así como la movilidad de los estudiantes y de los profesores.</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rPr>
        <w:t>Participa en el proyecto INTEGRA, destinado a la integración del mercado y al desarrollo de la vecindad económica y social de la Macaronesia, aprobado en junio de 2019 [programa Interreg Madeira-Azores-Canarias (programa MAC)].</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2" w:name="_Toc34923107"/>
      <w:r>
        <w:rPr>
          <w:rFonts w:ascii="Times New Roman" w:hAnsi="Times New Roman"/>
          <w:b/>
          <w:noProof/>
        </w:rPr>
        <w:t>España</w:t>
      </w:r>
      <w:bookmarkEnd w:id="12"/>
    </w:p>
    <w:p>
      <w:pPr>
        <w:pStyle w:val="ListParagraph"/>
        <w:spacing w:after="120" w:line="240" w:lineRule="auto"/>
        <w:contextualSpacing w:val="0"/>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España aplica la Comunicación de 2017 junto con la región ultraperiférica de Canarias, en el marco de la distribución constitucional de competencias.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Economía circular</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En noviembre de 2018, participó, a través del Ministerio para la Transición Ecológica y del Departamento de Aduanas e Impuestos Especiales, en la puesta en marcha del grupo de trabajo sobre residuos, y apoya la ejecución de su plan de acción.</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Analizó el Plan Integral de Residuos de Canarias (PIRCAN) 2018-2025.</w:t>
      </w:r>
    </w:p>
    <w:p>
      <w:pPr>
        <w:spacing w:after="120" w:line="240" w:lineRule="auto"/>
        <w:jc w:val="both"/>
        <w:rPr>
          <w:rFonts w:ascii="Times New Roman" w:eastAsia="Calibri" w:hAnsi="Times New Roman" w:cs="Times New Roman"/>
          <w:noProof/>
          <w:sz w:val="24"/>
          <w:szCs w:val="24"/>
        </w:rPr>
      </w:pPr>
      <w:r>
        <w:rPr>
          <w:rFonts w:ascii="Times New Roman" w:hAnsi="Times New Roman"/>
          <w:noProof/>
        </w:rPr>
        <w:t>Energía</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En el marco del paquete de medidas sobre energía limpia de la UE, apoya acciones para introducir las energías renovables en las islas, ahorrar energía, mejorar la eficiencia energética y promover la movilidad sostenible, entre las que se incluyen las subastas de energías renovables, las interconexiones entre islas y las estaciones de recarga eléctrica para vehículos.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rPr>
        <w:t>Desarrolló y apoyó acciones de formación y de difusión tecnológica en el ámbito de las energías renovables.</w:t>
      </w:r>
    </w:p>
    <w:p>
      <w:pPr>
        <w:spacing w:after="120" w:line="240" w:lineRule="auto"/>
        <w:rPr>
          <w:noProof/>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3" w:name="_Toc34923108"/>
      <w:r>
        <w:rPr>
          <w:rFonts w:ascii="Times New Roman" w:hAnsi="Times New Roman"/>
          <w:b/>
          <w:noProof/>
        </w:rPr>
        <w:t>Canarias</w:t>
      </w:r>
      <w:bookmarkEnd w:id="13"/>
    </w:p>
    <w:p>
      <w:pPr>
        <w:spacing w:after="120" w:line="240" w:lineRule="auto"/>
        <w:jc w:val="both"/>
        <w:rPr>
          <w:rFonts w:ascii="Times New Roman" w:hAnsi="Times New Roman" w:cs="Times New Roman"/>
          <w:noProof/>
          <w:sz w:val="24"/>
          <w:szCs w:val="24"/>
        </w:rPr>
      </w:pPr>
      <w:r>
        <w:rPr>
          <w:rFonts w:ascii="Times New Roman" w:hAnsi="Times New Roman"/>
          <w:noProof/>
        </w:rPr>
        <w:t xml:space="preserve">Canarias está aplicando la Comunicación de 2017 centrándose en la energía, la investigación y la economía circular. </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 xml:space="preserve">Está desarrollando datos oficiales sobre la producción local desde julio de 2018 a través de un acuerdo con el Instituto Canario de Estadística (ISTAC). </w:t>
      </w:r>
    </w:p>
    <w:p>
      <w:pPr>
        <w:spacing w:after="120" w:line="240" w:lineRule="auto"/>
        <w:jc w:val="both"/>
        <w:rPr>
          <w:rFonts w:ascii="Times New Roman" w:hAnsi="Times New Roman" w:cs="Times New Roman"/>
          <w:noProof/>
          <w:sz w:val="24"/>
          <w:szCs w:val="24"/>
        </w:rPr>
      </w:pPr>
      <w:r>
        <w:rPr>
          <w:rFonts w:ascii="Times New Roman" w:hAnsi="Times New Roman"/>
          <w:noProof/>
        </w:rPr>
        <w:t>Economía azul</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Creó un grupo de trabajo sobre economía azul en febrero de 2018; y llevó a cabo un análisis DAFO (debilidades, amenazas, puntos fuertes y oportunidades) para todos los sectores de la economía azul a fin de allanar el camino para la Estrategia de economía azul prevista para el primer semestre de 2020.</w:t>
      </w:r>
    </w:p>
    <w:p>
      <w:pPr>
        <w:spacing w:after="120" w:line="240" w:lineRule="auto"/>
        <w:jc w:val="both"/>
        <w:rPr>
          <w:rFonts w:ascii="Times New Roman" w:hAnsi="Times New Roman" w:cs="Times New Roman"/>
          <w:noProof/>
          <w:sz w:val="24"/>
          <w:szCs w:val="24"/>
        </w:rPr>
      </w:pPr>
      <w:r>
        <w:rPr>
          <w:rFonts w:ascii="Times New Roman" w:hAnsi="Times New Roman"/>
          <w:noProof/>
        </w:rPr>
        <w:t>Agricultura y desarrollo rural</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Puso en práctica una estrategia para diferenciar los productos según su calidad con el objetivo de aumentar el consumo, promover la producción ecológica y facilitar los contactos entre el sector agroalimentario y la administración.</w:t>
      </w:r>
    </w:p>
    <w:p>
      <w:pPr>
        <w:spacing w:after="120" w:line="240" w:lineRule="auto"/>
        <w:jc w:val="both"/>
        <w:rPr>
          <w:rFonts w:ascii="Times New Roman" w:hAnsi="Times New Roman" w:cs="Times New Roman"/>
          <w:noProof/>
          <w:sz w:val="24"/>
          <w:szCs w:val="24"/>
        </w:rPr>
      </w:pPr>
      <w:r>
        <w:rPr>
          <w:rFonts w:ascii="Times New Roman" w:hAnsi="Times New Roman"/>
          <w:noProof/>
        </w:rPr>
        <w:t>Economía circular</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Puso en marcha un proyecto para una planta de biogás en 2017, con el apoyo del Fondo Europeo de Desarrollo Regional, para valorizar los residuos ganaderos.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En noviembre de 2018 de 2018, cooperó en la creación de un grupo de trabajo sobre residuos que facilita la comunicación entre las partes interesadas a todos los niveles (europeo, nacional, regional y local) y en la elaboración de un plan de acción para mejorar la gestión de residuos.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En febrero de 2018, creó un grupo de trabajo sobre economía circular que llevó a cabo un diagnóstico preliminar de la situación en las islas.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Adoptó directrices y recomendaciones para la reducción y el reciclado de residuos plásticos de un solo uso en agosto de 2018.</w:t>
      </w:r>
    </w:p>
    <w:p>
      <w:pPr>
        <w:pStyle w:val="ListParagraph"/>
        <w:numPr>
          <w:ilvl w:val="0"/>
          <w:numId w:val="29"/>
        </w:numPr>
        <w:spacing w:after="120" w:line="240" w:lineRule="auto"/>
        <w:ind w:left="720"/>
        <w:contextualSpacing w:val="0"/>
        <w:jc w:val="both"/>
        <w:rPr>
          <w:rFonts w:ascii="Times New Roman" w:hAnsi="Times New Roman"/>
          <w:noProof/>
          <w:sz w:val="24"/>
        </w:rPr>
      </w:pPr>
      <w:r>
        <w:rPr>
          <w:rFonts w:ascii="Times New Roman" w:hAnsi="Times New Roman"/>
          <w:noProof/>
        </w:rPr>
        <w:t>Aprobó la Estrategia Canaria sobre Plásticos en abril de 2019.</w:t>
      </w:r>
    </w:p>
    <w:p>
      <w:pPr>
        <w:spacing w:after="120" w:line="240" w:lineRule="auto"/>
        <w:jc w:val="both"/>
        <w:rPr>
          <w:rFonts w:ascii="Times New Roman" w:hAnsi="Times New Roman" w:cs="Times New Roman"/>
          <w:noProof/>
          <w:sz w:val="24"/>
          <w:szCs w:val="24"/>
        </w:rPr>
      </w:pPr>
      <w:r>
        <w:rPr>
          <w:rFonts w:ascii="Times New Roman" w:hAnsi="Times New Roman"/>
          <w:noProof/>
        </w:rPr>
        <w:t>Cambio climático</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Puso en marcha el Observatorio Canario del Cambio Climático , un organismo de consulta, participación y desarrollo de acciones (julio de 2018).</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Está actualizando la Estrategia regional sobre el cambio climático.</w:t>
      </w:r>
    </w:p>
    <w:p>
      <w:pPr>
        <w:spacing w:after="120" w:line="240" w:lineRule="auto"/>
        <w:jc w:val="both"/>
        <w:rPr>
          <w:rFonts w:ascii="Times New Roman" w:hAnsi="Times New Roman" w:cs="Times New Roman"/>
          <w:noProof/>
          <w:sz w:val="24"/>
          <w:szCs w:val="24"/>
        </w:rPr>
      </w:pPr>
      <w:r>
        <w:rPr>
          <w:rFonts w:ascii="Times New Roman" w:hAnsi="Times New Roman"/>
          <w:noProof/>
        </w:rPr>
        <w:t>Energía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Participó en la iniciativa «Energía limpia para las islas de la UE» y organizó el segundo Foro de «Energía Limpia para las islas de la UE» en Lanzarote en noviembre de 2018; La Palma está llevando a cabo un proyecto piloto en el marco de esta iniciativa.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Instaló dos prototipos innovadores en 2019 para el uso de energía eólica marina en la plataforma PLOCAN.</w:t>
      </w:r>
    </w:p>
    <w:p>
      <w:pPr>
        <w:spacing w:after="120" w:line="240" w:lineRule="auto"/>
        <w:jc w:val="both"/>
        <w:rPr>
          <w:rFonts w:ascii="Times New Roman" w:hAnsi="Times New Roman" w:cs="Times New Roman"/>
          <w:noProof/>
          <w:sz w:val="24"/>
          <w:szCs w:val="24"/>
        </w:rPr>
      </w:pPr>
      <w:r>
        <w:rPr>
          <w:rFonts w:ascii="Times New Roman" w:hAnsi="Times New Roman"/>
          <w:noProof/>
        </w:rPr>
        <w:t>Investigación e innovación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Dirige el proyecto de investigación de la UE FORWARD, cuyo objetivo es mejorar la participación de todas las regiones ultraperiféricas en las redes y los programas de investigación internacionales.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Relanzó el proyecto RIS3-Net2 en octubre de 2019 (en calidad de jefe de proyecto) en el marco del programa Interreg Madeira-Azores-Canarias (MAC) para definir un marco común para las estrategias de RIS3 transregionales.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 xml:space="preserve">Participa en el proyecto SOCLIMPACT, que tiene como objetivo la modelización de los efectos del cambio climático y su impacto socioeconómico en las islas europeas en </w:t>
      </w:r>
      <w:r>
        <w:rPr>
          <w:rFonts w:ascii="Times New Roman" w:hAnsi="Times New Roman"/>
          <w:noProof/>
          <w:color w:val="333333"/>
        </w:rPr>
        <w:t>el contexto de los sectores de la economía azul</w:t>
      </w:r>
      <w:r>
        <w:rPr>
          <w:rFonts w:ascii="Times New Roman" w:hAnsi="Times New Roman"/>
          <w:noProof/>
        </w:rPr>
        <w: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Participa en el proyecto REACT, apoyado por Horizonte 2020, para descarbonizar los sistemas energéticos de las islas.</w:t>
      </w:r>
    </w:p>
    <w:p>
      <w:pPr>
        <w:spacing w:after="120" w:line="240" w:lineRule="auto"/>
        <w:jc w:val="both"/>
        <w:rPr>
          <w:rFonts w:ascii="Times New Roman" w:hAnsi="Times New Roman" w:cs="Times New Roman"/>
          <w:noProof/>
          <w:sz w:val="24"/>
          <w:szCs w:val="24"/>
        </w:rPr>
      </w:pPr>
      <w:r>
        <w:rPr>
          <w:rFonts w:ascii="Times New Roman" w:hAnsi="Times New Roman"/>
          <w:noProof/>
        </w:rPr>
        <w:t>Empleo, educación y formación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 xml:space="preserve">Dirige el proyecto GROW RUP, cofinanciado por Interreg Europa desde enero de 2017, cuyo objetivo es luchar contra el desempleo de larga duración en el ámbito de las economías verde y azul. </w:t>
      </w:r>
    </w:p>
    <w:p>
      <w:pPr>
        <w:spacing w:after="120" w:line="240" w:lineRule="auto"/>
        <w:jc w:val="both"/>
        <w:rPr>
          <w:rFonts w:ascii="Times New Roman" w:hAnsi="Times New Roman" w:cs="Times New Roman"/>
          <w:noProof/>
          <w:sz w:val="24"/>
          <w:szCs w:val="24"/>
        </w:rPr>
      </w:pPr>
      <w:r>
        <w:rPr>
          <w:rFonts w:ascii="Times New Roman" w:hAnsi="Times New Roman"/>
          <w:noProof/>
        </w:rPr>
        <w:t>Competitividad, emprendimiento y mercado único</w:t>
      </w:r>
    </w:p>
    <w:p>
      <w:pPr>
        <w:pStyle w:val="ListParagraph"/>
        <w:numPr>
          <w:ilvl w:val="0"/>
          <w:numId w:val="29"/>
        </w:numPr>
        <w:spacing w:after="120" w:line="240" w:lineRule="auto"/>
        <w:ind w:left="720"/>
        <w:contextualSpacing w:val="0"/>
        <w:jc w:val="both"/>
        <w:rPr>
          <w:noProof/>
        </w:rPr>
      </w:pPr>
      <w:r>
        <w:rPr>
          <w:rFonts w:ascii="Times New Roman" w:hAnsi="Times New Roman"/>
          <w:noProof/>
        </w:rPr>
        <w:t>Puso en marcha una estrategia operativa para la internacionalización de la economía de Canarias en enero de 2018, con el objetivo de mejorar la competitividad de las empresas y el espíritu empresarial.</w:t>
      </w:r>
    </w:p>
    <w:p>
      <w:pPr>
        <w:spacing w:after="120" w:line="240" w:lineRule="auto"/>
        <w:jc w:val="both"/>
        <w:rPr>
          <w:rFonts w:ascii="Times New Roman" w:hAnsi="Times New Roman" w:cs="Times New Roman"/>
          <w:noProof/>
          <w:sz w:val="24"/>
          <w:szCs w:val="24"/>
        </w:rPr>
      </w:pPr>
      <w:r>
        <w:rPr>
          <w:rFonts w:ascii="Times New Roman" w:hAnsi="Times New Roman"/>
          <w:noProof/>
        </w:rPr>
        <w:t>Accesibilidad digital</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Estableció dos convocatorias de propuestas para apoyar el despliegue de infraestructuras de banda ancha de alta velocidad (en 2018 y 2019).</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Apoyó a las organizaciones para impartir formación sobre competencias digitales, con un total de 71 proyectos (entre 2017 y 2019).</w:t>
      </w:r>
    </w:p>
    <w:p>
      <w:pPr>
        <w:spacing w:after="120" w:line="240" w:lineRule="auto"/>
        <w:jc w:val="both"/>
        <w:rPr>
          <w:rFonts w:ascii="Times New Roman" w:hAnsi="Times New Roman" w:cs="Times New Roman"/>
          <w:noProof/>
          <w:sz w:val="24"/>
          <w:szCs w:val="24"/>
        </w:rPr>
      </w:pPr>
      <w:r>
        <w:rPr>
          <w:rFonts w:ascii="Times New Roman" w:hAnsi="Times New Roman"/>
          <w:noProof/>
        </w:rPr>
        <w:t>Cooperación con los vecinos y más allá</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Dirige los proyectos Interreg MAC HEXAGONE con Madeira y Azores para impulsar la cooperación con los países vecinos de Mauritania, Senegal y Cabo Verde mediante el refuerzo de la coordinación entre el Fondo Europeo de Desarrollo Regional y los programas del Fondo Europeo de Desarrollo en la zona (finaliza en diciembre de 2022).</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rPr>
        <w:t>Ejecutó el proyecto Interreg VALCONMAC, que se centra en la protección y el desarrollo de los hábitats forestales en los archipiélagos macaronésicos del Atlántico.</w:t>
      </w:r>
    </w:p>
    <w:p>
      <w:pPr>
        <w:spacing w:after="120" w:line="240" w:lineRule="auto"/>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7348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Ley n.º 2017-256 de 28 de febrero de 2017.</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Ley n.º 2018-771 de 5 de septiembre de 2018.</w:t>
      </w:r>
    </w:p>
  </w:footnote>
  <w:footnote w:id="4">
    <w:p>
      <w:pPr>
        <w:pStyle w:val="FootnoteText"/>
      </w:pPr>
      <w:r>
        <w:rPr>
          <w:rStyle w:val="FootnoteReference"/>
        </w:rPr>
        <w:footnoteRef/>
      </w:r>
      <w:r>
        <w:t xml:space="preserve"> </w:t>
      </w:r>
      <w:hyperlink r:id="rId1" w:history="1">
        <w:r>
          <w:rPr>
            <w:rStyle w:val="Hyperlink1"/>
            <w:rFonts w:ascii="Times New Roman" w:hAnsi="Times New Roman"/>
          </w:rPr>
          <w:t>www.transitionenergetiquemartinique.mq</w:t>
        </w:r>
      </w:hyperlink>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https://eeagrants.org/about-us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4F"/>
    <w:multiLevelType w:val="hybridMultilevel"/>
    <w:tmpl w:val="D55C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4F7F5C"/>
    <w:multiLevelType w:val="hybridMultilevel"/>
    <w:tmpl w:val="8738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280F"/>
    <w:multiLevelType w:val="hybridMultilevel"/>
    <w:tmpl w:val="109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15AB"/>
    <w:multiLevelType w:val="hybridMultilevel"/>
    <w:tmpl w:val="F58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67B73"/>
    <w:multiLevelType w:val="hybridMultilevel"/>
    <w:tmpl w:val="6FAA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7EDF"/>
    <w:multiLevelType w:val="hybridMultilevel"/>
    <w:tmpl w:val="08E6B1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E3B21A9"/>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F877E5"/>
    <w:multiLevelType w:val="hybridMultilevel"/>
    <w:tmpl w:val="9B545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F130E3"/>
    <w:multiLevelType w:val="hybridMultilevel"/>
    <w:tmpl w:val="86B2C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1C7928"/>
    <w:multiLevelType w:val="hybridMultilevel"/>
    <w:tmpl w:val="A7D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985"/>
    <w:multiLevelType w:val="hybridMultilevel"/>
    <w:tmpl w:val="FA60D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7E56F6"/>
    <w:multiLevelType w:val="hybridMultilevel"/>
    <w:tmpl w:val="A34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C0C91"/>
    <w:multiLevelType w:val="hybridMultilevel"/>
    <w:tmpl w:val="833AB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8425A3"/>
    <w:multiLevelType w:val="hybridMultilevel"/>
    <w:tmpl w:val="51720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91368C"/>
    <w:multiLevelType w:val="hybridMultilevel"/>
    <w:tmpl w:val="58E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74D17"/>
    <w:multiLevelType w:val="hybridMultilevel"/>
    <w:tmpl w:val="552CC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F41101"/>
    <w:multiLevelType w:val="hybridMultilevel"/>
    <w:tmpl w:val="F77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962E7"/>
    <w:multiLevelType w:val="hybridMultilevel"/>
    <w:tmpl w:val="229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77DA1"/>
    <w:multiLevelType w:val="hybridMultilevel"/>
    <w:tmpl w:val="A386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C37B9F"/>
    <w:multiLevelType w:val="hybridMultilevel"/>
    <w:tmpl w:val="C7A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22FFC"/>
    <w:multiLevelType w:val="hybridMultilevel"/>
    <w:tmpl w:val="22A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14DC9"/>
    <w:multiLevelType w:val="hybridMultilevel"/>
    <w:tmpl w:val="A942C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DB439AD"/>
    <w:multiLevelType w:val="hybridMultilevel"/>
    <w:tmpl w:val="A0A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75"/>
    <w:multiLevelType w:val="hybridMultilevel"/>
    <w:tmpl w:val="65DC1F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F762128"/>
    <w:multiLevelType w:val="hybridMultilevel"/>
    <w:tmpl w:val="1F067638"/>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25BED"/>
    <w:multiLevelType w:val="hybridMultilevel"/>
    <w:tmpl w:val="9462F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9B4B1E"/>
    <w:multiLevelType w:val="hybridMultilevel"/>
    <w:tmpl w:val="1D86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634BE"/>
    <w:multiLevelType w:val="hybridMultilevel"/>
    <w:tmpl w:val="33C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D92C1C"/>
    <w:multiLevelType w:val="hybridMultilevel"/>
    <w:tmpl w:val="ED7A2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576225B0"/>
    <w:multiLevelType w:val="hybridMultilevel"/>
    <w:tmpl w:val="F66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232B6"/>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8E1906"/>
    <w:multiLevelType w:val="hybridMultilevel"/>
    <w:tmpl w:val="EF24F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93E756C"/>
    <w:multiLevelType w:val="hybridMultilevel"/>
    <w:tmpl w:val="15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2B3A3F"/>
    <w:multiLevelType w:val="hybridMultilevel"/>
    <w:tmpl w:val="690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56628"/>
    <w:multiLevelType w:val="hybridMultilevel"/>
    <w:tmpl w:val="CE8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25D2C"/>
    <w:multiLevelType w:val="hybridMultilevel"/>
    <w:tmpl w:val="4120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C5497"/>
    <w:multiLevelType w:val="hybridMultilevel"/>
    <w:tmpl w:val="219EFEBC"/>
    <w:lvl w:ilvl="0" w:tplc="3D065BBA">
      <w:start w:val="1"/>
      <w:numFmt w:val="bullet"/>
      <w:lvlText w:val=""/>
      <w:lvlJc w:val="left"/>
      <w:pPr>
        <w:ind w:left="720" w:hanging="360"/>
      </w:pPr>
      <w:rPr>
        <w:rFonts w:ascii="Symbol" w:hAnsi="Symbol"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6BE332DF"/>
    <w:multiLevelType w:val="hybridMultilevel"/>
    <w:tmpl w:val="99E2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93E24"/>
    <w:multiLevelType w:val="hybridMultilevel"/>
    <w:tmpl w:val="BCA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7"/>
  </w:num>
  <w:num w:numId="4">
    <w:abstractNumId w:val="30"/>
  </w:num>
  <w:num w:numId="5">
    <w:abstractNumId w:val="24"/>
  </w:num>
  <w:num w:numId="6">
    <w:abstractNumId w:val="21"/>
  </w:num>
  <w:num w:numId="7">
    <w:abstractNumId w:val="35"/>
  </w:num>
  <w:num w:numId="8">
    <w:abstractNumId w:val="32"/>
  </w:num>
  <w:num w:numId="9">
    <w:abstractNumId w:val="28"/>
  </w:num>
  <w:num w:numId="10">
    <w:abstractNumId w:val="0"/>
  </w:num>
  <w:num w:numId="11">
    <w:abstractNumId w:val="25"/>
  </w:num>
  <w:num w:numId="12">
    <w:abstractNumId w:val="34"/>
  </w:num>
  <w:num w:numId="13">
    <w:abstractNumId w:val="26"/>
  </w:num>
  <w:num w:numId="14">
    <w:abstractNumId w:val="13"/>
  </w:num>
  <w:num w:numId="15">
    <w:abstractNumId w:val="3"/>
  </w:num>
  <w:num w:numId="16">
    <w:abstractNumId w:val="19"/>
  </w:num>
  <w:num w:numId="17">
    <w:abstractNumId w:val="17"/>
  </w:num>
  <w:num w:numId="18">
    <w:abstractNumId w:val="38"/>
  </w:num>
  <w:num w:numId="19">
    <w:abstractNumId w:val="29"/>
  </w:num>
  <w:num w:numId="20">
    <w:abstractNumId w:val="14"/>
  </w:num>
  <w:num w:numId="21">
    <w:abstractNumId w:val="4"/>
  </w:num>
  <w:num w:numId="22">
    <w:abstractNumId w:val="1"/>
  </w:num>
  <w:num w:numId="23">
    <w:abstractNumId w:val="16"/>
  </w:num>
  <w:num w:numId="24">
    <w:abstractNumId w:val="9"/>
  </w:num>
  <w:num w:numId="25">
    <w:abstractNumId w:val="11"/>
  </w:num>
  <w:num w:numId="26">
    <w:abstractNumId w:val="2"/>
  </w:num>
  <w:num w:numId="27">
    <w:abstractNumId w:val="33"/>
  </w:num>
  <w:num w:numId="28">
    <w:abstractNumId w:val="23"/>
  </w:num>
  <w:num w:numId="29">
    <w:abstractNumId w:val="5"/>
  </w:num>
  <w:num w:numId="30">
    <w:abstractNumId w:val="8"/>
  </w:num>
  <w:num w:numId="31">
    <w:abstractNumId w:val="23"/>
  </w:num>
  <w:num w:numId="32">
    <w:abstractNumId w:val="18"/>
  </w:num>
  <w:num w:numId="33">
    <w:abstractNumId w:val="36"/>
  </w:num>
  <w:num w:numId="34">
    <w:abstractNumId w:val="7"/>
  </w:num>
  <w:num w:numId="35">
    <w:abstractNumId w:val="6"/>
  </w:num>
  <w:num w:numId="36">
    <w:abstractNumId w:val="15"/>
  </w:num>
  <w:num w:numId="37">
    <w:abstractNumId w:val="12"/>
  </w:num>
  <w:num w:numId="38">
    <w:abstractNumId w:val="22"/>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s-ES" w:vendorID="64" w:dllVersion="131078" w:nlCheck="1" w:checkStyle="0"/>
  <w:revisionView w:markup="0"/>
  <w:defaultTabStop w:val="720"/>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
    <w:docVar w:name="LW_ANNEX_NBR_FIRST" w:val="1"/>
    <w:docVar w:name="LW_ANNEX_NBR_LAST" w:val="1"/>
    <w:docVar w:name="LW_ANNEX_UNIQUE" w:val="1"/>
    <w:docVar w:name="LW_CORRIGENDUM" w:val="&lt;UNUSED&gt;"/>
    <w:docVar w:name="LW_COVERPAGE_EXISTS" w:val="True"/>
    <w:docVar w:name="LW_COVERPAGE_GUID" w:val="3E7B996C-1CC8-44FD-ADFC-814BC1790E3F"/>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sobre la aplicación de la Comunicación de la Comisión relativa a una asociación estratégica renovada y más fuerte con las regiones ultraperiféricas de la Unión Europea"/>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INFORME DE LA COMISIÓN AL PARLAMENTO EUROPEO, AL CONSEJO, AL COMITÉ ECONÓMICO Y SOCIAL EUROPEO, AL COMITÉ DE LAS REGIONES Y AL BANCO EUROPEO DE INVERSION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es-ES"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es-ES"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es-ES"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es-ES"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es-ES"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es-ES"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es-ES"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es-ES"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es-ES"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es-ES"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es-ES"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es-ES"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929">
      <w:bodyDiv w:val="1"/>
      <w:marLeft w:val="0"/>
      <w:marRight w:val="0"/>
      <w:marTop w:val="0"/>
      <w:marBottom w:val="0"/>
      <w:divBdr>
        <w:top w:val="none" w:sz="0" w:space="0" w:color="auto"/>
        <w:left w:val="none" w:sz="0" w:space="0" w:color="auto"/>
        <w:bottom w:val="none" w:sz="0" w:space="0" w:color="auto"/>
        <w:right w:val="none" w:sz="0" w:space="0" w:color="auto"/>
      </w:divBdr>
    </w:div>
    <w:div w:id="1996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erati.com/topics/electric-vehic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Antillas_Menor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ansitionenergetiquemartinique.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AF16-3DAE-4EE3-8914-6C135837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6939</Words>
  <Characters>37753</Characters>
  <Application>Microsoft Office Word</Application>
  <DocSecurity>0</DocSecurity>
  <Lines>712</Lines>
  <Paragraphs>410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VERSTEVEN Els (REGIO)</dc:creator>
  <cp:lastModifiedBy>WES PDFC Administrator</cp:lastModifiedBy>
  <cp:revision>10</cp:revision>
  <cp:lastPrinted>2019-12-11T11:15:00Z</cp:lastPrinted>
  <dcterms:created xsi:type="dcterms:W3CDTF">2020-02-28T16:13:00Z</dcterms:created>
  <dcterms:modified xsi:type="dcterms:W3CDTF">2020-03-17T11:37:00Z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First annex">
    <vt:lpwstr>1</vt:lpwstr>
  </property>
  <property fmtid="{D5CDD505-2E9C-101B-9397-08002B2CF9AE}" pid="10" name="Last annex">
    <vt:lpwstr>1</vt:lpwstr>
  </property>
  <property fmtid="{D5CDD505-2E9C-101B-9397-08002B2CF9AE}" pid="11" name="Unique annex">
    <vt:lpwstr>1</vt:lpwstr>
  </property>
</Properties>
</file>