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8C3FEFE8-D7A1-4FC6-BC72-2C29B13A2403" style="width:450.2pt;height:407.7pt">
            <v:imagedata r:id="rId9" o:title=""/>
          </v:shape>
        </w:pict>
      </w:r>
    </w:p>
    <w:bookmarkEnd w:id="0"/>
    <w:p>
      <w:pPr>
        <w:spacing w:after="120" w:line="240" w:lineRule="auto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OCHeading"/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  <w:bookmarkStart w:id="1" w:name="_GoBack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US"/>
        </w:rPr>
        <w:id w:val="-743801306"/>
        <w:docPartObj>
          <w:docPartGallery w:val="Table of Contents"/>
          <w:docPartUnique/>
        </w:docPartObj>
      </w:sdtPr>
      <w:sdtContent>
        <w:p>
          <w:pPr>
            <w:pStyle w:val="TOCHeading"/>
            <w:spacing w:before="0" w:after="120" w:line="240" w:lineRule="auto"/>
            <w:rPr>
              <w:noProof/>
            </w:rPr>
          </w:pPr>
          <w:r>
            <w:rPr>
              <w:noProof/>
            </w:rPr>
            <w:t>Obsah</w:t>
          </w:r>
        </w:p>
        <w:p>
          <w:pPr>
            <w:spacing w:after="120" w:line="240" w:lineRule="auto"/>
            <w:rPr>
              <w:noProof/>
            </w:rPr>
          </w:pPr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34904036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Francie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37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Guadeloupe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38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Francouzská Guyana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39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Martinik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40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Réunion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41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Svatý Martin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42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Mayotte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43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8.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Portugalsko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44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9.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Azory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45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10.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Madeira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46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11.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Španělsko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eastAsiaTheme="minorEastAsia"/>
              <w:noProof/>
              <w:lang w:val="en-US"/>
            </w:rPr>
          </w:pPr>
          <w:hyperlink w:anchor="_Toc34904047" w:history="1">
            <w:r>
              <w:rPr>
                <w:rStyle w:val="Hyperlink"/>
                <w:rFonts w:ascii="Times New Roman" w:hAnsi="Times New Roman" w:cs="Times New Roman"/>
                <w:b/>
                <w:noProof/>
              </w:rPr>
              <w:t>12.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Style w:val="Hyperlink"/>
                <w:rFonts w:ascii="Times New Roman" w:hAnsi="Times New Roman"/>
                <w:b/>
                <w:noProof/>
              </w:rPr>
              <w:t>Kanárské ostrovy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_Toc34904047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_Toc34904036"/>
      <w:r>
        <w:rPr>
          <w:rFonts w:ascii="Times New Roman" w:hAnsi="Times New Roman"/>
          <w:b/>
          <w:noProof/>
        </w:rPr>
        <w:lastRenderedPageBreak/>
        <w:t>Francie</w:t>
      </w:r>
      <w:bookmarkEnd w:id="2"/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Vzhledem ke své institucionální organizaci stanoví Francie strategické rámce pro veřejné politiky v mnoha odvětvích, na něž se sdělení o nejvzdálenějších regionech vztahuje, a to na vnitrostátní a místní úrovni. </w:t>
      </w:r>
    </w:p>
    <w:p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 konzultacích, které proběhly v roce 2017, přijala v červnu 2018 modrou knihu pro nejvzdálenější regiony a zámořské země a území Francie.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dubnu 2019 zahájila trajektorii „Overseas 5.0“ s cílem dosáhnout nulové uhlíkové stopy, nulového odpadu, nulových zemědělských znečišťujících látek, nulového vyloučení a nulové zranitelnosti. </w:t>
      </w:r>
    </w:p>
    <w:p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Zlepšuje shromažďování údajů v nejvzdálenějších regionech, zejména na ostrově Mayotte, a spolupracuje s orgány na Svatém Martinu s cílem uspokojit konkrétní potřeby daného území.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Modrá ekonomika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rámci provádění národní strategie pro moře a pobřeží z roku 2017 na podporu „modrého růstu“ a ochrany mořského prostředí spolupracuje s regiony a místními zúčastněnými stranami na tom, aby byl do roku 2020 dokončen strategický dokument pro jednotlivé mořské oblasti. 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Biologická rozmanitost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červenci 2018 přijala akční plán na podporu zachování biologické rozmanitosti.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Uspořádá Mezinárodní kongres ochrany přírody v Marseille (červen 2020), který přispěje k rozvoji spolupráce s africkými, karibskými a tichomořskými regiony za účelem prosazování společných cílů v rámci mezinárodních dohod o otázkách, jako je zachování korálových útesů.    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Plánuje umístění zástupců francouzského úřadu pro biologickou rozmanitost v nejvzdálenějších francouzských regionech, kteří budou spolupracovat s místními vládními organizacemi zabývajícími se biologickou rozmanitostí.  </w:t>
      </w:r>
    </w:p>
    <w:p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dubnu 2019 zřídila národní službu pověřenou hospodářskými projekty zaměřenými na prosazování biologické rozmanitosti ve Francouzské Guyaně.  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Zemědělství a rozvoj venkova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Na příští programové období 2021–2027 zavádí investiční fond na řízení rizik v zemědělství podle plánovaných ustanovení zákona o skutečné rovnosti v zámoří</w:t>
      </w:r>
      <w:r>
        <w:rPr>
          <w:rFonts w:ascii="Times New Roman" w:hAnsi="Times New Roman" w:cs="Times New Roman"/>
          <w:noProof/>
          <w:vertAlign w:val="superscript"/>
        </w:rPr>
        <w:footnoteReference w:id="2"/>
      </w:r>
      <w:r>
        <w:rPr>
          <w:rFonts w:ascii="Times New Roman" w:hAnsi="Times New Roman"/>
          <w:noProof/>
        </w:rPr>
        <w:t xml:space="preserve">.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Projednává s pojistiteli nástroje řízení rizik, které by do konce současného programového období pokryly zejména banánovou úrodu.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Změna klimatu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Přijala druhý národní plán přizpůsobování se změně klimatu (prosinec 2018), v němž byly identifikovány výzvy v zámořských územích, zejména v oblasti shromažďování údajů, biologické rozmanitosti a zachování přírodních zdrojů, cestovního ruchu a finančních pák.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dubnu 2019 jmenovala meziútvarového zástupce pro závažná rizika v zámořských územích.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Zaměstnanost, vzdělávání a odborná příprava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červnu 2019 provedla a zveřejnila studii o mobilitě mladých obyvatel zámořských území mapující hlavní aktéry a programy mobility.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Podle ustanovení zákona o svobodné volbě budoucího povolání zavedla možnost uzavření pracovních smluv umožňujících získání odborných kvalifikací se státy v sousedství nejvzdálenějších regionů</w:t>
      </w:r>
      <w:r>
        <w:rPr>
          <w:rFonts w:ascii="Times New Roman" w:hAnsi="Times New Roman" w:cs="Times New Roman"/>
          <w:noProof/>
          <w:szCs w:val="16"/>
          <w:vertAlign w:val="superscript"/>
        </w:rPr>
        <w:footnoteReference w:id="3"/>
      </w:r>
      <w:r>
        <w:rPr>
          <w:rFonts w:ascii="Times New Roman" w:hAnsi="Times New Roman"/>
          <w:noProof/>
        </w:rPr>
        <w:t>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Spolupracuje s místními orgány na Guadeloupu, Martiniku, ve Francouzské Guyaně, na ostrově Mayotte a na Réunionu na revizích jejich víceletých energetických plánů. 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Podepsala smlouvu o ekologickém přechodu na podporu ekologické transformace na místní úrovni na Réunionu (duben 2019) a ve Francouzské Guyaně (červenec 2019).   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roce 2019 naplánovala na příštích pět let částku 530 milionů EUR pro všechny francouzské oblasti, které nejsou propojené s kontinentální elektroenergetickou rozvodnou sítí, s cílem regulovat poptávku po energii: 35 % z této částky je určeno spotřebitelům v problematických situacích, a to i v nejvzdálenějších regionech. 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únoru 2020 provedla studii o optimalizaci evropských fondů pro projekty nakládání s odpady ve prospěch oběhového hospodářství v nejvzdálenějších regionech. 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Konkurenceschopnost, podnikání a jednotný trh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Snížila prahové hodnoty pro inovační projekty v nejvzdálenějších regionech s cílem umožnit přístup k vnitrostátní finanční podpoře;  rozšířila zvláštní úvěr pro nejvzdálenější regiony na společnosti mladší tří let a zlepšila jeho finanční podmínky (červen 2019). 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prvním čtvrtletí roku 2020 plánuje vyhlásit výzvu k vyjádření zájmu ve výši 15 milionů EUR určenou na inovace v nejvzdálenějších francouzských regionech a zámořských zemích a územích.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Digitální dostupnost</w:t>
      </w:r>
    </w:p>
    <w:p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Financovala patnáct vzdělávacích středisek ve svých nejvzdálenějších regionech s cílem zlepšit digitální dovednosti.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sousedícími a dalšími zeměmi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Přijala zákon o posílení prostředků, které mohou státní služby použít v oblasti kontroly přistěhovalectví a poskytování azylu (září 2018); v dubnu 2018 zahájila pilotní projekt týkající se vyřizování žádostí o azyl ve Francouzské Guyaně. </w:t>
      </w:r>
    </w:p>
    <w:p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Zřídila operační ústředí na ostrově Mayotte a meziútvarovou vyšetřovací skupinu, která se specializuje na finanční aspekty nedovoleného přistěhovalectví.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3" w:name="_Toc34904037"/>
      <w:r>
        <w:rPr>
          <w:rFonts w:ascii="Times New Roman" w:hAnsi="Times New Roman"/>
          <w:b/>
          <w:noProof/>
        </w:rPr>
        <w:t>Guadeloupe</w:t>
      </w:r>
      <w:bookmarkEnd w:id="3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Guadeloupe pokračuje v provádění sdělení o nejvzdálenějších regionech se zaměřením na energii z obnovitelných zdrojů a energetickou účinnost.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Modrá ekonomika</w:t>
      </w:r>
    </w:p>
    <w:p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květnu 2019 slavnostně otevřel dok pro stavbu lodí na ostrově Marie-Galante, který má poskytovat odbornou přípravu v souvislosti s místním know-how a podporovat udržitelný rybolov. </w:t>
      </w:r>
    </w:p>
    <w:p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Vedl pilotní projekt ORFISH (2017–2019), který podpořil sdílení poznatků o metodách rybolovu s nízkým dopadem mezi rybáři ze všech nejvzdálenějších regionů a snažil se zmírnit tlak na pobřežní rybolovné zdroje (z 90 % spolufinancovaný ze strany EU). 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Zemědělství</w:t>
      </w:r>
    </w:p>
    <w:p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roce 2019 zahájil projekt na propagaci a prodej lihovin a zemědělsko-potravinářských výrobků ve Spojených státech ve spolupráci se společnostmi z tohoto odvětví, s agenturou Business France a s francouzským ministerstvem pro zámořská území. 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Biologická rozmanitost</w:t>
      </w:r>
    </w:p>
    <w:p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Zřizuje regionální agenturu pro biologickou rozmanitost.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říjnu 2018 zahájil regionální plán „Nulový odpad do roku 2035“ s cílem snížit množství odpadu na jednoho obyvatele a energetickou závislost a vytvořit osm míst sběru odpadů.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Poskytl místním společnostem podporu z Evropského fondu pro regionální rozvoj v oblasti zpracování kovových odpadů a vozidel poškozených v důsledku hurikánů Irma a Maria.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červnu 2018 byl slavnostně zahájen provoz solárních dobíjecích stanic s cílem podpořit využívání přebytku sluneční energie.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Zahájil projekt instalace fotovoltaiky ve středisku nakládání s odpady v obci Sainte Rose (březen 2019) s cílem snížit emise a zlepšit energetickou účinnost.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V únoru 2019 vybudoval novou elektrárnu pro městské veřejné osvětlení, která by měla snížit spotřebu energie o 75 %; s podporou Evropského fondu pro regionální rozvoj vylepšil veřejné osvětlení ve dvou obcích.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Výzkum a inovace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Nainstaloval zařízení na záznam vln s cílem zlepšit předcházení závažným přírodním rizikům spojeným s mořem (březen 2019).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červnu 2018 bylo nainstalováno nové zařízení pro diagnostiku rakoviny a byl zahájen provoz prvního řídícího centra onkologické diagnostiky v Karibiku. 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Doprava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 cílem zlepšit propojení zahájil v únoru 2020 nové letecké spojení mezi městy Pointe-à-Pitre a New Yorkem.</w:t>
      </w:r>
    </w:p>
    <w:p>
      <w:pPr>
        <w:spacing w:after="8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sousedícími a dalšími zeměmi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2019 se stal členem Organizace východokaribských států.</w:t>
      </w:r>
    </w:p>
    <w:p>
      <w:pPr>
        <w:numPr>
          <w:ilvl w:val="0"/>
          <w:numId w:val="5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Zahájil projekt účinnější koordinace pomoci v případě přírodních katastrof v Karibiku („Ready Together“).</w:t>
      </w: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4" w:name="_Toc34904038"/>
      <w:r>
        <w:rPr>
          <w:rFonts w:ascii="Times New Roman" w:hAnsi="Times New Roman"/>
          <w:b/>
          <w:noProof/>
        </w:rPr>
        <w:t>Francouzská Guyana</w:t>
      </w:r>
      <w:bookmarkEnd w:id="4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Pokud jde o priority sdělení se zaměřením na vzdělávání a odbornou přípravu a trvale udržitelné využívání zdrojů, vykazuje Francouzská Guyana plynulý pokrok. Řada iniciativ je v současné době ve fázi plánování.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Modrá ekonomika</w:t>
      </w:r>
    </w:p>
    <w:p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prosinci 2019 vypracovala regionální strategii pro modrou ekonomiku. </w:t>
      </w:r>
    </w:p>
    <w:p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Vytvořila finanční nástroj ve formě půjčky ve výši 4,7 milionu EUR pro malé provozovatele, mimo jiné i v odvětví rybolovu.</w:t>
      </w:r>
    </w:p>
    <w:p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Projekt poradenských služeb vedený agenturou pro regionální rozvoj a místním orgánem pro tamní rybáře přeměnila na trvalou službu.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Zemědělství</w:t>
      </w:r>
    </w:p>
    <w:p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Dokončila studii a zahájila přípravu pilotního projektu v oblasti provádění pokusů v zemědělství zaměřeného na zřízení testovacích stanic pro lepší využívání organických zdrojů.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Biologická rozmanitost</w:t>
      </w:r>
    </w:p>
    <w:p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Zřizuje regionální agenturu pro biologickou rozmanitost.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 podporou Francouzské agentury pro životní prostředí a hospodaření s energií (ADEME) připravuje regionální plán předcházení vzniku odpadů a nakládání s nimi.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Buduje nová elektroenergetická zařízení založená na biomase, aby do roku 2023 pokryla poptávku po energii ve výši 40 megawattů a udržela krok s rostoucí poptávkou a demografickým růstem.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Výzkum a inovace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dubnu 2018 uspořádala fórum pro výzkum a inovace, na němž se setkaly zúčastněné strany z místních orgánů a z odvětví výzkumu a podnikání, aby přispěly k probíhajícímu přezkumu její strategie pro inteligentní specializaci.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Podepsala dohodu s francouzskými podnikatelskými klastry v odvětví parfémů a kosmetiky s cílem podpořit místní výzkum přírodních látek ve Francouzské Guyaně a vytvořit produkty založené na místních rostlinných zdrojích, včetně partnerství mezi univerzitními centry (listopad 2018).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Zaměstnanost, vzdělávání a odborná příprava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Uzavřela dohodu se vzdělávacími zařízeními v regionu, s asociací AFMAé (asociace pro letecký výcvik) a leteckou společností Ariane Group, s cílem připravit na rok 2020 bakalářský kurz v oblasti leteckého a kosmického průmyslu.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Zahájila projekt s francouzským svazem zaměstnavatelů MEDEF a národní agenturou práce Pôle emploi s cílem umístit v místních podnicích 300 mladých lidí (2019); zřídila kontaktní místo pro poskytování poradenství místním podnikům v oblasti profesního začlenění.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Digitální dostupnost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 podporou Evropského fondu pro regionální rozvoj a Evropské investiční banky připravuje položení podmořského kabelu spojujícího Francouzskou Guyanu s podmořským optickým kabelem EllaLink, který v roce 2020 propojí Evropu a Latinskou Ameriku a bude zprovozněn v roce 2021.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Připravuje opatření k tomu, aby se region zavedl jako zóna ekonomické aktivity zaměřené na uchovávání dat na serverech („datové středisko“).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Zavádí širokopásmové připojení v sedmnácti izolovaných oblastech; v dubnu 2019 zakoupila družicové širokopásmové připojení, aby usnadnila digitální propojení škol v odlehlých oblastech. 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 podporou Evropského fondu pro regionální rozvoj vytvořila 44 přístupových bodů k síti v obci Saint Laurent du Maroni (místa hospodářského zájmu a odlehlé oblasti).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Doprava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Pracuje na rozsáhlém projektu, jehož cílem je vybudovat v hlavním městě Cayenne jízdní pruhy vyhrazené pro veřejnou dopravu. 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 podporou programu Interreg zřizuje nové trajektové spojení mezi obcí Saint Laurent du Maroni a městem Albina v Surinamu.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sousedícími a dalšími zeměmi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Zahájila studii zaměřenou na posouzení potřeb místních podniků a přijala opatření na zlepšení kontaktů se sousedními zeměmi.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5" w:name="_Toc34904039"/>
      <w:r>
        <w:rPr>
          <w:rFonts w:ascii="Times New Roman" w:hAnsi="Times New Roman"/>
          <w:b/>
          <w:noProof/>
        </w:rPr>
        <w:t>Martinik</w:t>
      </w:r>
      <w:bookmarkEnd w:id="5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Provádění sdělení na Martiniku přináší výsledky v oblastech, jako jsou oběhové hospodářství, energetika, konkurenceschopnost, jakož i zaměstnanost, vzdělávání a odborná příprava.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Modrá ekonomika</w:t>
      </w:r>
    </w:p>
    <w:p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Na začátku roku 2020 naplánoval studii proveditelnosti o zřízení ústavu pro akvakulturu.</w:t>
      </w:r>
    </w:p>
    <w:p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Potvrdil zahájení nových programů odborné přípravy zaměřených na rybolov a na oblasti související s modrou ekonomikou prostřednictvím specializovaného střediska odborného vzdělávání (POLE MER).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Biologická rozmanitost</w:t>
      </w:r>
    </w:p>
    <w:p>
      <w:pPr>
        <w:numPr>
          <w:ilvl w:val="0"/>
          <w:numId w:val="9"/>
        </w:numPr>
        <w:spacing w:after="120" w:line="240" w:lineRule="auto"/>
        <w:ind w:left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červnu 2019 podepsal rámcovou dohodu mezi místním orgánem, přírodní rezervací a francouzskými orgány s cílem vytvořit regionální program ochrany a zlepšit znalosti a povědomí o přírodní rezervaci.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Zahájil veřejnou konzultaci a přijal (na konci roku 2019) plán předcházení vzniku odpadů a nakládání s nimi s cílem připravit půdu pro místní strategii pro oběhové hospodářství.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Inicioval informační kampaně proti plýtvání potravinami v místních školách s cílem zvýšit povědomí žáků o udržitelnosti.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roce 2018 zahájil v rámci týdne „ekospotřeby“ informační kampaň „Kaz zéro gaspi“.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Provádí čtrnáct projektů, včetně studií o opakovaném použití zdravotnických zařízení a nábytku, o zřízení mobilního zařízení nabízejícího opravy („Repair Truck“) a zavedení dílen nabízejících opravárenské služby („Repair Café“).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roce 2017 zahájil projekt na podporu instalace fotovoltaických panelů s cílem zlepšit energetickou soběstačnost a v roce 2019 vydal dvě výzvy k podávání návrhů na výstavbu energeticky účinných budov.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Zavádí energeticky účinnou síť veřejného osvětlení, díky které hodlá do roku 2020 ušetřit přinejmenším 30 % elektrické energie.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Zahájil pětiletý program na podporu úspor energie ve výši 100 milionů EUR a zaměřuje se přibližně na 60 opatření na úsporu elektrické energie (2019–2023).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2019 zřídil informační platformu</w:t>
      </w:r>
      <w:r>
        <w:rPr>
          <w:rFonts w:ascii="Times New Roman" w:eastAsia="Calibri" w:hAnsi="Times New Roman" w:cs="Times New Roman"/>
          <w:noProof/>
          <w:vertAlign w:val="superscript"/>
        </w:rPr>
        <w:footnoteReference w:id="4"/>
      </w:r>
      <w:r>
        <w:rPr>
          <w:rFonts w:ascii="Times New Roman" w:hAnsi="Times New Roman"/>
          <w:noProof/>
        </w:rPr>
        <w:t xml:space="preserve"> pro transformaci energetiky, která obsahuje rovněž informace o mobilitě, obnovitelných energiích, spotřebách v domácnostech a tepelné izolaci.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rámci projektu „Green Drive“ instaloval pro elektrická vozidla dobíjecí stanice, jejichž zdrojem je výhradně sluneční energie.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rámci projektu „Madin’ Drive“ plánuje postupně rozmístit 250 solárních dobíjecích stanic.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Zaměstnanost, vzdělávání a odborná příprava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březnu 2019 uspořádal soutěž pro učně v rámci odborné přípravy.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červnu 2019 uspořádal veletrh práce a vzdělávání na místní úrovni zaměřený na digitální nábor pracovníků.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Konkurenceschopnost, podnikání a jednotný trh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2017 přijal místní program pro hospodářský rozvoj, inovace a internacionalizaci, který poskytuje finanční prostředky na zlepšení výroby, výkonnosti a zaměstnatelnosti; založil partnerství pro poskytování informačních služeb podnikům.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roce 2018 začal pořádat každoročně třídenní podnikatelské fórum „OSE!“, jehož cílem je poskytnout zavedeným podnikům příležitost k navazování kontaktů a poradenství ohledně toho, jak začít s podnikáním.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Digitální dostupnost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S podporou Evropského zemědělského fondu pro rozvoj venkova instaluje optická vlákna, která propojí vzdělávací instituce, a s podporou Evropského fondu pro regionální rozvoj instaluje vysokorychlostní sítě z optického vlákna s širokopásmovým přístupem.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rámci fóra „OSE!“ 2019 vystavil „digitální vesnici“ s cílem podpořit šíření digitalizace – například 3D tisk – mezi místními podniky.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sousedícími a dalšími zeměmi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Uspořádal tři zasedání Rady ministrů Organizace východokaribských států v oblasti zdraví, vzdělávání a životního prostředí.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lednu 2018 zahájil projekt na posílení obchodu ve východokaribském regionu (TEECA), který má pomoci 30 místním podnikům při vývozu do karibských států.</w:t>
      </w:r>
    </w:p>
    <w:p>
      <w:pPr>
        <w:numPr>
          <w:ilvl w:val="0"/>
          <w:numId w:val="5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Spolupracoval jako partner na projektu Odyssea (únor 2019) v oblasti modré ekonomiky, který byl zaměřen na posílení modrého cestovního ruchu a růstu v Karibiku.</w:t>
      </w: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6" w:name="_Toc34904040"/>
      <w:r>
        <w:rPr>
          <w:rFonts w:ascii="Times New Roman" w:hAnsi="Times New Roman"/>
          <w:b/>
          <w:noProof/>
        </w:rPr>
        <w:t>Réunion</w:t>
      </w:r>
      <w:bookmarkEnd w:id="6"/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Réunion se zaměřuje na řadu odvětví uvedených ve sdělení, zejména na oběhové hospodářství a modrou ekonomiku, energetiku, výzkum a spolupráci se sousedními zeměmi.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Modrá ekonomika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rámci partnerství státu, Komise Indického oceánu a Evropské komise zahájil projekt územního plánování námořních prostor (2018–2020) v jihozápadní části Indického oceánu (OCEAN MÉTISS).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březnu 2019 zřídil „Modrý institut“ s cílem koordinovat a navrhovat veřejné politiky v oblasti modré ekonomiky.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Zemědělství a rozvoj venkova</w:t>
      </w:r>
    </w:p>
    <w:p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Buduje model zemědělství podporující místní produkci a zajišťující agroekologickou transformaci (projekt AGRIPEI 2030).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Biologická rozmanitost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letech 2018 a 2019 poskytl odbornou přípravu a podporu s cílem zřídit projekty financované EU z programů LIFE a BEST.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Společně s Evropským fondem pro regionální rozvoj uspořádal projekty na ochranu ohrožených druhů: motáka réunionského a rostlinných druhů (projekt ESPECES).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Vypracoval regionální plán předcházení vzniku odpadů a nakládáním s nimi za spolupráce státních a místních orgánů, přičemž byly stanoveny regionální cíle jako např. „nulový odpad“ a zajištěna koordinace.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Vypracoval regionální akční plán oběhového hospodářství s cílem definovat strategickou vizi a konkrétní opatření k dosažení cíle „nulového odpadu“.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Realizoval 22 projektů oběhového hospodářství (únor 2018 – červen 2019), od designu a životnosti výrobků až po recyklaci odpadů.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Účastní se projektu REPLACE (srpen 2019, financovaného z programu Interreg Europe), jehož cílem je definovat a provádět politiky oběhového hospodářství.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 spolupráce státu a Evropské komise zřídil v únoru 2018 pracovní skupinu pro transformaci energetiky.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 podporou Evropského fondu pro regionální rozvoj provádí dva projekty: </w:t>
      </w:r>
    </w:p>
    <w:p>
      <w:pPr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SOLARPLEXUS s cílem navrhnout inovativní systém, který bude odlehlým místům poskytovat přístup k elektřině, vodě a komunikačním službám, </w:t>
      </w:r>
    </w:p>
    <w:p>
      <w:pPr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MICRO-MAFATE NETWORK, experimentální elektroenergetickou rozvodnou mikrosíť v kráteru Mafate, jejímž cílem má být zajištění energetické soběstačnosti.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Od roku 2018 provádí tepelné renovace v osmnácti středních školách.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 podporou Evropského fondu pro regionální rozvoj vyvíjí udržitelná vozidla pro městskou mobilitu, jako např. elektrické skútry (projekt VELOCE z března 2018).</w:t>
      </w:r>
    </w:p>
    <w:p>
      <w:pPr>
        <w:spacing w:after="12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Výzkum a inovace</w:t>
      </w:r>
    </w:p>
    <w:p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Provádí projekt VALOBIO (s podporou Evropského námořního a rybářského fondu, květen 2019) s použitím inovativní metody, která přetváří druhotné produkty získané ze zpracování ryb, které se vyhazují do moře, na kapalná organická hnojiva pro udržitelné zemědělství.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dubnu 2019 zahájil hodnocení své strategie pro inteligentní specializaci s cílem analyzovat potenciál regionů v různých oblastech a identifikovat nikové trhy se strategickým významem.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Zaměstnanost, vzdělávání a odborná příprava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listopadu 2017 zřídil s podporou Evropského fondu pro regionální rozvoj projekt CAMPUS SUD, který spočíval v přeskupení a rozšíření nabídky regionální univerzity a také ve zřízení vědecko-technologického centra (projekt „Vallée Blanche“).</w:t>
      </w:r>
    </w:p>
    <w:p>
      <w:p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Konkurenceschopnost, podnikání a jednotný trh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Prostřednictvím půjčky a soukromého kapitálového nástroje vytvořil fond „Financière Région Réunion“ v hodnotě 50 milionů eur (Evropský fond pro regionální rozvoj, Evropská investiční banka, region) na podporu malých a středních podniků. V červnu 2019 přispěl tento fond finanční částkou 13 milionů EUR 135 malým a středním podnikům.</w:t>
      </w:r>
    </w:p>
    <w:p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Podílí se na projektu REACT podpořeném v rámci programu Horizont 2020, jehož cílem je dekarbonizace energetických soustav na ostrově. 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Digitální dostupnost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 podporou Evropského fondu pro regionální rozvoj (hlavní projekt roku 2019) dokončuje spuštění provozu širokopásmového přístupu a očekává, že se do všech oblastí, jež jsou dosud bez pokrytí, dostane do konce roku 2022. 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sousedícími a dalšími zeměmi</w:t>
      </w:r>
      <w:r>
        <w:rPr>
          <w:rFonts w:ascii="Times New Roman" w:hAnsi="Times New Roman"/>
          <w:b/>
          <w:noProof/>
        </w:rPr>
        <w:t xml:space="preserve"> 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Realizuje projekt, který zkoumá techniku, jak regulovat výskyt komára tygrovaného (Aedes albopictus) (TIS AEDE OI, v rámci programu Interreg).</w:t>
      </w:r>
    </w:p>
    <w:p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Posiluje kapacitu soukromých i veřejných struktur v partnerských zemích tím, že do těchto zemí vysílá místní absolventy, a to za podpory programu Interreg.</w:t>
      </w:r>
    </w:p>
    <w:p>
      <w:pPr>
        <w:numPr>
          <w:ilvl w:val="0"/>
          <w:numId w:val="13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Uzavřel se sousedními zeměmi rámcové dohody v rámci programu Interreg pro oblast „Indický oceán“ (například v dubnu 2019 se Seychelami), čímž zlepšil koordinaci v oblastech společného zájmu.</w:t>
      </w:r>
    </w:p>
    <w:p>
      <w:pPr>
        <w:numPr>
          <w:ilvl w:val="0"/>
          <w:numId w:val="13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V červenci 2019 zřídil v Mosambiku podpůrnou službu pro podnikatele na podporu internacionalizace místních podniků a regionální spolupráce.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7" w:name="_Toc34904041"/>
      <w:r>
        <w:rPr>
          <w:rFonts w:ascii="Times New Roman" w:hAnsi="Times New Roman"/>
          <w:b/>
          <w:noProof/>
        </w:rPr>
        <w:t>Svatý Martin</w:t>
      </w:r>
      <w:bookmarkEnd w:id="7"/>
    </w:p>
    <w:p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Svatý Martin provádí sdělení o nejvzdálenějších regionech v souvislosti s konkrétními podmínkami na ostrově a jeho rekonstrukcí po hurikánu Irma. Zaměřuje se proto na opětovné vybudování dokonalejší infrastruktury a zajištění odpovídajících reakcí na změnu klimatu.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Modrá ekonomika</w:t>
      </w:r>
    </w:p>
    <w:p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Od roku 2018 zajišťuje odbornou přípravu v oblastech souvisejících s námořními aktivitami.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Zemědělství</w:t>
      </w:r>
    </w:p>
    <w:p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Plánuje zavést inovativní řešení v zemědělství, jako je pěstování bez půdy a investice do přemístitelných ohrad pro chovatele hospodářských zvířat, které lze v případě nepříznivého počasí rozebrat.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Zvyšuje informovanost a provádí opatření sdělení týkající se recyklace a třídění odpadů, taktéž zřizuje místa sběru odpadu a provádí společnou studii pro ostrov jako celek (za podpory programu Interreg pro karibskou oblast) s cílem zlepšit nakládání s odpady.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Změna klimatu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2018 zavedl systém řízení rizik pro případ katastrofy spočívající v uskutečnění varovných cvičení, zvyšování informovanosti veřejnosti, posuzování systémů varování a pořízení meteorologického radaru za účelem zlepšení kvality meteorologických předpovědí (program Interreg pro karibskou oblast).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Zahájil předběžné studie proveditelnosti týkající se potenciálních geotermálních zdrojů na ostrovech Saba, Sint Eustatius a Sint Kitts a elektroenergetického propojení ostrovů s cílem podpořit obnovitelnou energii (program Interreg pro karibskou oblast, červenec 2019).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Digitální dostupnost</w:t>
      </w: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rámci rekonstrukce zavádí podzemní sítě z optických vláken za účelem zlepšení digitálního propojení ve všech oblastech.</w:t>
      </w:r>
    </w:p>
    <w:p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Realizuje předběžné studie proveditelnosti týkající se digitálního propojení mezi Závětrnými ostrovy (severní větev </w:t>
      </w:r>
      <w:hyperlink r:id="rId16" w:tooltip="Malé Antily" w:history="1">
        <w:r>
          <w:rPr>
            <w:rFonts w:ascii="Times New Roman" w:hAnsi="Times New Roman"/>
            <w:noProof/>
          </w:rPr>
          <w:t>pásu ostrovů</w:t>
        </w:r>
      </w:hyperlink>
      <w:r>
        <w:rPr>
          <w:rFonts w:ascii="Times New Roman" w:hAnsi="Times New Roman"/>
          <w:noProof/>
        </w:rPr>
        <w:t xml:space="preserve"> Malých Antil).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zeměmi sousedícími s nejvzdálenějšími regiony a dalšími zeměmi</w:t>
      </w:r>
    </w:p>
    <w:p>
      <w:pPr>
        <w:numPr>
          <w:ilvl w:val="0"/>
          <w:numId w:val="16"/>
        </w:numPr>
        <w:spacing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Byl mu udělen status pozorovatele v Organizaci východokaribských států.</w:t>
      </w: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8" w:name="_Toc34904042"/>
      <w:r>
        <w:rPr>
          <w:rFonts w:ascii="Times New Roman" w:hAnsi="Times New Roman"/>
          <w:b/>
          <w:noProof/>
        </w:rPr>
        <w:t>Mayotte</w:t>
      </w:r>
      <w:bookmarkEnd w:id="8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Mayotte se při provádění sdělení z roku 2017 výrazně zaměřuje na modrou ekonomiku.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Modrá ekonomika 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2018 zahájila činnost pracovní skupina, jejímž úkolem bylo vypracovat regionální strategii pro modrou ekonomiku: shromáždit údaje o odvětvích modré ekonomiky a uspořádat se zúčastněnými stranami výměny týkající se modrého růstu (odborná příprava, cestovní ruch, rybolov a akvakultura).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Připravuje regionální program územního plánování se zvláštní kapitolou věnovanou námořnímu plánování jako základu pro všechny činnosti související s pobřežím. 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Společně s vnitrostátními orgány sestavuje plán řízení loďstva, jakož i rámcový plán pro akvakulturu.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Investuje do dříve opuštěných zařízení akvakultury a podporuje možnosti místních zúčastněných stran.</w:t>
      </w:r>
    </w:p>
    <w:p>
      <w:p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Biologická rozmanitost</w:t>
      </w:r>
    </w:p>
    <w:p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Ve spolupráci s vnitrostátními orgány zřizuje regionální agenturu pro biologickou rozmanitost.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Realizuje pilotní projekt udržitelné dopravy zahrnující elektrická vozidla a dobíjecí stanice, jejichž zdrojem je výhradně sluneční energie (2019). </w:t>
      </w:r>
    </w:p>
    <w:p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Zkoumá potenciál fotovoltaiky ve školách a veřejných budovách, neboť sluneční energie je nejdůležitějším obnovitelným zdrojem energie v tomto regionu.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Konkurenceschopnost, podnikání a jednotný trh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roce 2017 zahájil činnost vědecko-technologického projektu sdružujícího výrobní a servisní společnosti v odvětvích vyspělých technologií s cílem zvýšit schopnost podniků v těchto odvětvích působit na jednotném trhu.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Doprava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Pracuje na projektu meziměstské dopravy, v jehož rámci budou zřízeny tři autobusové linky, které propojí jižní, střední a severní část ostrova Mayotte s hlavním městem Mamoudzou, a v roce 2021 případně rovněž námořní linky s cílem zlepšit propojení. </w:t>
      </w:r>
    </w:p>
    <w:p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V roce 2018 zahájil s podporou Evropského fondu pro regionální rozvoj projekt zaměřený na zvýšení bezpečnosti na letišti na ostrově Mayotte.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sousedícími a dalšími zeměmi</w:t>
      </w:r>
    </w:p>
    <w:p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Podepsal dohodu, která umožní vysokoškolským studentům z ostrova Mayotte využít mobility v zemích východní Afriky, a to v oblasti digitálních technologií, animace a kultury (únor 2019).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9" w:name="_Toc34904043"/>
      <w:r>
        <w:rPr>
          <w:rFonts w:ascii="Times New Roman" w:hAnsi="Times New Roman"/>
          <w:b/>
          <w:noProof/>
        </w:rPr>
        <w:t>Portugalsko</w:t>
      </w:r>
      <w:bookmarkEnd w:id="9"/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</w:rPr>
        <w:t>Portugalsko při provádění sdělení z roku 2017 úzce spolupracuje s autonomní oblastí Azory a s autonomní oblastí Madeira, zejména pokud jde o oběhové hospodářství, změnu klimatu a výzkum.</w:t>
      </w:r>
    </w:p>
    <w:p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letech 2018–2019 rozvíjelo spolupráci mezi Národním statistickým úřadem a regionálními statistickými úřady Azor a Madeiry s cílem zlepšit shromažďování a správu údajů, zejména v oblasti zemědělství, námořní a letecké dopravy.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V letech 2018 a 2019 podporovalo v rámci národního fondu pro životní prostředí projekty prosazující účinnější využívání zdrojů na Madeiře a na Azorách.</w:t>
      </w:r>
    </w:p>
    <w:p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Pomohlo občanům Madeiry a Azor zúčastnit se akcí na téma oběhového hospodářství a změny klimatu v kontinentálním Portugalsku (vyšší náhrada výdajů).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Změna klimatu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letech 2018 a 2019 poskytlo prostřednictvím výzev v rámci fondu pro životní prostředí podporu projektům prosazujícím instalaci dobíjecích stanic pro elektrická vozidla na Azorách. 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Poskytlo Madeiře a Azorám finanční prostředky v rámci programu „Životní prostředí, změna klimatu a nízkouhlíkové hospodářství“.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březnu 2019 uspořádalo na Madeiře a na Azorách zasedání s cílem představit finanční mechanismus EHP pro granty</w:t>
      </w:r>
      <w:r>
        <w:rPr>
          <w:rStyle w:val="FootnoteReference"/>
          <w:rFonts w:ascii="Times New Roman" w:hAnsi="Times New Roman" w:cs="Times New Roman"/>
          <w:noProof/>
        </w:rPr>
        <w:footnoteReference w:id="5"/>
      </w:r>
      <w:r>
        <w:rPr>
          <w:rFonts w:ascii="Times New Roman" w:hAnsi="Times New Roman"/>
          <w:noProof/>
        </w:rPr>
        <w:t>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Biologická rozmanitost</w:t>
      </w:r>
    </w:p>
    <w:p>
      <w:pPr>
        <w:pStyle w:val="ListParagraph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2019 vydalo výzvu k předkládání projektů na podporu modelů udržitelného rozvoje ve všech portugalských biosférických rezervacích, z toho pěti na Madeiře a na Azorských ostrovech.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Výzkum a inovace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září 2018 zahájilo mezinárodní program vypuštění družic s cílem vybudovat na ostrově Santa Maria na Azorských ostrovech mezinárodní kosmodrom; kosmodrom má být uveden do provozu do konce roku 2021. 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V březnu 2019 zřídilo na ostrově Santa Maria na Azorách portugalskou kosmickou agenturu.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Digitální dostupnost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květnu 2019 vytvořilo pracovní skupinu „Podmořské kabely CAM – pevnina, Azory a Madeira“, aby analyzovala nejlepší způsob, jak nahradit podmořské kabely, které zajišťují komunikační spojení Madeiry a Azor s pevninou. V prosinci 2019 vydala skupina závěry.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Doprava</w:t>
      </w:r>
    </w:p>
    <w:p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noProof/>
        </w:rPr>
      </w:pPr>
      <w:r>
        <w:rPr>
          <w:rFonts w:ascii="Times New Roman" w:hAnsi="Times New Roman"/>
          <w:noProof/>
        </w:rPr>
        <w:t>V reakci na konzultaci týkající se revize hlavních směrů pro transevropské dopravní sítě navrhlo, aby se letiště ve městech Funchal, Porto Santo a Ponta Delgada stala součástí hlavní sítě.</w:t>
      </w: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10" w:name="_Toc34904044"/>
      <w:r>
        <w:rPr>
          <w:rFonts w:ascii="Times New Roman" w:hAnsi="Times New Roman"/>
          <w:b/>
          <w:noProof/>
        </w:rPr>
        <w:t>Azory</w:t>
      </w:r>
      <w:bookmarkEnd w:id="10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Azory se při provádění sdělení z roku 2017 zaměřují především na modrou ekonomiku, jakož i na energetiku a výzkum.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Shromažďují údaje o zaměstnanosti a činnostech v odvětví rybolovu na všech ostrovech.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Modrá ekonomika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2018 vytvořily pracovní skupinu, která měla za úkol zřídit Středisko pro sledování Atlantiku, zaměřené na námořní vědecký výzkum, včetně ochrany, výzkumu, sledování a socioekonomického využívání námořních prostor.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Vedou projekt MarSP (2018–2019) za účelem rozvoje programů územního plánování námořních prostor na Azorách, Madeiře a Kanárských ostrovech.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Dokončily projekt MISTIC SEAS II a koordinují projekt MISTIC SEAS III (2019) s cílem vyhodnotit rámcovou směrnici o strategii pro mořské prostředí.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Účastní se projektu AQUA-LIT (2019) s cílem zabránit znečišťování moří plynoucímu z činností v oblasti akvakultury a odstranit odpadky ze zařízení akvakultury.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Zahájily pilotní projekt „E-log“ (2019) s cílem elektronicky sledovat drobný rybolov a podporovat místní subjekty.</w:t>
      </w:r>
    </w:p>
    <w:p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Propagovaly prohlášení Azorských ostrovů na obranu lovu tuňáků na prut (říjen 2018) s cílem zvýšit povědomí o udržitelných rybolovných metodách.</w:t>
      </w:r>
    </w:p>
    <w:p>
      <w:pPr>
        <w:numPr>
          <w:ilvl w:val="0"/>
          <w:numId w:val="12"/>
        </w:num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Zřídily „Školu moře“ (2019) s cílem rozvíjet kvalifikace a odbornou přípravu a v rámci programu Erasmus se účastní projektu MATES (2018–2021), jehož cílem je podpora strategie pro rozvoj dovedností v oblasti mořských technologií.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Zemědělství</w:t>
      </w:r>
    </w:p>
    <w:p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2020 plánují dokončit „Strategický plán pro mlékárenský průmysl“ s cílem identifikovat nové trhy a podpořit inovace a internacionalizaci mléčných výrobků.</w:t>
      </w:r>
    </w:p>
    <w:p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Podpořily využívání dálkově řízených letadel pro obhospodařování lesů (za spolufinancování Evropského zemědělského fondu pro rozvoj venkova).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Biologická rozmanitost</w:t>
      </w:r>
    </w:p>
    <w:p>
      <w:pPr>
        <w:pStyle w:val="ListParagraph"/>
        <w:numPr>
          <w:ilvl w:val="0"/>
          <w:numId w:val="22"/>
        </w:numPr>
        <w:spacing w:before="60" w:after="160" w:line="259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 podporou Evropského fondu pro regionální rozvoj posuzují znečištění způsobené plasty v hlubinných vodách moře (PLASTDEEP 2019).</w:t>
      </w:r>
    </w:p>
    <w:p>
      <w:pPr>
        <w:numPr>
          <w:ilvl w:val="0"/>
          <w:numId w:val="22"/>
        </w:numPr>
        <w:spacing w:before="60" w:after="12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Realizují tři projekty podporované z programu LIFE EU: LIFE VIDALIA (2018–2023) na zachování rostlinných druhů, jimž hrozí vyhubení; LIFE-IP AZORES NATURA (2019–2027) na zachování nalezišť a chráněných druhů a LIFE Beetles (začíná v roce 2020) s cílem snížit rizika, jimž jsou vystaveny ohrožené druhy. </w:t>
      </w:r>
    </w:p>
    <w:p>
      <w:pPr>
        <w:pStyle w:val="ListParagraph"/>
        <w:numPr>
          <w:ilvl w:val="0"/>
          <w:numId w:val="22"/>
        </w:numPr>
        <w:spacing w:before="60" w:after="160" w:line="259" w:lineRule="auto"/>
        <w:contextualSpacing w:val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Realizují projekt MOVE I (2018–2021) a v souladu se strategií EU v oblasti biologické rozmanitosti zahájily projekt MOVE ON (2019–2022) s cílem zmapovat a posoudit stav ekosystémů a jejich služeb.</w:t>
      </w:r>
    </w:p>
    <w:p>
      <w:pPr>
        <w:pStyle w:val="ListParagraph"/>
        <w:numPr>
          <w:ilvl w:val="0"/>
          <w:numId w:val="22"/>
        </w:numPr>
        <w:spacing w:before="60" w:after="160" w:line="259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Podpořily projekt BIOINVENT, který zkoumá mikrobiální rozmanitost ekosystémů travních porostů na Azorách, a projekt MARFOR, který zkoumá dynamiku reakcí podmořských lesů na globální změny (oba v letech 2017–2020).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Změna klimatu</w:t>
      </w:r>
    </w:p>
    <w:p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září 2019 schválily regionální program pro změnu klimatu, jehož cílem je minimalizovat emise skleníkových plynů a snížit vystavení rizikům souvisejícím se změnou klimatu.</w:t>
      </w:r>
    </w:p>
    <w:p>
      <w:pPr>
        <w:spacing w:before="6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pStyle w:val="ListParagraph"/>
        <w:numPr>
          <w:ilvl w:val="0"/>
          <w:numId w:val="22"/>
        </w:numPr>
        <w:spacing w:before="60" w:after="0" w:line="259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Mají přijmout program řízení cestovního ruchu pro udržitelný rozvoj v tomto odvětví.</w:t>
      </w:r>
    </w:p>
    <w:p>
      <w:p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numPr>
          <w:ilvl w:val="0"/>
          <w:numId w:val="13"/>
        </w:num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říjnu 2018 zahájily „Energetickou strategii pro Azory 2030“ s cílem využít potenciál přírodních zdrojů a nově vznikajících technologií a pracují na „Azorském akčním plánu pro energetickou účinnost“.</w:t>
      </w:r>
    </w:p>
    <w:p>
      <w:pPr>
        <w:numPr>
          <w:ilvl w:val="0"/>
          <w:numId w:val="13"/>
        </w:num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Zavedly „Akční plán pro elektrickou mobilitu na Azorách“ (2018–2024), který zahrnuje provoz dobíjecích stanic pro elektrická vozidla na devíti ostrovech.</w:t>
      </w:r>
    </w:p>
    <w:p>
      <w:pPr>
        <w:numPr>
          <w:ilvl w:val="0"/>
          <w:numId w:val="13"/>
        </w:numPr>
        <w:spacing w:before="60" w:after="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Připravují program pro transformaci energetiky podporovaný iniciativou Čistá energie pro ostrovy EU; analyzují možnost využití podmořských kabelů k připojení elektroenergetických rozvodných sítí svých ostrovů.</w:t>
      </w:r>
    </w:p>
    <w:p>
      <w:pPr>
        <w:numPr>
          <w:ilvl w:val="0"/>
          <w:numId w:val="13"/>
        </w:numPr>
        <w:spacing w:before="60" w:after="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Účastní se projektu Horizont 2020 (2019–2021) v oblasti hlubinné geotermální energie a projektu E-MOBICITY v rámci programu Interreg (2019–2023) pro optimalizaci veřejných politik týkajících se elektrické mobility v městských oblastech.</w:t>
      </w:r>
    </w:p>
    <w:p>
      <w:p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Výzkum a inovace</w:t>
      </w:r>
    </w:p>
    <w:p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září 2018 zahájily výstavbu mezinárodního kosmodromu na ostrově Santa Maria, který by měl být zprovozněn do konce roku 2021. </w:t>
      </w:r>
    </w:p>
    <w:p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2018 schválily „Plán internacionalizace vědy a technologie“ s cílem podpořit vědu a přilákat externí projekty a partnerství.</w:t>
      </w:r>
    </w:p>
    <w:p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2018 schválily iniciativu Transfer+ a účastní se projektu FANBest na podporu přenosu technologií v místních malých a středních podnicích, zejména v modré ekonomice.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Zaměstnanost, vzdělávání a odborná příprava</w:t>
      </w:r>
    </w:p>
    <w:p>
      <w:pPr>
        <w:pStyle w:val="ListParagraph"/>
        <w:numPr>
          <w:ilvl w:val="0"/>
          <w:numId w:val="13"/>
        </w:numPr>
        <w:spacing w:before="60" w:after="160" w:line="259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Podpořily zaměstnanost prostřednictvím iniciativ INOVAR (od března 2019) pro mladé nezaměstnané, Berço de Emprego (aktualizované v roce 2019) pro dočasné náhrady a Movemprego (v roce 2020) na podporu územní mobility lidských zdrojů.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Digitální dostupnost</w:t>
      </w:r>
    </w:p>
    <w:p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roce 2018 zahájily akční plán pro vědeckou a technologickou kulturu, který podpořil zřízení školních laboratoří pro informatiku, robotiku a programování.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Doprava</w:t>
      </w:r>
    </w:p>
    <w:p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Vyhlásily mezinárodní nabídkové řízení na vybudování jedné lodi pro cestující, vozidla a nákladní dopravu, která by zajistila spojení mezi všemi ostrovy po celý rok (leden 2019).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sousedícími a dalšími zeměmi</w:t>
      </w:r>
    </w:p>
    <w:p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Účastní se projektu pozorování moře a země (Marine-Earth Observation), který má za úkol vyvinout speciální technologie na základě navazujících služeb programu Copernicus s cílem zlepšit informovanost o moři.</w:t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  <w:bookmarkStart w:id="11" w:name="_Toc34904045"/>
      <w:r>
        <w:rPr>
          <w:rFonts w:ascii="Times New Roman" w:hAnsi="Times New Roman"/>
          <w:b/>
          <w:noProof/>
        </w:rPr>
        <w:t>Madeira</w:t>
      </w:r>
      <w:bookmarkEnd w:id="11"/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Madeira pokračuje v provádění sdělení z roku 2017 se zaměřením na modrou ekonomiku, oběhové hospodářství, změnu klimatu, výzkum, energetiku, zaměstnanost a dovednosti.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Modrá ekonomika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 roce 2018 spustila úvěrovou linku INVESTE RAM2020, což je finanční nástroj usnadňující drobným provozovatelům přístup k finančním prostředkům (20 milionů EUR). 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Vytvořila územní plán námořních prostor jako nástroj územní správy na podporu udržitelné modré ekonomiky.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2019 zřídila konsorcium odpovědné za Integrované mezinárodní středisko pro vzdělávání a odbornou přípravu související s mořem na Madeiře, které by mělo odbornou přípravu začít zajišťovat v roce 2020.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Zemědělství a rozvoj venkova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2018 zavedla právní předpisy, které zřizují technickou komisi pro hodnocení shody zemědělských produktů a potravin z Madeiry, s cílem zajistit, aby byly produkty, na které se vztahuje režim jakosti EU, v souladu s právními předpisy EU.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Biologická rozmanitost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Prostřednictvím přezkumu a aktualizace plánů řízení, strategií a klasifikovaných oblastí posílila správu chráněných území a lokalit sítě Natura 2000 (od roku 2017).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Vypracovala regionální agendu pro oběhové hospodářství s cílem zmírnit dopad na životní prostředí při usilování o udržitelný hospodářský růst (2019). 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Připravila „Strategii pro nakládání s odpady na období 2020–2030“ s cílem zlepšit nakládání s odpady (2019).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Změna klimatu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Prostřednictvím projektů podporovaných v rámci programů Interreg a LIFE EU podpořila provádění regionální strategie pro přizpůsobování se změně klimatu a začala ji aktualizovat.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 podporou Fondu soudržnosti vyvíjí software a systémy pro hodnocení, prevenci a zmírňování rizik lesních požárů a pro lepší zvládání lesních požárů.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Realizovala projekt „Udržitelné Porto Santo – chytrý ostrov bez fosilních paliv” (2019), jehož cílem byla podpora používání </w:t>
      </w:r>
      <w:hyperlink r:id="rId17" w:history="1">
        <w:r>
          <w:rPr>
            <w:rFonts w:ascii="Times New Roman" w:hAnsi="Times New Roman"/>
            <w:noProof/>
          </w:rPr>
          <w:t>elektrických vozidel</w:t>
        </w:r>
      </w:hyperlink>
      <w:r>
        <w:rPr>
          <w:rFonts w:ascii="Times New Roman" w:hAnsi="Times New Roman"/>
          <w:noProof/>
        </w:rPr>
        <w:t xml:space="preserve"> a chytrých dobíjecích systémů.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 podporou Fondu soudržnosti se chystá dokončit rozšíření projektu vodní elektrárny Calheta III.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Účastnila se několika energetických projektů EU, včetně projektu ENERMAC (2017–2019) zaměřeného na plánování strategií zavádění infrastruktury pro energii z obnovitelných zdrojů.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 podporou Evropského fondu pro regionální rozvoj prosazuje čistou dopravu: nákup pěti elektrických minibusů a 25 čistých autobusů (2019).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Výzkum a inovace</w:t>
      </w:r>
    </w:p>
    <w:p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Od roku 2019 spolupracovala na projektu SMART4HEALTH s cílem umožnit občanům spravovat a vést záznamy o svých zdravotních údajích v rámci celé EU i mimo ni.</w:t>
      </w:r>
    </w:p>
    <w:p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Znovu posoudila regionální strategii pro inteligentní specializaci (2019) s cílem připravit ke spuštění strategii 2.0 na období 2021–2027.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Zaměstnanost, vzdělávání a odborná příprava</w:t>
      </w:r>
    </w:p>
    <w:p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Vyvinula opatření na podporu nezaměstnaných, včetně programů zaměřených na tvorbu pracovních míst pro mladé lidi, jako je program PROJOVEM. V roce 2018 bylo v rámci 68 schválených projektů, které byly součástí programu na podporu nezaměstnaných prostřednictvím podnikání, vytvořeno 118 nových pracovních míst. Tato opatření se během roku 2018 dotkla 5 512 osob.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Digitální dostupnost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2018 podepsala smlouvu o dodávce nového telekomunikačního spojení v podmořském optickém kabelu mezi Madeirou a kontinentálním Portugalskem.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Vytvořila kurzy zlepšování digitálních dovedností na školách (2018–2019) prostřednictvím „Strategického plánu pro vzdělávací inovace ve školách“, včetně projektů STEM (přírodní vědy, technologie, inženýrství a matematika). 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Představila „Školní laboratoř budoucnosti“, jejímž prostřednictvím školám v letech 2018–2019 poskytla robotické vybavení.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Doprava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Schválila akční plán udržitelné mobility na Madeiře (červen 2019). Plán má podpořit přechod k čisté a bezpečné dopravě.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sousedícími a dalšími zeměmi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2018 obnovila summit o Makaronéských ostrovech, který podporuje diskusi o společných výzvách v oblasti životního prostředí a změny klimatu, hospodářství mořských oblastí, podpoře obchodu a investic, odborné přípravě, jakož i mobilitě studentů a učitelů.</w:t>
      </w:r>
    </w:p>
    <w:p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Účastní se projektu INTEGRA zaměřeného na integraci trhů a rozvoj hospodářských a sociálních sousedských vztahů v Makaronésii, který byl schválen v červnu 2019 (program Interreg pro oblast Madeira-Azory-Kanárské ostrovy – program MAC).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12" w:name="_Toc34904046"/>
      <w:r>
        <w:rPr>
          <w:rFonts w:ascii="Times New Roman" w:hAnsi="Times New Roman"/>
          <w:b/>
          <w:noProof/>
        </w:rPr>
        <w:t>Španělsko</w:t>
      </w:r>
      <w:bookmarkEnd w:id="12"/>
    </w:p>
    <w:p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Španělsko provádí sdělení z roku 2017 spolu s nejvzdálenějším regionem Kanárských ostrovů v rámci ústavního rozdělení pravomocí.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Prostřednictvím ministerstva pro ekologickou transformaci a útvaru pro cla a spotřební daně se v listopadu 2018 účastnilo zahájení činnosti pracovní skupiny pro nakládání s odpady a jejích následných jednání a podporuje provádění jejího akčního plánu.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Provedlo analýzu komplexního plánu pro nakládání s odpady na Kanárských ostrovech (PIRCAN) 2018–2025.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rámci balíčku opatření EU pro čistou energii podporuje opatření na zavedení energie z obnovitelných zdrojů na ostrovech, úsporu energie, zlepšení energetické účinnosti a podporu udržitelné mobility, včetně aukcí energie z obnovitelných zdrojů, propojení energetických soustav mezi ostrovy a elektrických dobíjecích stanic pro vozidla.</w:t>
      </w:r>
    </w:p>
    <w:p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Organizovalo a podporovalo odbornou přípravu a akce zaměřené na šíření technologií v oblasti energie z obnovitelných zdrojů.</w:t>
      </w:r>
    </w:p>
    <w:p>
      <w:pPr>
        <w:spacing w:after="120" w:line="240" w:lineRule="auto"/>
        <w:rPr>
          <w:noProof/>
        </w:rPr>
      </w:pPr>
      <w:r>
        <w:rPr>
          <w:noProof/>
        </w:rPr>
        <w:br w:type="page"/>
      </w:r>
    </w:p>
    <w:p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13" w:name="_Toc34904047"/>
      <w:r>
        <w:rPr>
          <w:rFonts w:ascii="Times New Roman" w:hAnsi="Times New Roman"/>
          <w:b/>
          <w:noProof/>
        </w:rPr>
        <w:t>Kanárské ostrovy</w:t>
      </w:r>
      <w:bookmarkEnd w:id="13"/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Kanárské ostrovy provádějí sdělení z roku 2017 se zaměřením na energetiku, výzkum a oběhové hospodářství. 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Od července 2018 připravují oficiální údaje o místní produkci prostřednictvím dohody s místním statistickým úřadem (ISTAC).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Modrá ekonomika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únoru 2018 zřídily pracovní skupinu pro modrou ekonomiku; provedly analýzu SWOT pro všechna odvětví modré ekonomiky s cílem připravit půdu pro strategii modré ekonomiky plánovanou na první polovinu roku 2020.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Zemědělství a rozvoj venkova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Provedly strategii rozlišování výrobků na základě jejich jakosti za účelem zvýšení spotřeby, podpory ekologické produkce a usnadnění kontaktů mezi zemědělsko-potravinářským odvětvím a státní správou.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Oběhové hospodářství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2017 zahájily s podporou Evropského fondu pro regionální rozvoj projekt výstavby bioplynové stanice za účelem zhodnocení odpadu z hospodářských zvířat.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listopadu 2018 spolupracovaly na vytvoření pracovní skupiny pro nakládání s odpady, na usnadnění komunikace mezi zúčastněnými stranami na všech úrovních (evropské, vnitrostátní, regionální a místní) a na vytvoření akčního plánu pro zlepšení nakládání s odpady.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únoru 2018 zřídily pracovní skupinu pro oběhové hospodářství, která prováděla předběžnou diagnostiku situace na ostrovech.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srpnu 2018 přijaly pokyny a doporučení pro omezení a recyklaci plastového odpadu na jedno použití.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V dubnu 2019 schválily strategii pro plasty na Kanárských ostrovech.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Změna klimatu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Zahájily činnost Střediska pro sledování změny klimatu na Kanárských ostrovech jako orgánu zajišťujícího konzultace, účast a přípravu akcí (červenec 2018).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Aktualizují regionální strategii pro změnu klimatu.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Energetika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Účastnily se iniciativy Čistá energie pro ostrovy EU: v listopadu 2018 uspořádaly na ostrově Lanzarote druhé fórum o čisté energii pro ostrovy EU; město La Palma realizuje v rámci této iniciativy pilotní projekt.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roce 2019 instalovaly dva inovativní prototypy pro využití větrné mořské energie na platformě PLOCAN.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Výzkum a inovace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Vedou evropský výzkumný projekt FORWARD s cílem zlepšit účast všech nejvzdálenějších regionů v mezinárodních výzkumných sítích a programech.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říjnu 2019 obnovily projekt RIS3-Net2 (jako vedoucí projektu) v rámci programu Interreg pro oblast Madeira-Azory-Kanárské ostrovy (MAC) za účelem vymezení společného rámce pro nadregionální strategie v oblasti výzkumu a inovací (RIS3).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Účastní se projektu SOCLIMPACT, jehož cílem je vytvořit model účinků změny klimatu a jejich socioekonomických dopadů na evropské ostrovy </w:t>
      </w:r>
      <w:r>
        <w:rPr>
          <w:rFonts w:ascii="Times New Roman" w:hAnsi="Times New Roman"/>
          <w:noProof/>
          <w:color w:val="333333"/>
        </w:rPr>
        <w:t>v kontextu odvětví modré ekonomiky</w:t>
      </w:r>
      <w:r>
        <w:rPr>
          <w:rFonts w:ascii="Times New Roman" w:hAnsi="Times New Roman"/>
          <w:noProof/>
        </w:rPr>
        <w:t>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Podílejí se na projektu REACT podporovaném v rámci programu Horizont 2020 s cílem snižovat emise uhlíku u energetických systémů na ostrovech.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Zaměstnanost, vzdělávání a odborná příprava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Od ledna 2017 vedou projekt GROW RUP spolufinancovaný v rámci programu Interreg Europe, jehož cílem je řešit dlouhodobou nezaměstnanost v oblasti zelené a modré ekonomiky.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Konkurenceschopnost, podnikání a jednotný trh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noProof/>
        </w:rPr>
      </w:pPr>
      <w:r>
        <w:rPr>
          <w:rFonts w:ascii="Times New Roman" w:hAnsi="Times New Roman"/>
          <w:noProof/>
        </w:rPr>
        <w:t>V lednu 2018 zahájily operační strategii internacionalizace ekonomiky Kanárských ostrovů s cílem zvýšit konkurenceschopnost podniků a pozdvihnout úroveň podnikání.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Digitální dostupnost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Vydaly dvě výzvy k podávání návrhů na rozmístění vysokorychlostní širokopásmové infrastruktury (v letech 2018 a 2019).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Podpořily organizace, aby zajistily odbornou přípravu v oblasti digitálních dovedností, a to celkem v rámci 71 projektů (v letech 2017–2019).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Spolupráce se sousedícími a dalšími zeměmi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Společně s Madeirou a Azorskými ostrovy vedou projekt MAC HEXAGONE v rámci programu Interreg s cílem upevnit spolupráci se sousední Mauritánií, Senegalem a Kapverdami posílením koordinace mezi Evropským fondem pro regionální rozvoj a programy Evropského rozvojového fondu v této oblasti (končí v prosinci 2022).</w:t>
      </w:r>
    </w:p>
    <w:p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V rámci programu Interreg realizovaly projekt VALCONMAC, zaměřený na ochranu a rozvoj lesních přírodních stanovišť na atlantských Makaronéských ostrovech.</w:t>
      </w:r>
    </w:p>
    <w:p>
      <w:pPr>
        <w:spacing w:after="120" w:line="240" w:lineRule="auto"/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348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Zákon 2017–256, ze dne 28. února 2017.</w:t>
      </w:r>
    </w:p>
  </w:footnote>
  <w:footnote w:id="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Zákon 2018–771, ze dne 5. září 2018.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1"/>
            <w:rFonts w:ascii="Times New Roman" w:hAnsi="Times New Roman"/>
          </w:rPr>
          <w:t>www.transitionenergetiquemartinique.mq</w:t>
        </w:r>
      </w:hyperlink>
    </w:p>
  </w:footnote>
  <w:footnote w:id="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https://eeagrants.org/about-us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4F"/>
    <w:multiLevelType w:val="hybridMultilevel"/>
    <w:tmpl w:val="D55CD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F7F5C"/>
    <w:multiLevelType w:val="hybridMultilevel"/>
    <w:tmpl w:val="87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B280F"/>
    <w:multiLevelType w:val="hybridMultilevel"/>
    <w:tmpl w:val="1090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5AB"/>
    <w:multiLevelType w:val="hybridMultilevel"/>
    <w:tmpl w:val="F58C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67B73"/>
    <w:multiLevelType w:val="hybridMultilevel"/>
    <w:tmpl w:val="6FAA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7EDF"/>
    <w:multiLevelType w:val="hybridMultilevel"/>
    <w:tmpl w:val="08E6B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B21A9"/>
    <w:multiLevelType w:val="hybridMultilevel"/>
    <w:tmpl w:val="5F1415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877E5"/>
    <w:multiLevelType w:val="hybridMultilevel"/>
    <w:tmpl w:val="9B545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130E3"/>
    <w:multiLevelType w:val="hybridMultilevel"/>
    <w:tmpl w:val="86B2C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1C7928"/>
    <w:multiLevelType w:val="hybridMultilevel"/>
    <w:tmpl w:val="A7D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3985"/>
    <w:multiLevelType w:val="hybridMultilevel"/>
    <w:tmpl w:val="FA60D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E56F6"/>
    <w:multiLevelType w:val="hybridMultilevel"/>
    <w:tmpl w:val="A34A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91"/>
    <w:multiLevelType w:val="hybridMultilevel"/>
    <w:tmpl w:val="833AB9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425A3"/>
    <w:multiLevelType w:val="hybridMultilevel"/>
    <w:tmpl w:val="51720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1368C"/>
    <w:multiLevelType w:val="hybridMultilevel"/>
    <w:tmpl w:val="58E2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74D17"/>
    <w:multiLevelType w:val="hybridMultilevel"/>
    <w:tmpl w:val="552CC9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41101"/>
    <w:multiLevelType w:val="hybridMultilevel"/>
    <w:tmpl w:val="F77C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62E7"/>
    <w:multiLevelType w:val="hybridMultilevel"/>
    <w:tmpl w:val="229C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77DA1"/>
    <w:multiLevelType w:val="hybridMultilevel"/>
    <w:tmpl w:val="A386B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37B9F"/>
    <w:multiLevelType w:val="hybridMultilevel"/>
    <w:tmpl w:val="C7AC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22FFC"/>
    <w:multiLevelType w:val="hybridMultilevel"/>
    <w:tmpl w:val="22A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14DC9"/>
    <w:multiLevelType w:val="hybridMultilevel"/>
    <w:tmpl w:val="A942C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439AD"/>
    <w:multiLevelType w:val="hybridMultilevel"/>
    <w:tmpl w:val="A0AC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55175"/>
    <w:multiLevelType w:val="hybridMultilevel"/>
    <w:tmpl w:val="65DC1F7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762128"/>
    <w:multiLevelType w:val="hybridMultilevel"/>
    <w:tmpl w:val="1F067638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5BED"/>
    <w:multiLevelType w:val="hybridMultilevel"/>
    <w:tmpl w:val="9462F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B4B1E"/>
    <w:multiLevelType w:val="hybridMultilevel"/>
    <w:tmpl w:val="1D86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634BE"/>
    <w:multiLevelType w:val="hybridMultilevel"/>
    <w:tmpl w:val="33CA4A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92C1C"/>
    <w:multiLevelType w:val="hybridMultilevel"/>
    <w:tmpl w:val="ED7A23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225B0"/>
    <w:multiLevelType w:val="hybridMultilevel"/>
    <w:tmpl w:val="F66A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232B6"/>
    <w:multiLevelType w:val="hybridMultilevel"/>
    <w:tmpl w:val="5F1415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E1906"/>
    <w:multiLevelType w:val="hybridMultilevel"/>
    <w:tmpl w:val="EF24F3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E756C"/>
    <w:multiLevelType w:val="hybridMultilevel"/>
    <w:tmpl w:val="156A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B3A3F"/>
    <w:multiLevelType w:val="hybridMultilevel"/>
    <w:tmpl w:val="690C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56628"/>
    <w:multiLevelType w:val="hybridMultilevel"/>
    <w:tmpl w:val="CE82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25D2C"/>
    <w:multiLevelType w:val="hybridMultilevel"/>
    <w:tmpl w:val="4120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C5497"/>
    <w:multiLevelType w:val="hybridMultilevel"/>
    <w:tmpl w:val="219EFEBC"/>
    <w:lvl w:ilvl="0" w:tplc="3D065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332DF"/>
    <w:multiLevelType w:val="hybridMultilevel"/>
    <w:tmpl w:val="99E2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93E24"/>
    <w:multiLevelType w:val="hybridMultilevel"/>
    <w:tmpl w:val="BCAE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7"/>
  </w:num>
  <w:num w:numId="4">
    <w:abstractNumId w:val="30"/>
  </w:num>
  <w:num w:numId="5">
    <w:abstractNumId w:val="24"/>
  </w:num>
  <w:num w:numId="6">
    <w:abstractNumId w:val="21"/>
  </w:num>
  <w:num w:numId="7">
    <w:abstractNumId w:val="35"/>
  </w:num>
  <w:num w:numId="8">
    <w:abstractNumId w:val="32"/>
  </w:num>
  <w:num w:numId="9">
    <w:abstractNumId w:val="28"/>
  </w:num>
  <w:num w:numId="10">
    <w:abstractNumId w:val="0"/>
  </w:num>
  <w:num w:numId="11">
    <w:abstractNumId w:val="25"/>
  </w:num>
  <w:num w:numId="12">
    <w:abstractNumId w:val="34"/>
  </w:num>
  <w:num w:numId="13">
    <w:abstractNumId w:val="26"/>
  </w:num>
  <w:num w:numId="14">
    <w:abstractNumId w:val="13"/>
  </w:num>
  <w:num w:numId="15">
    <w:abstractNumId w:val="3"/>
  </w:num>
  <w:num w:numId="16">
    <w:abstractNumId w:val="19"/>
  </w:num>
  <w:num w:numId="17">
    <w:abstractNumId w:val="17"/>
  </w:num>
  <w:num w:numId="18">
    <w:abstractNumId w:val="38"/>
  </w:num>
  <w:num w:numId="19">
    <w:abstractNumId w:val="29"/>
  </w:num>
  <w:num w:numId="20">
    <w:abstractNumId w:val="14"/>
  </w:num>
  <w:num w:numId="21">
    <w:abstractNumId w:val="4"/>
  </w:num>
  <w:num w:numId="22">
    <w:abstractNumId w:val="1"/>
  </w:num>
  <w:num w:numId="23">
    <w:abstractNumId w:val="16"/>
  </w:num>
  <w:num w:numId="24">
    <w:abstractNumId w:val="9"/>
  </w:num>
  <w:num w:numId="25">
    <w:abstractNumId w:val="11"/>
  </w:num>
  <w:num w:numId="26">
    <w:abstractNumId w:val="2"/>
  </w:num>
  <w:num w:numId="27">
    <w:abstractNumId w:val="33"/>
  </w:num>
  <w:num w:numId="28">
    <w:abstractNumId w:val="23"/>
  </w:num>
  <w:num w:numId="29">
    <w:abstractNumId w:val="5"/>
  </w:num>
  <w:num w:numId="30">
    <w:abstractNumId w:val="8"/>
  </w:num>
  <w:num w:numId="31">
    <w:abstractNumId w:val="23"/>
  </w:num>
  <w:num w:numId="32">
    <w:abstractNumId w:val="18"/>
  </w:num>
  <w:num w:numId="33">
    <w:abstractNumId w:val="36"/>
  </w:num>
  <w:num w:numId="34">
    <w:abstractNumId w:val="7"/>
  </w:num>
  <w:num w:numId="35">
    <w:abstractNumId w:val="6"/>
  </w:num>
  <w:num w:numId="36">
    <w:abstractNumId w:val="15"/>
  </w:num>
  <w:num w:numId="37">
    <w:abstractNumId w:val="12"/>
  </w:num>
  <w:num w:numId="38">
    <w:abstractNumId w:val="22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IE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C3FEFE8-D7A1-4FC6-BC72-2C29B13A2403"/>
    <w:docVar w:name="LW_COVERPAGE_TYPE" w:val="1"/>
    <w:docVar w:name="LW_CROSSREFERENCE" w:val="&lt;UNUSED&gt;"/>
    <w:docVar w:name="LW_DocType" w:val="NORMAL"/>
    <w:docVar w:name="LW_EMISSION" w:val="23.3.2020"/>
    <w:docVar w:name="LW_EMISSION_ISODATE" w:val="2020-03-23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&lt;FMT:Font=Calibri CE,Bold&gt;o provád\u283?ní sd\u283?lení Komise Siln\u283?j\u353?í a obnovené strategické partnerství s&lt;/FMT&gt;&lt;FMT:Font=Calibri,Bold&gt; &lt;/FMT&gt;&lt;FMT:Font=Calibri CE,Bold&gt;nejvzdálen\u283?j\u353?ími regiony Evropské unie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0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ZPRÁVY KOMISE EVROPSKÉMU PARLAMENTU, RAD\u282?, EVROPSKÉMU HOSPODÁ\u344?SKÉMU A SOCIÁLNÍMU VÝBORU, VÝBORU REGION\u366? A EVROPSKÉ INVESTI\u268?NÍ BANC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426"/>
        <w:tab w:val="right" w:leader="dot" w:pos="9062"/>
      </w:tabs>
      <w:spacing w:after="100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TOCHeadingChar">
    <w:name w:val="TOC Heading Char"/>
    <w:basedOn w:val="Heading1Char"/>
    <w:link w:val="TOCHeading"/>
    <w:uiPriority w:val="3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ja-JP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  <w:lang w:val="cs-CZ" w:eastAsia="ja-JP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OCHeadingChar"/>
    <w:link w:val="FooterSensitivity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val="cs-CZ" w:eastAsia="ja-JP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OCHeadingChar"/>
    <w:link w:val="HeaderCoverPage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  <w:lang w:val="cs-CZ" w:eastAsia="ja-JP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OCHeadingChar"/>
    <w:link w:val="HeaderSensitivity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val="cs-CZ" w:eastAsia="ja-JP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OCHeadingChar"/>
    <w:link w:val="HeaderSensitivityRight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8"/>
      <w:szCs w:val="28"/>
      <w:lang w:val="cs-CZ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426"/>
        <w:tab w:val="right" w:leader="dot" w:pos="9062"/>
      </w:tabs>
      <w:spacing w:after="100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TOCHeadingChar">
    <w:name w:val="TOC Heading Char"/>
    <w:basedOn w:val="Heading1Char"/>
    <w:link w:val="TOCHeading"/>
    <w:uiPriority w:val="3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ja-JP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  <w:lang w:val="cs-CZ" w:eastAsia="ja-JP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OCHeadingChar"/>
    <w:link w:val="FooterSensitivity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val="cs-CZ" w:eastAsia="ja-JP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OCHeadingChar"/>
    <w:link w:val="HeaderCoverPage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  <w:lang w:val="cs-CZ" w:eastAsia="ja-JP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OCHeadingChar"/>
    <w:link w:val="HeaderSensitivity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val="cs-CZ" w:eastAsia="ja-JP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OCHeadingChar"/>
    <w:link w:val="HeaderSensitivityRight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8"/>
      <w:szCs w:val="28"/>
      <w:lang w:val="cs-CZ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engerati.com/topics/electric-vehicl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Mal&#233;_Antily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itionenergetiquemartinique.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3553-995A-4574-9ACE-07728814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5503</Words>
  <Characters>35002</Characters>
  <Application>Microsoft Office Word</Application>
  <DocSecurity>0</DocSecurity>
  <Lines>660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VERSTEVEN Els (REGIO)</dc:creator>
  <cp:lastModifiedBy>WES PDFC Administrator</cp:lastModifiedBy>
  <cp:revision>10</cp:revision>
  <cp:lastPrinted>2019-12-11T11:15:00Z</cp:lastPrinted>
  <dcterms:created xsi:type="dcterms:W3CDTF">2020-02-28T16:13:00Z</dcterms:created>
  <dcterms:modified xsi:type="dcterms:W3CDTF">2020-03-17T11:37:00Z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CP-039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  <property fmtid="{D5CDD505-2E9C-101B-9397-08002B2CF9AE}" pid="9" name="First annex">
    <vt:lpwstr>1</vt:lpwstr>
  </property>
  <property fmtid="{D5CDD505-2E9C-101B-9397-08002B2CF9AE}" pid="10" name="Last annex">
    <vt:lpwstr>1</vt:lpwstr>
  </property>
  <property fmtid="{D5CDD505-2E9C-101B-9397-08002B2CF9AE}" pid="11" name="Unique annex">
    <vt:lpwstr>1</vt:lpwstr>
  </property>
</Properties>
</file>