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4B54A421-7414-4466-B3D2-A9DFF26F37B0" style="width:450.8pt;height:420.7pt">
            <v:imagedata r:id="rId9" o:title=""/>
          </v:shape>
        </w:pict>
      </w:r>
    </w:p>
    <w:bookmarkEnd w:id="0"/>
    <w:p>
      <w:pPr>
        <w:spacing w:after="120" w:line="240" w:lineRule="auto"/>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OCHeading"/>
        <w:spacing w:before="0" w:after="120" w:line="240" w:lineRule="auto"/>
        <w:rPr>
          <w:rFonts w:asciiTheme="minorHAnsi" w:eastAsiaTheme="minorHAnsi" w:hAnsiTheme="minorHAnsi" w:cstheme="minorBidi"/>
          <w:b w:val="0"/>
          <w:bCs w:val="0"/>
          <w:noProof/>
          <w:color w:val="auto"/>
          <w:sz w:val="22"/>
          <w:szCs w:val="22"/>
        </w:rPr>
      </w:pPr>
      <w:bookmarkStart w:id="1" w:name="_GoBack"/>
      <w:bookmarkEnd w:id="1"/>
    </w:p>
    <w:sdt>
      <w:sdtPr>
        <w:rPr>
          <w:rFonts w:asciiTheme="minorHAnsi" w:eastAsiaTheme="minorHAnsi" w:hAnsiTheme="minorHAnsi" w:cstheme="minorBidi"/>
          <w:b w:val="0"/>
          <w:bCs w:val="0"/>
          <w:noProof/>
          <w:color w:val="auto"/>
          <w:sz w:val="22"/>
          <w:szCs w:val="22"/>
          <w:lang w:eastAsia="en-US"/>
        </w:rPr>
        <w:id w:val="-743801306"/>
        <w:docPartObj>
          <w:docPartGallery w:val="Table of Contents"/>
          <w:docPartUnique/>
        </w:docPartObj>
      </w:sdtPr>
      <w:sdtContent>
        <w:p>
          <w:pPr>
            <w:pStyle w:val="TOCHeading"/>
            <w:spacing w:before="0" w:after="120" w:line="240" w:lineRule="auto"/>
            <w:rPr>
              <w:noProof/>
            </w:rPr>
          </w:pPr>
          <w:r>
            <w:rPr>
              <w:noProof/>
            </w:rPr>
            <w:t>Innehåll</w:t>
          </w:r>
        </w:p>
        <w:p>
          <w:pPr>
            <w:spacing w:after="120" w:line="240" w:lineRule="auto"/>
            <w:rPr>
              <w:noProof/>
            </w:rPr>
          </w:pPr>
        </w:p>
        <w:p>
          <w:pPr>
            <w:pStyle w:val="TOC1"/>
            <w:rPr>
              <w:rFonts w:eastAsiaTheme="minorEastAsia"/>
              <w:noProof/>
              <w:lang w:eastAsia="sv-SE"/>
            </w:rPr>
          </w:pPr>
          <w:r>
            <w:rPr>
              <w:noProof/>
            </w:rPr>
            <w:fldChar w:fldCharType="begin"/>
          </w:r>
          <w:r>
            <w:rPr>
              <w:noProof/>
            </w:rPr>
            <w:instrText xml:space="preserve"> TOC \o "1-3" \h \z \u </w:instrText>
          </w:r>
          <w:r>
            <w:rPr>
              <w:noProof/>
            </w:rPr>
            <w:fldChar w:fldCharType="separate"/>
          </w:r>
          <w:hyperlink w:anchor="_Toc34922093" w:history="1">
            <w:r>
              <w:rPr>
                <w:rStyle w:val="Hyperlink"/>
                <w:rFonts w:ascii="Times New Roman" w:hAnsi="Times New Roman" w:cs="Times New Roman"/>
                <w:b/>
                <w:noProof/>
              </w:rPr>
              <w:t>1.</w:t>
            </w:r>
            <w:r>
              <w:rPr>
                <w:rFonts w:eastAsiaTheme="minorEastAsia"/>
                <w:noProof/>
                <w:lang w:eastAsia="sv-SE"/>
              </w:rPr>
              <w:tab/>
            </w:r>
            <w:r>
              <w:rPr>
                <w:rStyle w:val="Hyperlink"/>
                <w:rFonts w:ascii="Times New Roman" w:hAnsi="Times New Roman"/>
                <w:b/>
                <w:noProof/>
              </w:rPr>
              <w:t>Frankrike</w:t>
            </w:r>
            <w:r>
              <w:rPr>
                <w:noProof/>
                <w:webHidden/>
              </w:rPr>
              <w:tab/>
            </w:r>
            <w:r>
              <w:rPr>
                <w:noProof/>
                <w:webHidden/>
              </w:rPr>
              <w:fldChar w:fldCharType="begin"/>
            </w:r>
            <w:r>
              <w:rPr>
                <w:noProof/>
                <w:webHidden/>
              </w:rPr>
              <w:instrText xml:space="preserve"> PAGEREF _Toc34922093 \h </w:instrText>
            </w:r>
            <w:r>
              <w:rPr>
                <w:noProof/>
                <w:webHidden/>
              </w:rPr>
            </w:r>
            <w:r>
              <w:rPr>
                <w:noProof/>
                <w:webHidden/>
              </w:rPr>
              <w:fldChar w:fldCharType="separate"/>
            </w:r>
            <w:r>
              <w:rPr>
                <w:noProof/>
                <w:webHidden/>
              </w:rPr>
              <w:t>2</w:t>
            </w:r>
            <w:r>
              <w:rPr>
                <w:noProof/>
                <w:webHidden/>
              </w:rPr>
              <w:fldChar w:fldCharType="end"/>
            </w:r>
          </w:hyperlink>
        </w:p>
        <w:p>
          <w:pPr>
            <w:pStyle w:val="TOC1"/>
            <w:rPr>
              <w:rFonts w:eastAsiaTheme="minorEastAsia"/>
              <w:noProof/>
              <w:lang w:eastAsia="sv-SE"/>
            </w:rPr>
          </w:pPr>
          <w:hyperlink w:anchor="_Toc34922094" w:history="1">
            <w:r>
              <w:rPr>
                <w:rStyle w:val="Hyperlink"/>
                <w:rFonts w:ascii="Times New Roman" w:hAnsi="Times New Roman" w:cs="Times New Roman"/>
                <w:b/>
                <w:noProof/>
              </w:rPr>
              <w:t>2.</w:t>
            </w:r>
            <w:r>
              <w:rPr>
                <w:rFonts w:eastAsiaTheme="minorEastAsia"/>
                <w:noProof/>
                <w:lang w:eastAsia="sv-SE"/>
              </w:rPr>
              <w:tab/>
            </w:r>
            <w:r>
              <w:rPr>
                <w:rStyle w:val="Hyperlink"/>
                <w:rFonts w:ascii="Times New Roman" w:hAnsi="Times New Roman"/>
                <w:b/>
                <w:noProof/>
              </w:rPr>
              <w:t>Guadeloupe</w:t>
            </w:r>
            <w:r>
              <w:rPr>
                <w:noProof/>
                <w:webHidden/>
              </w:rPr>
              <w:tab/>
            </w:r>
            <w:r>
              <w:rPr>
                <w:noProof/>
                <w:webHidden/>
              </w:rPr>
              <w:fldChar w:fldCharType="begin"/>
            </w:r>
            <w:r>
              <w:rPr>
                <w:noProof/>
                <w:webHidden/>
              </w:rPr>
              <w:instrText xml:space="preserve"> PAGEREF _Toc34922094 \h </w:instrText>
            </w:r>
            <w:r>
              <w:rPr>
                <w:noProof/>
                <w:webHidden/>
              </w:rPr>
            </w:r>
            <w:r>
              <w:rPr>
                <w:noProof/>
                <w:webHidden/>
              </w:rPr>
              <w:fldChar w:fldCharType="separate"/>
            </w:r>
            <w:r>
              <w:rPr>
                <w:noProof/>
                <w:webHidden/>
              </w:rPr>
              <w:t>4</w:t>
            </w:r>
            <w:r>
              <w:rPr>
                <w:noProof/>
                <w:webHidden/>
              </w:rPr>
              <w:fldChar w:fldCharType="end"/>
            </w:r>
          </w:hyperlink>
        </w:p>
        <w:p>
          <w:pPr>
            <w:pStyle w:val="TOC1"/>
            <w:rPr>
              <w:rFonts w:eastAsiaTheme="minorEastAsia"/>
              <w:noProof/>
              <w:lang w:eastAsia="sv-SE"/>
            </w:rPr>
          </w:pPr>
          <w:hyperlink w:anchor="_Toc34922095" w:history="1">
            <w:r>
              <w:rPr>
                <w:rStyle w:val="Hyperlink"/>
                <w:rFonts w:ascii="Times New Roman" w:hAnsi="Times New Roman" w:cs="Times New Roman"/>
                <w:b/>
                <w:noProof/>
              </w:rPr>
              <w:t>3.</w:t>
            </w:r>
            <w:r>
              <w:rPr>
                <w:rFonts w:eastAsiaTheme="minorEastAsia"/>
                <w:noProof/>
                <w:lang w:eastAsia="sv-SE"/>
              </w:rPr>
              <w:tab/>
            </w:r>
            <w:r>
              <w:rPr>
                <w:rStyle w:val="Hyperlink"/>
                <w:rFonts w:ascii="Times New Roman" w:hAnsi="Times New Roman"/>
                <w:b/>
                <w:noProof/>
              </w:rPr>
              <w:t>Franska Guyana</w:t>
            </w:r>
            <w:r>
              <w:rPr>
                <w:noProof/>
                <w:webHidden/>
              </w:rPr>
              <w:tab/>
            </w:r>
            <w:r>
              <w:rPr>
                <w:noProof/>
                <w:webHidden/>
              </w:rPr>
              <w:fldChar w:fldCharType="begin"/>
            </w:r>
            <w:r>
              <w:rPr>
                <w:noProof/>
                <w:webHidden/>
              </w:rPr>
              <w:instrText xml:space="preserve"> PAGEREF _Toc34922095 \h </w:instrText>
            </w:r>
            <w:r>
              <w:rPr>
                <w:noProof/>
                <w:webHidden/>
              </w:rPr>
            </w:r>
            <w:r>
              <w:rPr>
                <w:noProof/>
                <w:webHidden/>
              </w:rPr>
              <w:fldChar w:fldCharType="separate"/>
            </w:r>
            <w:r>
              <w:rPr>
                <w:noProof/>
                <w:webHidden/>
              </w:rPr>
              <w:t>5</w:t>
            </w:r>
            <w:r>
              <w:rPr>
                <w:noProof/>
                <w:webHidden/>
              </w:rPr>
              <w:fldChar w:fldCharType="end"/>
            </w:r>
          </w:hyperlink>
        </w:p>
        <w:p>
          <w:pPr>
            <w:pStyle w:val="TOC1"/>
            <w:rPr>
              <w:rFonts w:eastAsiaTheme="minorEastAsia"/>
              <w:noProof/>
              <w:lang w:eastAsia="sv-SE"/>
            </w:rPr>
          </w:pPr>
          <w:hyperlink w:anchor="_Toc34922096" w:history="1">
            <w:r>
              <w:rPr>
                <w:rStyle w:val="Hyperlink"/>
                <w:rFonts w:ascii="Times New Roman" w:hAnsi="Times New Roman" w:cs="Times New Roman"/>
                <w:b/>
                <w:noProof/>
              </w:rPr>
              <w:t>4.</w:t>
            </w:r>
            <w:r>
              <w:rPr>
                <w:rFonts w:eastAsiaTheme="minorEastAsia"/>
                <w:noProof/>
                <w:lang w:eastAsia="sv-SE"/>
              </w:rPr>
              <w:tab/>
            </w:r>
            <w:r>
              <w:rPr>
                <w:rStyle w:val="Hyperlink"/>
                <w:rFonts w:ascii="Times New Roman" w:hAnsi="Times New Roman"/>
                <w:b/>
                <w:noProof/>
              </w:rPr>
              <w:t>Martinique</w:t>
            </w:r>
            <w:r>
              <w:rPr>
                <w:noProof/>
                <w:webHidden/>
              </w:rPr>
              <w:tab/>
            </w:r>
            <w:r>
              <w:rPr>
                <w:noProof/>
                <w:webHidden/>
              </w:rPr>
              <w:fldChar w:fldCharType="begin"/>
            </w:r>
            <w:r>
              <w:rPr>
                <w:noProof/>
                <w:webHidden/>
              </w:rPr>
              <w:instrText xml:space="preserve"> PAGEREF _Toc34922096 \h </w:instrText>
            </w:r>
            <w:r>
              <w:rPr>
                <w:noProof/>
                <w:webHidden/>
              </w:rPr>
            </w:r>
            <w:r>
              <w:rPr>
                <w:noProof/>
                <w:webHidden/>
              </w:rPr>
              <w:fldChar w:fldCharType="separate"/>
            </w:r>
            <w:r>
              <w:rPr>
                <w:noProof/>
                <w:webHidden/>
              </w:rPr>
              <w:t>7</w:t>
            </w:r>
            <w:r>
              <w:rPr>
                <w:noProof/>
                <w:webHidden/>
              </w:rPr>
              <w:fldChar w:fldCharType="end"/>
            </w:r>
          </w:hyperlink>
        </w:p>
        <w:p>
          <w:pPr>
            <w:pStyle w:val="TOC1"/>
            <w:rPr>
              <w:rFonts w:eastAsiaTheme="minorEastAsia"/>
              <w:noProof/>
              <w:lang w:eastAsia="sv-SE"/>
            </w:rPr>
          </w:pPr>
          <w:hyperlink w:anchor="_Toc34922097" w:history="1">
            <w:r>
              <w:rPr>
                <w:rStyle w:val="Hyperlink"/>
                <w:rFonts w:ascii="Times New Roman" w:hAnsi="Times New Roman" w:cs="Times New Roman"/>
                <w:b/>
                <w:noProof/>
              </w:rPr>
              <w:t>5.</w:t>
            </w:r>
            <w:r>
              <w:rPr>
                <w:rFonts w:eastAsiaTheme="minorEastAsia"/>
                <w:noProof/>
                <w:lang w:eastAsia="sv-SE"/>
              </w:rPr>
              <w:tab/>
            </w:r>
            <w:r>
              <w:rPr>
                <w:rStyle w:val="Hyperlink"/>
                <w:rFonts w:ascii="Times New Roman" w:hAnsi="Times New Roman"/>
                <w:b/>
                <w:noProof/>
              </w:rPr>
              <w:t>Réunion</w:t>
            </w:r>
            <w:r>
              <w:rPr>
                <w:noProof/>
                <w:webHidden/>
              </w:rPr>
              <w:tab/>
            </w:r>
            <w:r>
              <w:rPr>
                <w:noProof/>
                <w:webHidden/>
              </w:rPr>
              <w:fldChar w:fldCharType="begin"/>
            </w:r>
            <w:r>
              <w:rPr>
                <w:noProof/>
                <w:webHidden/>
              </w:rPr>
              <w:instrText xml:space="preserve"> PAGEREF _Toc34922097 \h </w:instrText>
            </w:r>
            <w:r>
              <w:rPr>
                <w:noProof/>
                <w:webHidden/>
              </w:rPr>
            </w:r>
            <w:r>
              <w:rPr>
                <w:noProof/>
                <w:webHidden/>
              </w:rPr>
              <w:fldChar w:fldCharType="separate"/>
            </w:r>
            <w:r>
              <w:rPr>
                <w:noProof/>
                <w:webHidden/>
              </w:rPr>
              <w:t>9</w:t>
            </w:r>
            <w:r>
              <w:rPr>
                <w:noProof/>
                <w:webHidden/>
              </w:rPr>
              <w:fldChar w:fldCharType="end"/>
            </w:r>
          </w:hyperlink>
        </w:p>
        <w:p>
          <w:pPr>
            <w:pStyle w:val="TOC1"/>
            <w:rPr>
              <w:rFonts w:eastAsiaTheme="minorEastAsia"/>
              <w:noProof/>
              <w:lang w:eastAsia="sv-SE"/>
            </w:rPr>
          </w:pPr>
          <w:hyperlink w:anchor="_Toc34922098" w:history="1">
            <w:r>
              <w:rPr>
                <w:rStyle w:val="Hyperlink"/>
                <w:rFonts w:ascii="Times New Roman" w:hAnsi="Times New Roman" w:cs="Times New Roman"/>
                <w:b/>
                <w:noProof/>
              </w:rPr>
              <w:t>6.</w:t>
            </w:r>
            <w:r>
              <w:rPr>
                <w:rFonts w:eastAsiaTheme="minorEastAsia"/>
                <w:noProof/>
                <w:lang w:eastAsia="sv-SE"/>
              </w:rPr>
              <w:tab/>
            </w:r>
            <w:r>
              <w:rPr>
                <w:rStyle w:val="Hyperlink"/>
                <w:rFonts w:ascii="Times New Roman" w:hAnsi="Times New Roman"/>
                <w:b/>
                <w:noProof/>
              </w:rPr>
              <w:t>Saint-Martin</w:t>
            </w:r>
            <w:r>
              <w:rPr>
                <w:noProof/>
                <w:webHidden/>
              </w:rPr>
              <w:tab/>
            </w:r>
            <w:r>
              <w:rPr>
                <w:noProof/>
                <w:webHidden/>
              </w:rPr>
              <w:fldChar w:fldCharType="begin"/>
            </w:r>
            <w:r>
              <w:rPr>
                <w:noProof/>
                <w:webHidden/>
              </w:rPr>
              <w:instrText xml:space="preserve"> PAGEREF _Toc34922098 \h </w:instrText>
            </w:r>
            <w:r>
              <w:rPr>
                <w:noProof/>
                <w:webHidden/>
              </w:rPr>
            </w:r>
            <w:r>
              <w:rPr>
                <w:noProof/>
                <w:webHidden/>
              </w:rPr>
              <w:fldChar w:fldCharType="separate"/>
            </w:r>
            <w:r>
              <w:rPr>
                <w:noProof/>
                <w:webHidden/>
              </w:rPr>
              <w:t>11</w:t>
            </w:r>
            <w:r>
              <w:rPr>
                <w:noProof/>
                <w:webHidden/>
              </w:rPr>
              <w:fldChar w:fldCharType="end"/>
            </w:r>
          </w:hyperlink>
        </w:p>
        <w:p>
          <w:pPr>
            <w:pStyle w:val="TOC1"/>
            <w:rPr>
              <w:rFonts w:eastAsiaTheme="minorEastAsia"/>
              <w:noProof/>
              <w:lang w:eastAsia="sv-SE"/>
            </w:rPr>
          </w:pPr>
          <w:hyperlink w:anchor="_Toc34922099" w:history="1">
            <w:r>
              <w:rPr>
                <w:rStyle w:val="Hyperlink"/>
                <w:rFonts w:ascii="Times New Roman" w:hAnsi="Times New Roman" w:cs="Times New Roman"/>
                <w:b/>
                <w:noProof/>
              </w:rPr>
              <w:t>7.</w:t>
            </w:r>
            <w:r>
              <w:rPr>
                <w:rFonts w:eastAsiaTheme="minorEastAsia"/>
                <w:noProof/>
                <w:lang w:eastAsia="sv-SE"/>
              </w:rPr>
              <w:tab/>
            </w:r>
            <w:r>
              <w:rPr>
                <w:rStyle w:val="Hyperlink"/>
                <w:rFonts w:ascii="Times New Roman" w:hAnsi="Times New Roman"/>
                <w:b/>
                <w:noProof/>
              </w:rPr>
              <w:t>Mayotte</w:t>
            </w:r>
            <w:r>
              <w:rPr>
                <w:noProof/>
                <w:webHidden/>
              </w:rPr>
              <w:tab/>
            </w:r>
            <w:r>
              <w:rPr>
                <w:noProof/>
                <w:webHidden/>
              </w:rPr>
              <w:fldChar w:fldCharType="begin"/>
            </w:r>
            <w:r>
              <w:rPr>
                <w:noProof/>
                <w:webHidden/>
              </w:rPr>
              <w:instrText xml:space="preserve"> PAGEREF _Toc34922099 \h </w:instrText>
            </w:r>
            <w:r>
              <w:rPr>
                <w:noProof/>
                <w:webHidden/>
              </w:rPr>
            </w:r>
            <w:r>
              <w:rPr>
                <w:noProof/>
                <w:webHidden/>
              </w:rPr>
              <w:fldChar w:fldCharType="separate"/>
            </w:r>
            <w:r>
              <w:rPr>
                <w:noProof/>
                <w:webHidden/>
              </w:rPr>
              <w:t>12</w:t>
            </w:r>
            <w:r>
              <w:rPr>
                <w:noProof/>
                <w:webHidden/>
              </w:rPr>
              <w:fldChar w:fldCharType="end"/>
            </w:r>
          </w:hyperlink>
        </w:p>
        <w:p>
          <w:pPr>
            <w:pStyle w:val="TOC1"/>
            <w:rPr>
              <w:rFonts w:eastAsiaTheme="minorEastAsia"/>
              <w:noProof/>
              <w:lang w:eastAsia="sv-SE"/>
            </w:rPr>
          </w:pPr>
          <w:hyperlink w:anchor="_Toc34922100" w:history="1">
            <w:r>
              <w:rPr>
                <w:rStyle w:val="Hyperlink"/>
                <w:rFonts w:ascii="Times New Roman" w:hAnsi="Times New Roman" w:cs="Times New Roman"/>
                <w:b/>
                <w:noProof/>
              </w:rPr>
              <w:t>8.</w:t>
            </w:r>
            <w:r>
              <w:rPr>
                <w:rFonts w:eastAsiaTheme="minorEastAsia"/>
                <w:noProof/>
                <w:lang w:eastAsia="sv-SE"/>
              </w:rPr>
              <w:tab/>
            </w:r>
            <w:r>
              <w:rPr>
                <w:rStyle w:val="Hyperlink"/>
                <w:rFonts w:ascii="Times New Roman" w:hAnsi="Times New Roman"/>
                <w:b/>
                <w:noProof/>
              </w:rPr>
              <w:t>Portugal</w:t>
            </w:r>
            <w:r>
              <w:rPr>
                <w:noProof/>
                <w:webHidden/>
              </w:rPr>
              <w:tab/>
            </w:r>
            <w:r>
              <w:rPr>
                <w:noProof/>
                <w:webHidden/>
              </w:rPr>
              <w:fldChar w:fldCharType="begin"/>
            </w:r>
            <w:r>
              <w:rPr>
                <w:noProof/>
                <w:webHidden/>
              </w:rPr>
              <w:instrText xml:space="preserve"> PAGEREF _Toc34922100 \h </w:instrText>
            </w:r>
            <w:r>
              <w:rPr>
                <w:noProof/>
                <w:webHidden/>
              </w:rPr>
            </w:r>
            <w:r>
              <w:rPr>
                <w:noProof/>
                <w:webHidden/>
              </w:rPr>
              <w:fldChar w:fldCharType="separate"/>
            </w:r>
            <w:r>
              <w:rPr>
                <w:noProof/>
                <w:webHidden/>
              </w:rPr>
              <w:t>13</w:t>
            </w:r>
            <w:r>
              <w:rPr>
                <w:noProof/>
                <w:webHidden/>
              </w:rPr>
              <w:fldChar w:fldCharType="end"/>
            </w:r>
          </w:hyperlink>
        </w:p>
        <w:p>
          <w:pPr>
            <w:pStyle w:val="TOC1"/>
            <w:rPr>
              <w:rFonts w:eastAsiaTheme="minorEastAsia"/>
              <w:noProof/>
              <w:lang w:eastAsia="sv-SE"/>
            </w:rPr>
          </w:pPr>
          <w:hyperlink w:anchor="_Toc34922101" w:history="1">
            <w:r>
              <w:rPr>
                <w:rStyle w:val="Hyperlink"/>
                <w:rFonts w:ascii="Times New Roman" w:hAnsi="Times New Roman" w:cs="Times New Roman"/>
                <w:b/>
                <w:noProof/>
              </w:rPr>
              <w:t>9.</w:t>
            </w:r>
            <w:r>
              <w:rPr>
                <w:rFonts w:eastAsiaTheme="minorEastAsia"/>
                <w:noProof/>
                <w:lang w:eastAsia="sv-SE"/>
              </w:rPr>
              <w:tab/>
            </w:r>
            <w:r>
              <w:rPr>
                <w:rStyle w:val="Hyperlink"/>
                <w:rFonts w:ascii="Times New Roman" w:hAnsi="Times New Roman"/>
                <w:b/>
                <w:noProof/>
              </w:rPr>
              <w:t>Azorerna</w:t>
            </w:r>
            <w:r>
              <w:rPr>
                <w:noProof/>
                <w:webHidden/>
              </w:rPr>
              <w:tab/>
            </w:r>
            <w:r>
              <w:rPr>
                <w:noProof/>
                <w:webHidden/>
              </w:rPr>
              <w:fldChar w:fldCharType="begin"/>
            </w:r>
            <w:r>
              <w:rPr>
                <w:noProof/>
                <w:webHidden/>
              </w:rPr>
              <w:instrText xml:space="preserve"> PAGEREF _Toc34922101 \h </w:instrText>
            </w:r>
            <w:r>
              <w:rPr>
                <w:noProof/>
                <w:webHidden/>
              </w:rPr>
            </w:r>
            <w:r>
              <w:rPr>
                <w:noProof/>
                <w:webHidden/>
              </w:rPr>
              <w:fldChar w:fldCharType="separate"/>
            </w:r>
            <w:r>
              <w:rPr>
                <w:noProof/>
                <w:webHidden/>
              </w:rPr>
              <w:t>14</w:t>
            </w:r>
            <w:r>
              <w:rPr>
                <w:noProof/>
                <w:webHidden/>
              </w:rPr>
              <w:fldChar w:fldCharType="end"/>
            </w:r>
          </w:hyperlink>
        </w:p>
        <w:p>
          <w:pPr>
            <w:pStyle w:val="TOC1"/>
            <w:rPr>
              <w:rFonts w:eastAsiaTheme="minorEastAsia"/>
              <w:noProof/>
              <w:lang w:eastAsia="sv-SE"/>
            </w:rPr>
          </w:pPr>
          <w:hyperlink w:anchor="_Toc34922102" w:history="1">
            <w:r>
              <w:rPr>
                <w:rStyle w:val="Hyperlink"/>
                <w:rFonts w:ascii="Times New Roman" w:hAnsi="Times New Roman" w:cs="Times New Roman"/>
                <w:b/>
                <w:noProof/>
              </w:rPr>
              <w:t>10.</w:t>
            </w:r>
            <w:r>
              <w:rPr>
                <w:rFonts w:eastAsiaTheme="minorEastAsia"/>
                <w:noProof/>
                <w:lang w:eastAsia="sv-SE"/>
              </w:rPr>
              <w:tab/>
            </w:r>
            <w:r>
              <w:rPr>
                <w:rStyle w:val="Hyperlink"/>
                <w:rFonts w:ascii="Times New Roman" w:hAnsi="Times New Roman"/>
                <w:b/>
                <w:noProof/>
              </w:rPr>
              <w:t>Madeira</w:t>
            </w:r>
            <w:r>
              <w:rPr>
                <w:noProof/>
                <w:webHidden/>
              </w:rPr>
              <w:tab/>
            </w:r>
            <w:r>
              <w:rPr>
                <w:noProof/>
                <w:webHidden/>
              </w:rPr>
              <w:fldChar w:fldCharType="begin"/>
            </w:r>
            <w:r>
              <w:rPr>
                <w:noProof/>
                <w:webHidden/>
              </w:rPr>
              <w:instrText xml:space="preserve"> PAGEREF _Toc34922102 \h </w:instrText>
            </w:r>
            <w:r>
              <w:rPr>
                <w:noProof/>
                <w:webHidden/>
              </w:rPr>
            </w:r>
            <w:r>
              <w:rPr>
                <w:noProof/>
                <w:webHidden/>
              </w:rPr>
              <w:fldChar w:fldCharType="separate"/>
            </w:r>
            <w:r>
              <w:rPr>
                <w:noProof/>
                <w:webHidden/>
              </w:rPr>
              <w:t>16</w:t>
            </w:r>
            <w:r>
              <w:rPr>
                <w:noProof/>
                <w:webHidden/>
              </w:rPr>
              <w:fldChar w:fldCharType="end"/>
            </w:r>
          </w:hyperlink>
        </w:p>
        <w:p>
          <w:pPr>
            <w:pStyle w:val="TOC1"/>
            <w:rPr>
              <w:rFonts w:eastAsiaTheme="minorEastAsia"/>
              <w:noProof/>
              <w:lang w:eastAsia="sv-SE"/>
            </w:rPr>
          </w:pPr>
          <w:hyperlink w:anchor="_Toc34922103" w:history="1">
            <w:r>
              <w:rPr>
                <w:rStyle w:val="Hyperlink"/>
                <w:rFonts w:ascii="Times New Roman" w:hAnsi="Times New Roman" w:cs="Times New Roman"/>
                <w:b/>
                <w:noProof/>
              </w:rPr>
              <w:t>11.</w:t>
            </w:r>
            <w:r>
              <w:rPr>
                <w:rFonts w:eastAsiaTheme="minorEastAsia"/>
                <w:noProof/>
                <w:lang w:eastAsia="sv-SE"/>
              </w:rPr>
              <w:tab/>
            </w:r>
            <w:r>
              <w:rPr>
                <w:rStyle w:val="Hyperlink"/>
                <w:rFonts w:ascii="Times New Roman" w:hAnsi="Times New Roman"/>
                <w:b/>
                <w:noProof/>
              </w:rPr>
              <w:t>Spanien</w:t>
            </w:r>
            <w:r>
              <w:rPr>
                <w:noProof/>
                <w:webHidden/>
              </w:rPr>
              <w:tab/>
            </w:r>
            <w:r>
              <w:rPr>
                <w:noProof/>
                <w:webHidden/>
              </w:rPr>
              <w:fldChar w:fldCharType="begin"/>
            </w:r>
            <w:r>
              <w:rPr>
                <w:noProof/>
                <w:webHidden/>
              </w:rPr>
              <w:instrText xml:space="preserve"> PAGEREF _Toc34922103 \h </w:instrText>
            </w:r>
            <w:r>
              <w:rPr>
                <w:noProof/>
                <w:webHidden/>
              </w:rPr>
            </w:r>
            <w:r>
              <w:rPr>
                <w:noProof/>
                <w:webHidden/>
              </w:rPr>
              <w:fldChar w:fldCharType="separate"/>
            </w:r>
            <w:r>
              <w:rPr>
                <w:noProof/>
                <w:webHidden/>
              </w:rPr>
              <w:t>18</w:t>
            </w:r>
            <w:r>
              <w:rPr>
                <w:noProof/>
                <w:webHidden/>
              </w:rPr>
              <w:fldChar w:fldCharType="end"/>
            </w:r>
          </w:hyperlink>
        </w:p>
        <w:p>
          <w:pPr>
            <w:pStyle w:val="TOC1"/>
            <w:rPr>
              <w:rFonts w:eastAsiaTheme="minorEastAsia"/>
              <w:noProof/>
              <w:lang w:eastAsia="sv-SE"/>
            </w:rPr>
          </w:pPr>
          <w:hyperlink w:anchor="_Toc34922104" w:history="1">
            <w:r>
              <w:rPr>
                <w:rStyle w:val="Hyperlink"/>
                <w:rFonts w:ascii="Times New Roman" w:hAnsi="Times New Roman" w:cs="Times New Roman"/>
                <w:b/>
                <w:noProof/>
              </w:rPr>
              <w:t>12.</w:t>
            </w:r>
            <w:r>
              <w:rPr>
                <w:rFonts w:eastAsiaTheme="minorEastAsia"/>
                <w:noProof/>
                <w:lang w:eastAsia="sv-SE"/>
              </w:rPr>
              <w:tab/>
            </w:r>
            <w:r>
              <w:rPr>
                <w:rStyle w:val="Hyperlink"/>
                <w:rFonts w:ascii="Times New Roman" w:hAnsi="Times New Roman"/>
                <w:b/>
                <w:noProof/>
              </w:rPr>
              <w:t>Kanarieöarna</w:t>
            </w:r>
            <w:r>
              <w:rPr>
                <w:noProof/>
                <w:webHidden/>
              </w:rPr>
              <w:tab/>
            </w:r>
            <w:r>
              <w:rPr>
                <w:noProof/>
                <w:webHidden/>
              </w:rPr>
              <w:fldChar w:fldCharType="begin"/>
            </w:r>
            <w:r>
              <w:rPr>
                <w:noProof/>
                <w:webHidden/>
              </w:rPr>
              <w:instrText xml:space="preserve"> PAGEREF _Toc34922104 \h </w:instrText>
            </w:r>
            <w:r>
              <w:rPr>
                <w:noProof/>
                <w:webHidden/>
              </w:rPr>
            </w:r>
            <w:r>
              <w:rPr>
                <w:noProof/>
                <w:webHidden/>
              </w:rPr>
              <w:fldChar w:fldCharType="separate"/>
            </w:r>
            <w:r>
              <w:rPr>
                <w:noProof/>
                <w:webHidden/>
              </w:rPr>
              <w:t>19</w:t>
            </w:r>
            <w:r>
              <w:rPr>
                <w:noProof/>
                <w:webHidden/>
              </w:rPr>
              <w:fldChar w:fldCharType="end"/>
            </w:r>
          </w:hyperlink>
        </w:p>
        <w:p>
          <w:pPr>
            <w:rPr>
              <w:noProof/>
            </w:rPr>
          </w:pPr>
          <w:r>
            <w:rPr>
              <w:b/>
              <w:bCs/>
              <w:noProof/>
            </w:rPr>
            <w:fldChar w:fldCharType="end"/>
          </w:r>
        </w:p>
      </w:sdtContent>
    </w:sdt>
    <w:p>
      <w:pPr>
        <w:spacing w:after="120" w:line="240" w:lineRule="auto"/>
        <w:rPr>
          <w:rFonts w:ascii="Times New Roman" w:hAnsi="Times New Roman" w:cs="Times New Roman"/>
          <w:b/>
          <w:noProof/>
          <w:sz w:val="24"/>
          <w:szCs w:val="24"/>
          <w:highlight w:val="lightGray"/>
        </w:rPr>
      </w:pPr>
      <w:r>
        <w:rPr>
          <w:noProof/>
        </w:rPr>
        <w:br w:type="page"/>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bookmarkStart w:id="2" w:name="_Toc34922093"/>
      <w:r>
        <w:rPr>
          <w:rFonts w:ascii="Times New Roman" w:hAnsi="Times New Roman"/>
          <w:b/>
          <w:noProof/>
          <w:sz w:val="24"/>
          <w:szCs w:val="24"/>
        </w:rPr>
        <w:t>Frankrike</w:t>
      </w:r>
      <w:bookmarkEnd w:id="2"/>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På grund av hur landets institutioner är organiserade fastställer Frankrike strategiska ramar för offentlig politik på många av de områden som omfattas av meddelandet om de yttersta randområdena på nationell och lokal nivå. </w:t>
      </w:r>
    </w:p>
    <w:p>
      <w:pPr>
        <w:pStyle w:val="ListParagraph"/>
        <w:numPr>
          <w:ilvl w:val="0"/>
          <w:numId w:val="1"/>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Antog en blåbok för Frankrikes yttersta randområden och utomeuropeiska länder och territorier i juni 2018, efter samråd under 2017.</w:t>
      </w:r>
    </w:p>
    <w:p>
      <w:pPr>
        <w:pStyle w:val="ListParagraph"/>
        <w:numPr>
          <w:ilvl w:val="0"/>
          <w:numId w:val="1"/>
        </w:numPr>
        <w:jc w:val="both"/>
        <w:rPr>
          <w:rFonts w:ascii="Times New Roman" w:hAnsi="Times New Roman" w:cs="Times New Roman"/>
          <w:noProof/>
          <w:sz w:val="24"/>
          <w:szCs w:val="24"/>
        </w:rPr>
      </w:pPr>
      <w:r>
        <w:rPr>
          <w:rFonts w:ascii="Times New Roman" w:hAnsi="Times New Roman"/>
          <w:noProof/>
          <w:sz w:val="24"/>
          <w:szCs w:val="24"/>
        </w:rPr>
        <w:t xml:space="preserve">Lanserade </w:t>
      </w:r>
      <w:r>
        <w:rPr>
          <w:rFonts w:ascii="Times New Roman" w:hAnsi="Times New Roman"/>
          <w:i/>
          <w:noProof/>
          <w:sz w:val="24"/>
          <w:szCs w:val="24"/>
        </w:rPr>
        <w:t>Trajectoire outre-mer 5.0</w:t>
      </w:r>
      <w:r>
        <w:rPr>
          <w:rFonts w:ascii="Times New Roman" w:hAnsi="Times New Roman"/>
          <w:noProof/>
          <w:sz w:val="24"/>
          <w:szCs w:val="24"/>
        </w:rPr>
        <w:t xml:space="preserve"> i april 2019 som syftar till att uppfylla en nollvision för koldioxidutsläpp, avfall, jordbruksföroreningar, utestängning och sårbarhet. </w:t>
      </w:r>
    </w:p>
    <w:p>
      <w:pPr>
        <w:pStyle w:val="ListParagraph"/>
        <w:numPr>
          <w:ilvl w:val="0"/>
          <w:numId w:val="1"/>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Förbättrar insamlingen av uppgifter i de yttersta randområdena, särskilt i Mayotte, och samarbetar med Saint-Martins myndigheter för att tillgodose detta territoriums särskilda behov.</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Blå ekonomi</w:t>
      </w:r>
    </w:p>
    <w:p>
      <w:pPr>
        <w:pStyle w:val="ListParagraph"/>
        <w:numPr>
          <w:ilvl w:val="0"/>
          <w:numId w:val="2"/>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Samarbetar med regioner och lokala intressenter för att senast 2020 färdigställa ett strategiskt dokument för varje havsområde som en del av genomförandet av 2017 års nationella strategi för havet och kusterna för att stödja blå tillväxt och skydda den marina miljön.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Biologisk mångfald</w:t>
      </w:r>
    </w:p>
    <w:p>
      <w:pPr>
        <w:pStyle w:val="ListParagraph"/>
        <w:numPr>
          <w:ilvl w:val="0"/>
          <w:numId w:val="2"/>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Antog en handlingsplan för att stärka bevarandet av den biologiska mångfalden i juli 2018.</w:t>
      </w:r>
    </w:p>
    <w:p>
      <w:pPr>
        <w:pStyle w:val="ListParagraph"/>
        <w:numPr>
          <w:ilvl w:val="0"/>
          <w:numId w:val="2"/>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Anordnar World Conservation Congress i Marseille (juni 2020) som bidrar till att utveckla samarbetet med regioner i Afrika, Västindien och Stillahavsområdet för att främja gemensamma mål inom ramen för internationella överenskommelser när det gäller frågor såsom bevarande av korallrev.    </w:t>
      </w:r>
    </w:p>
    <w:p>
      <w:pPr>
        <w:pStyle w:val="ListParagraph"/>
        <w:numPr>
          <w:ilvl w:val="0"/>
          <w:numId w:val="2"/>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Planerar att utstationera företrädare för Frankrikes myndighet för biologisk mångfald i Frankrikes yttersta randområden för att samarbeta med de lokala myndigheterna för biologisk mångfald.  </w:t>
      </w:r>
    </w:p>
    <w:p>
      <w:pPr>
        <w:pStyle w:val="ListParagraph"/>
        <w:numPr>
          <w:ilvl w:val="0"/>
          <w:numId w:val="2"/>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Inrättade en nationell tjänst som driver ekonomiska projekt för att främja biologisk mångfald i Franska Guyana i april 2019.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Jordbruk och landsbygdsutveckling</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Genomför den gemensamma fonden för riskhantering i jordbruket för nästa programperiod 2021–2027 såsom fastställts i lagen om verklig jämlikhet för de utomeuropeiska territorierna</w:t>
      </w:r>
      <w:r>
        <w:rPr>
          <w:rFonts w:ascii="Times New Roman" w:hAnsi="Times New Roman" w:cs="Times New Roman"/>
          <w:noProof/>
          <w:sz w:val="24"/>
          <w:szCs w:val="24"/>
          <w:vertAlign w:val="superscript"/>
        </w:rPr>
        <w:footnoteReference w:id="2"/>
      </w:r>
      <w:r>
        <w:rPr>
          <w:rFonts w:ascii="Times New Roman" w:hAnsi="Times New Roman"/>
          <w:noProof/>
          <w:sz w:val="24"/>
          <w:szCs w:val="24"/>
        </w:rPr>
        <w:t xml:space="preserve">. </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Diskuterar riskhanteringsverktyg med försäkringsbolag för att omfatta särskilt bananskördar i slutet av den innevarande programperioden.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Klimatförändringar</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Antog den andra nationella planen för anpassning till klimatförändringar (december 2018), där utmaningarna i de utomeuropeiska territorierna identifieras, särskilt vad gäller uppgiftsinsamling, biologisk mångfald och bevarande av naturresurser, turism och finansiella hävstänger.</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Utsåg en departementsöverskridande delegat för allvarliga risker i utomeuropeiska territorier i april 2019.</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Sysselsättning och utbildning</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Ledde och publicerade en studie om rörligheten hos unga invånare i utomeuropeiska områden som kartlade centrala aktörer och rörlighetsprogram i juni 2019. </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Införde en möjlighet till anställningsavtal som tillåter erhållande av yrkeskvalifikationer med länder som ligger i de yttersta randområdenas grannskap, i enlighet med vad som fastställts i lagen om friheten att välja sin yrkesmässiga framtid</w:t>
      </w:r>
      <w:r>
        <w:rPr>
          <w:rFonts w:ascii="Times New Roman" w:hAnsi="Times New Roman" w:cs="Times New Roman"/>
          <w:noProof/>
          <w:sz w:val="24"/>
          <w:szCs w:val="24"/>
          <w:vertAlign w:val="superscript"/>
        </w:rPr>
        <w:footnoteReference w:id="3"/>
      </w:r>
      <w:r>
        <w:rPr>
          <w:rFonts w:ascii="Times New Roman" w:hAnsi="Times New Roman"/>
          <w:noProof/>
          <w:sz w:val="24"/>
          <w:szCs w:val="24"/>
        </w:rPr>
        <w: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Energi</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Arbetar tillsammans med de lokala myndigheterna i Guadeloupe, Martinique, Franska Guyana, Mayotte och Réunion på översynen av deras fleråriga energiplaner.  </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Undertecknade ett ekologiskt övergångsavtal för att stödja den ekologiska omställningen på lokal nivå i Réunion (april 2019) och Franska Guyana (juli 2019).    </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Planerade 2019 att anslå 530 miljoner euro under de kommande fem åren till alla franska områden som inte är kopplade till det kontinentala elnätet för att kontrollera efterfrågan på energi. 35 % av stödet ska gå till konsumenter som befinner sig i utsatta situationer, inbegripet i de yttersta randområdena.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Cirkulär ekonomi</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Avslutade i februari 2020 en studie om optimering av europeiska medel till avfallshanteringsprojekt för att främja den cirkulära ekonomin i de yttersta randområdena.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Konkurrenskraft, entreprenörskap och den inre marknaden</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Sänkte trösklarna för tillgång till nationellt finansieringsstöd för innovationsprojekt i de yttersta randområdena.  Tillhandahöll ett låneprogram för företag i de yttersta randområdena som varit verksamma i mindre än tre år samt förbättrade finansieringsvillkoren (juni 2019). </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Planerar en inbjudan att anmäla intresse värd 15 miljoner euro för innovation i de franska yttersta randområdena och till de utomeuropeiska länderna och territorierna under första kvartalet 2020.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Digital tillgänglighet</w:t>
      </w:r>
    </w:p>
    <w:p>
      <w:pPr>
        <w:pStyle w:val="ListParagraph"/>
        <w:numPr>
          <w:ilvl w:val="0"/>
          <w:numId w:val="3"/>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Finansierade 15 utbildningscentrum i sina yttersta randområden för att förbättra den digitala kompetensen.</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Samarbete med länder i och bortom grannskapet</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Införde en lag som ska ge de statliga myndigheterna större befogenheter i fråga om kontroll av invandring och asyl (september 2018). Startade ett pilotprojekt om behandling av asylansökningar i Franska Guyana i april 2018. </w:t>
      </w:r>
    </w:p>
    <w:p>
      <w:pPr>
        <w:pStyle w:val="ListParagraph"/>
        <w:numPr>
          <w:ilvl w:val="0"/>
          <w:numId w:val="3"/>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Inrättade ett operativt högkvarter i Mayotte och en departementsöverskridande utredningsgrupp som specialiserar sig på finansiella aspekter på olaglig invandring.</w:t>
      </w:r>
    </w:p>
    <w:p>
      <w:pPr>
        <w:spacing w:after="120" w:line="240" w:lineRule="auto"/>
        <w:rPr>
          <w:noProof/>
          <w:sz w:val="24"/>
          <w:szCs w:val="24"/>
        </w:rPr>
      </w:pPr>
      <w:r>
        <w:rPr>
          <w:noProof/>
          <w:sz w:val="24"/>
          <w:szCs w:val="24"/>
        </w:rPr>
        <w:br w:type="page"/>
      </w:r>
    </w:p>
    <w:p>
      <w:pPr>
        <w:pStyle w:val="ListParagraph"/>
        <w:numPr>
          <w:ilvl w:val="0"/>
          <w:numId w:val="30"/>
        </w:numPr>
        <w:spacing w:after="120" w:line="240" w:lineRule="auto"/>
        <w:ind w:left="357" w:hanging="357"/>
        <w:contextualSpacing w:val="0"/>
        <w:jc w:val="both"/>
        <w:outlineLvl w:val="0"/>
        <w:rPr>
          <w:rFonts w:ascii="Times New Roman" w:hAnsi="Times New Roman" w:cs="Times New Roman"/>
          <w:b/>
          <w:noProof/>
          <w:sz w:val="24"/>
          <w:szCs w:val="24"/>
        </w:rPr>
      </w:pPr>
      <w:bookmarkStart w:id="3" w:name="_Toc34922094"/>
      <w:r>
        <w:rPr>
          <w:rFonts w:ascii="Times New Roman" w:hAnsi="Times New Roman"/>
          <w:b/>
          <w:noProof/>
          <w:sz w:val="24"/>
          <w:szCs w:val="24"/>
        </w:rPr>
        <w:t>Guadeloupe</w:t>
      </w:r>
      <w:bookmarkEnd w:id="3"/>
    </w:p>
    <w:p>
      <w:pPr>
        <w:spacing w:after="120" w:line="240" w:lineRule="auto"/>
        <w:jc w:val="both"/>
        <w:rPr>
          <w:rFonts w:ascii="Times New Roman" w:eastAsia="Calibri" w:hAnsi="Times New Roman" w:cs="Times New Roman"/>
          <w:i/>
          <w:noProof/>
          <w:sz w:val="24"/>
          <w:szCs w:val="24"/>
        </w:rPr>
      </w:pPr>
      <w:r>
        <w:rPr>
          <w:rFonts w:ascii="Times New Roman" w:hAnsi="Times New Roman"/>
          <w:noProof/>
          <w:sz w:val="24"/>
          <w:szCs w:val="24"/>
        </w:rPr>
        <w:t>Guadeloupe gör framsteg i sitt genomförande av meddelandet om de yttersta randområdena. Tonvikten ligger på förnybar energi och energieffektivitet.</w:t>
      </w:r>
    </w:p>
    <w:p>
      <w:pPr>
        <w:spacing w:after="80" w:line="240" w:lineRule="auto"/>
        <w:jc w:val="both"/>
        <w:rPr>
          <w:rFonts w:ascii="Times New Roman" w:eastAsia="Calibri" w:hAnsi="Times New Roman" w:cs="Times New Roman"/>
          <w:noProof/>
          <w:sz w:val="24"/>
          <w:szCs w:val="24"/>
        </w:rPr>
      </w:pPr>
      <w:r>
        <w:rPr>
          <w:rFonts w:ascii="Times New Roman" w:hAnsi="Times New Roman"/>
          <w:noProof/>
          <w:sz w:val="24"/>
          <w:szCs w:val="24"/>
        </w:rPr>
        <w:t>Blå ekonomi</w:t>
      </w:r>
    </w:p>
    <w:p>
      <w:pPr>
        <w:numPr>
          <w:ilvl w:val="0"/>
          <w:numId w:val="4"/>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Invigde ett skeppsvarv på ön Marie-Galante i maj 2019, med målet att tillhandahålla utbildning i lokal know-how för att stödja hållbart fiske. </w:t>
      </w:r>
    </w:p>
    <w:p>
      <w:pPr>
        <w:numPr>
          <w:ilvl w:val="0"/>
          <w:numId w:val="4"/>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Ledde pilotprojektet Orfish (2017–2019) som stödde kunskapsutbyte om skonsamma fiskemetoder mellan fiskare från alla de yttersta randområdena och hade som mål att minska trycket på fiskbestånd nära kusterna (90 % samfinansiering från EU). </w:t>
      </w:r>
    </w:p>
    <w:p>
      <w:pPr>
        <w:spacing w:after="80" w:line="240" w:lineRule="auto"/>
        <w:jc w:val="both"/>
        <w:rPr>
          <w:rFonts w:ascii="Times New Roman" w:eastAsia="Calibri" w:hAnsi="Times New Roman" w:cs="Times New Roman"/>
          <w:noProof/>
          <w:sz w:val="24"/>
          <w:szCs w:val="24"/>
        </w:rPr>
      </w:pPr>
      <w:r>
        <w:rPr>
          <w:rFonts w:ascii="Times New Roman" w:hAnsi="Times New Roman"/>
          <w:noProof/>
          <w:sz w:val="24"/>
          <w:szCs w:val="24"/>
        </w:rPr>
        <w:t>Jordbruk</w:t>
      </w:r>
    </w:p>
    <w:p>
      <w:pPr>
        <w:numPr>
          <w:ilvl w:val="0"/>
          <w:numId w:val="8"/>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Startade ett projekt för att marknadsföra och sälja spritdrycker och jordbruksbaserade livsmedel i Förenta staterna 2019, tillsammans med företag i sektorn, Business France och Frankrikes ministerium för utomeuropeiska områden. </w:t>
      </w:r>
    </w:p>
    <w:p>
      <w:pPr>
        <w:spacing w:after="80" w:line="240" w:lineRule="auto"/>
        <w:jc w:val="both"/>
        <w:rPr>
          <w:rFonts w:ascii="Times New Roman" w:eastAsia="Calibri" w:hAnsi="Times New Roman" w:cs="Times New Roman"/>
          <w:noProof/>
          <w:sz w:val="24"/>
          <w:szCs w:val="24"/>
        </w:rPr>
      </w:pPr>
      <w:r>
        <w:rPr>
          <w:rFonts w:ascii="Times New Roman" w:hAnsi="Times New Roman"/>
          <w:noProof/>
          <w:sz w:val="24"/>
          <w:szCs w:val="24"/>
        </w:rPr>
        <w:t>Biologisk mångfald</w:t>
      </w:r>
    </w:p>
    <w:p>
      <w:pPr>
        <w:numPr>
          <w:ilvl w:val="0"/>
          <w:numId w:val="7"/>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Håller på att inrätta en regional myndighet för biologisk mångfald.</w:t>
      </w:r>
    </w:p>
    <w:p>
      <w:pPr>
        <w:spacing w:after="80" w:line="240" w:lineRule="auto"/>
        <w:jc w:val="both"/>
        <w:rPr>
          <w:rFonts w:ascii="Times New Roman" w:eastAsia="Calibri" w:hAnsi="Times New Roman" w:cs="Times New Roman"/>
          <w:noProof/>
          <w:sz w:val="24"/>
          <w:szCs w:val="24"/>
        </w:rPr>
      </w:pPr>
      <w:r>
        <w:rPr>
          <w:rFonts w:ascii="Times New Roman" w:hAnsi="Times New Roman"/>
          <w:noProof/>
          <w:sz w:val="24"/>
          <w:szCs w:val="24"/>
        </w:rPr>
        <w:t>Cirkulär ekonomi</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Lade i oktober 2018 fram en regional plan för nollavfall fram till 2035 i syfte att minska avfallet per invånare och energiberoendet samt att inrätta åtta anläggningar för avfallsinsamling. </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Stödde lokala företag genom Europeiska regionala utvecklingsfonden så att de kunde behandla metallavfall och skadade fordon efter de tropiska cyklonerna Irma och Maria.</w:t>
      </w:r>
    </w:p>
    <w:p>
      <w:pPr>
        <w:spacing w:after="80" w:line="240" w:lineRule="auto"/>
        <w:jc w:val="both"/>
        <w:rPr>
          <w:rFonts w:ascii="Times New Roman" w:eastAsia="Calibri" w:hAnsi="Times New Roman" w:cs="Times New Roman"/>
          <w:noProof/>
          <w:sz w:val="24"/>
          <w:szCs w:val="24"/>
        </w:rPr>
      </w:pPr>
      <w:r>
        <w:rPr>
          <w:rFonts w:ascii="Times New Roman" w:hAnsi="Times New Roman"/>
          <w:noProof/>
          <w:sz w:val="24"/>
          <w:szCs w:val="24"/>
        </w:rPr>
        <w:t>Energi</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Invigde solenergidrivna laddningsstationer för fordon i juni 2018 för att främja användning av överskottsenergi från solen. </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Påbörjade ett projekt för installation av solceller i kommunen Sainte Roses avfallshanteringsanläggning (mars 2019) för att minska utsläppen och öka energieffektiviteten.</w:t>
      </w:r>
    </w:p>
    <w:p>
      <w:pPr>
        <w:numPr>
          <w:ilvl w:val="0"/>
          <w:numId w:val="5"/>
        </w:numPr>
        <w:spacing w:after="120" w:line="240" w:lineRule="auto"/>
        <w:jc w:val="both"/>
        <w:rPr>
          <w:rFonts w:ascii="Times New Roman" w:hAnsi="Times New Roman"/>
          <w:noProof/>
          <w:sz w:val="24"/>
          <w:szCs w:val="24"/>
        </w:rPr>
      </w:pPr>
      <w:r>
        <w:rPr>
          <w:rFonts w:ascii="Times New Roman" w:hAnsi="Times New Roman"/>
          <w:noProof/>
          <w:sz w:val="24"/>
          <w:szCs w:val="24"/>
        </w:rPr>
        <w:t>Inrättade ett nytt kommunalt kraftverk för gatubelysning i februari 2019, vilket förväntas minska energiförbrukningen med 75 %. Förbättrade gatubelysningen i två kommuner med stöd från Europeiska regionala utvecklingsfonden.</w:t>
      </w:r>
    </w:p>
    <w:p>
      <w:pPr>
        <w:spacing w:after="80" w:line="240" w:lineRule="auto"/>
        <w:jc w:val="both"/>
        <w:rPr>
          <w:rFonts w:ascii="Times New Roman" w:eastAsia="Calibri" w:hAnsi="Times New Roman" w:cs="Times New Roman"/>
          <w:noProof/>
          <w:sz w:val="24"/>
          <w:szCs w:val="24"/>
        </w:rPr>
      </w:pPr>
      <w:r>
        <w:rPr>
          <w:rFonts w:ascii="Times New Roman" w:hAnsi="Times New Roman"/>
          <w:noProof/>
          <w:sz w:val="24"/>
          <w:szCs w:val="24"/>
        </w:rPr>
        <w:t>Forskning och innovation</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Installerade vågregistrerare för att förbättra förebyggandet av betydande naturrisker med koppling till havet (mars 2019).</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Installerade ny utrustning för cancerdiagnostik och öppnade det första förvaltningscentrumet för cancerdiagnostik i Västindien i juni 2018. </w:t>
      </w:r>
    </w:p>
    <w:p>
      <w:pPr>
        <w:spacing w:after="80" w:line="240" w:lineRule="auto"/>
        <w:jc w:val="both"/>
        <w:rPr>
          <w:rFonts w:ascii="Times New Roman" w:eastAsia="Calibri" w:hAnsi="Times New Roman" w:cs="Times New Roman"/>
          <w:noProof/>
          <w:sz w:val="24"/>
          <w:szCs w:val="24"/>
        </w:rPr>
      </w:pPr>
      <w:r>
        <w:rPr>
          <w:rFonts w:ascii="Times New Roman" w:hAnsi="Times New Roman"/>
          <w:noProof/>
          <w:sz w:val="24"/>
          <w:szCs w:val="24"/>
        </w:rPr>
        <w:t>Transporter</w:t>
      </w:r>
    </w:p>
    <w:p>
      <w:pPr>
        <w:numPr>
          <w:ilvl w:val="0"/>
          <w:numId w:val="6"/>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Startade en ny flyglinje mellan Pointe-à-Pitre och New York i februari 2020 för att förbättra konnektiviteten.</w:t>
      </w:r>
    </w:p>
    <w:p>
      <w:pPr>
        <w:spacing w:after="80" w:line="240" w:lineRule="auto"/>
        <w:jc w:val="both"/>
        <w:rPr>
          <w:rFonts w:ascii="Times New Roman" w:eastAsia="Calibri" w:hAnsi="Times New Roman" w:cs="Times New Roman"/>
          <w:noProof/>
          <w:sz w:val="24"/>
          <w:szCs w:val="24"/>
        </w:rPr>
      </w:pPr>
      <w:r>
        <w:rPr>
          <w:rFonts w:ascii="Times New Roman" w:hAnsi="Times New Roman"/>
          <w:noProof/>
          <w:sz w:val="24"/>
          <w:szCs w:val="24"/>
        </w:rPr>
        <w:t>Samarbete med länder i och bortom grannskapet</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Blev medlem i Östkaribiska staters organisation 2019.</w:t>
      </w:r>
    </w:p>
    <w:p>
      <w:pPr>
        <w:numPr>
          <w:ilvl w:val="0"/>
          <w:numId w:val="5"/>
        </w:numPr>
        <w:spacing w:after="120" w:line="240" w:lineRule="auto"/>
        <w:jc w:val="both"/>
        <w:rPr>
          <w:noProof/>
          <w:sz w:val="24"/>
          <w:szCs w:val="24"/>
        </w:rPr>
      </w:pPr>
      <w:r>
        <w:rPr>
          <w:rFonts w:ascii="Times New Roman" w:hAnsi="Times New Roman"/>
          <w:noProof/>
          <w:sz w:val="24"/>
          <w:szCs w:val="24"/>
        </w:rPr>
        <w:t>Startade projektet Ready Together för effektivare samordning av bistånd vid naturkatastrofer i Västindien.</w:t>
      </w:r>
      <w:r>
        <w:rPr>
          <w:noProof/>
          <w:sz w:val="24"/>
          <w:szCs w:val="24"/>
        </w:rPr>
        <w:br w:type="page"/>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bookmarkStart w:id="4" w:name="_Toc34922095"/>
      <w:r>
        <w:rPr>
          <w:rFonts w:ascii="Times New Roman" w:hAnsi="Times New Roman"/>
          <w:b/>
          <w:noProof/>
          <w:sz w:val="24"/>
          <w:szCs w:val="24"/>
        </w:rPr>
        <w:t>Franska Guyana</w:t>
      </w:r>
      <w:bookmarkEnd w:id="4"/>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Franska Guyana arbetar i stadig takt för att genomföra prioriteringarna i meddelandet, med tonvikt på utbildning och hållbart nyttjande av resurser. Många initiativ befinner sig för närvarande i planeringsfasen.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Blå ekonomi</w:t>
      </w:r>
    </w:p>
    <w:p>
      <w:pPr>
        <w:numPr>
          <w:ilvl w:val="0"/>
          <w:numId w:val="4"/>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Tog fram en regional strategi för blå ekonomi i december 2019. </w:t>
      </w:r>
    </w:p>
    <w:p>
      <w:pPr>
        <w:numPr>
          <w:ilvl w:val="0"/>
          <w:numId w:val="4"/>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Inrättade ett finansiellt instrument i form av ett lånesystem till ett värde av 4,7 miljoner euro för små operatörer, inbegripet inom fiskerinäringen.</w:t>
      </w:r>
    </w:p>
    <w:p>
      <w:pPr>
        <w:pStyle w:val="ListParagraph"/>
        <w:numPr>
          <w:ilvl w:val="0"/>
          <w:numId w:val="3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Gjorde om en projektbaserad rådgivningstjänst ledd av den regionala utvecklingsmyndigheten och den lokala myndigheten för lokala fiskare till en permanent tjänst.</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Jordbruk</w:t>
      </w:r>
    </w:p>
    <w:p>
      <w:pPr>
        <w:pStyle w:val="ListParagraph"/>
        <w:numPr>
          <w:ilvl w:val="0"/>
          <w:numId w:val="3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Färdigställde en studie och började förbereda ett experimentellt pilotprojekt på jordbruksområdet som syftar till att upprätta teststationer där man kan utveckla metoder för bättre användning av ekologiska resurser.</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Biologisk mångfald</w:t>
      </w:r>
    </w:p>
    <w:p>
      <w:pPr>
        <w:pStyle w:val="ListParagraph"/>
        <w:numPr>
          <w:ilvl w:val="0"/>
          <w:numId w:val="3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Håller på att inrätta en regional myndighet för biologisk mångfald.</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Cirkulär ekonomi</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Utarbetar en regional plan för förebyggande och hantering av avfall med stöd från Frankrikes miljö- och energihushållningsmyndighet (Ademe).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Energi</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Bygger nya biomassabaserade elinstallationer för att täcka ett energibehov på 40 MW senast 2023 och hålla jämna steg med den ökande efterfrågan och befolkningsökningen.</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Forskning och innovation</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Anordnade ett forsknings- och innovationsforum i april 2018 för intressenter från lokala myndigheter, forskare och affärsvärlden, i syfte att bidra till den pågående översynen av regionens strategi för smart specialisering. </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Undertecknade ett avtal med ett franskt kluster av parfym- och kosmetikföretag för att främja lokal forskning om Guyanas naturliga ämnen och utveckla produkter baserade på lokala växter, inbegripet ett partnerskap mellan universitetscentrum (november 2018).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Sysselsättning och utbildning</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Slöt ett avtal med regionens utbildningsinstitutioner, Afmaé (en förening för luftfartsutbildning) och rymdföretaget Ariane Group för att skapa en kandidatexamenskurs i rymd- och luftfartsindustri senast 2020.</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Inledde ett projekt tillsammans med Frankrikes arbetsgivareförbund Medef och den nationella arbetsförmedlingen Pôle emploi för att utplacera 300 ungdomar i lokala företag (2019). Inrättade en kontaktpunkt för rådgivning till lokala företag om inträde på arbetsmarknaden.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Digital tillgänglighet</w:t>
      </w:r>
    </w:p>
    <w:p>
      <w:pPr>
        <w:numPr>
          <w:ilvl w:val="0"/>
          <w:numId w:val="6"/>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Förbereder utbyggnaden av en undervattenskabel som ska koppla Franska Guyana till den fiberoptiska undervattenskabeln EllaLink som kommer att förbinda Europa och Latinamerika 2020 och ska tas i drift 2021, med stöd från Europeiska regionala utvecklingsfonden och Europeiska investeringsbanken.</w:t>
      </w:r>
    </w:p>
    <w:p>
      <w:pPr>
        <w:numPr>
          <w:ilvl w:val="0"/>
          <w:numId w:val="6"/>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Förbereder åtgärder för att göra regionen till en ekonomisk verksamhetszon för datalagring på servrar (”datorhall”).</w:t>
      </w:r>
    </w:p>
    <w:p>
      <w:pPr>
        <w:numPr>
          <w:ilvl w:val="0"/>
          <w:numId w:val="6"/>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Bygger ut bredband i 17 isolerade områden, förvärvade satellitbandbredd i april 2019 för att underlätta digital konnektivitet för skolor i avsides belägna områden. </w:t>
      </w:r>
    </w:p>
    <w:p>
      <w:pPr>
        <w:numPr>
          <w:ilvl w:val="0"/>
          <w:numId w:val="6"/>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Skapade 44 accesspunkter till nätverket i Saint Laurent du Maroni (platser av ekonomiskt intresse och avsides belägna områden) med stöd från Europeiska regionala utvecklingsfonden.</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Transporter</w:t>
      </w:r>
    </w:p>
    <w:p>
      <w:pPr>
        <w:numPr>
          <w:ilvl w:val="0"/>
          <w:numId w:val="6"/>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Utvecklar ett storskaligt projekt för att skapa kollektivtrafikfiler i huvudstaden Cayenne. </w:t>
      </w:r>
    </w:p>
    <w:p>
      <w:pPr>
        <w:numPr>
          <w:ilvl w:val="0"/>
          <w:numId w:val="6"/>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Inrättar en ny färjeförbindelse mellan Saint Laurent du Maroni och Albina i Surinam med stöd från Interreg.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Samarbete med länder i och bortom grannskapet</w:t>
      </w:r>
    </w:p>
    <w:p>
      <w:pPr>
        <w:numPr>
          <w:ilvl w:val="0"/>
          <w:numId w:val="6"/>
        </w:numPr>
        <w:spacing w:after="120" w:line="240" w:lineRule="auto"/>
        <w:jc w:val="both"/>
        <w:rPr>
          <w:rFonts w:ascii="Times New Roman" w:hAnsi="Times New Roman"/>
          <w:noProof/>
          <w:sz w:val="24"/>
          <w:szCs w:val="24"/>
        </w:rPr>
      </w:pPr>
      <w:r>
        <w:rPr>
          <w:rFonts w:ascii="Times New Roman" w:hAnsi="Times New Roman"/>
          <w:noProof/>
          <w:sz w:val="24"/>
          <w:szCs w:val="24"/>
        </w:rPr>
        <w:t>Påbörjade en studie för att bedöma lokala företags behov och åtgärder för att förbättra utbytet med grannländer.</w:t>
      </w:r>
    </w:p>
    <w:p>
      <w:pPr>
        <w:spacing w:after="120" w:line="240" w:lineRule="auto"/>
        <w:rPr>
          <w:noProof/>
          <w:sz w:val="24"/>
          <w:szCs w:val="24"/>
        </w:rPr>
      </w:pPr>
      <w:r>
        <w:rPr>
          <w:noProof/>
          <w:sz w:val="24"/>
          <w:szCs w:val="24"/>
        </w:rPr>
        <w:br w:type="page"/>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bookmarkStart w:id="5" w:name="_Toc34922096"/>
      <w:r>
        <w:rPr>
          <w:rFonts w:ascii="Times New Roman" w:hAnsi="Times New Roman"/>
          <w:b/>
          <w:noProof/>
          <w:sz w:val="24"/>
          <w:szCs w:val="24"/>
        </w:rPr>
        <w:t>Martinique</w:t>
      </w:r>
      <w:bookmarkEnd w:id="5"/>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Martinique arbetar med att genomföra meddelandet och har uppnått resultat på områden såsom cirkulär ekonomi, energi, konkurrenskraft samt sysselsättning och utbildning.</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Blå ekonomi</w:t>
      </w:r>
    </w:p>
    <w:p>
      <w:pPr>
        <w:numPr>
          <w:ilvl w:val="0"/>
          <w:numId w:val="11"/>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Planerade en genomförbarhetsstudie i början av 2020 om att inrätta ett vattenbruksinstitut.</w:t>
      </w:r>
    </w:p>
    <w:p>
      <w:pPr>
        <w:numPr>
          <w:ilvl w:val="0"/>
          <w:numId w:val="11"/>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Bekräftade lanseringen av nya utbildningsprogram med inriktning mot fiskerinäring och områden med koppling till blå ekonomi genom ett särskilt yrkesutbildningscentrum (Pole Mer).</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Biologisk mångfald</w:t>
      </w:r>
    </w:p>
    <w:p>
      <w:pPr>
        <w:numPr>
          <w:ilvl w:val="0"/>
          <w:numId w:val="9"/>
        </w:numPr>
        <w:spacing w:after="120" w:line="240" w:lineRule="auto"/>
        <w:ind w:left="709"/>
        <w:jc w:val="both"/>
        <w:rPr>
          <w:rFonts w:ascii="Times New Roman" w:eastAsia="Calibri" w:hAnsi="Times New Roman" w:cs="Times New Roman"/>
          <w:noProof/>
          <w:sz w:val="24"/>
          <w:szCs w:val="24"/>
        </w:rPr>
      </w:pPr>
      <w:r>
        <w:rPr>
          <w:rFonts w:ascii="Times New Roman" w:hAnsi="Times New Roman"/>
          <w:noProof/>
          <w:sz w:val="24"/>
          <w:szCs w:val="24"/>
        </w:rPr>
        <w:t xml:space="preserve">Undertecknade ett ramavtal mellan den lokala myndigheten, naturreservatet och de franska myndigheterna i juni 2019 om att starta ett regionalt bevarandeprogram och öka kunskapen och medvetenheten om naturreservatet.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Cirkulär ekonomi</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Öppnade ett offentligt samråd och antog (i slutet av 2019) en plan för förebyggande och hantering av avfall, i syfte att underlätta införandet av en lokal strategi för cirkulär ekonomi. </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Tog initiativ till informationskampanjer mot livsmedelsslöseri i lokala skolor för att öka elevernas medvetenhet om hållbarhet. </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Startade en medvetandehöjande kampanj 2018, ”Kaz Zéro Gaspi”, under ekokonsumtionsveckan. </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Driver 14 projekt, bland annat studier om återanvändning av utrustning och möbler för medicinsk användning, inrättande av en mobil facilitet för reparationstjänster (”Reparationslastbil”) och utbyggnad av en reparationstjänsteanläggning som erbjuder workshoppar (”Reparationskafé”).</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Energi</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Startade ett projekt för att stödja installation av solcellspaneler för att förbättra energisjälvförsörjningen 2017 och publicerade två förslagsinfordringar avseende uppförande av energieffektiva byggnader 2019. </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Bygger ut ett energieffektivt gatubelysningsnät för att spara minst 30 % el senast 2020.</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Inledde ett femårigt stödprogram på 100 miljoner euro för energibesparing som omfattar ett sextiotal åtgärder för att minska elförbrukningen (2019–2023).</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Inrättade en informationsplattform</w:t>
      </w:r>
      <w:r>
        <w:rPr>
          <w:rFonts w:ascii="Times New Roman" w:eastAsia="Calibri" w:hAnsi="Times New Roman" w:cs="Times New Roman"/>
          <w:noProof/>
          <w:sz w:val="24"/>
          <w:szCs w:val="24"/>
          <w:vertAlign w:val="superscript"/>
        </w:rPr>
        <w:footnoteReference w:id="4"/>
      </w:r>
      <w:r>
        <w:rPr>
          <w:rFonts w:ascii="Times New Roman" w:hAnsi="Times New Roman"/>
          <w:noProof/>
          <w:sz w:val="24"/>
          <w:szCs w:val="24"/>
        </w:rPr>
        <w:t xml:space="preserve"> om energiomställningen med information om rörlighet, förnybar energi, hushållens el-, gas- och vattenförbrukning samt värmeisolering 2019.</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Installerade helt solenergidrivna laddningsstationer för elfordon inom ramen för projektet Green Drive.</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Planerar att gradvis bygga 250 solenergidrivna laddningsstationer inom ramen för projektet Madin’ Drive.</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Sysselsättning och utbildning</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Höll en tävling för lärlingar som deltog i yrkesutbildning i mars 2019. </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Anordnade en lokal jobb- och utbildningsmässa med inriktning på digital rekrytering i juni 2019.</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Konkurrenskraft, entreprenörskap och den inre marknaden </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Antog ett lokalt program för ekonomisk utveckling, innovation och internationalisering 2017, genom vilket finansiering tillhandahålls för att förbättra produktion, resultat och anställbarhet. Inrättade ett partnerskap för att tillhandahålla informationstjänster till företag.</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Startade ett årligt tredagars företagsforum med namnet ”Ose!” 2018, för att ge etablerade företag tillfälle att nätverka och ge vägledning om hur man startar ett företag.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Digital tillgänglighet</w:t>
      </w:r>
    </w:p>
    <w:p>
      <w:pPr>
        <w:numPr>
          <w:ilvl w:val="0"/>
          <w:numId w:val="6"/>
        </w:numPr>
        <w:spacing w:after="120" w:line="240" w:lineRule="auto"/>
        <w:jc w:val="both"/>
        <w:rPr>
          <w:rFonts w:ascii="Times New Roman" w:hAnsi="Times New Roman"/>
          <w:noProof/>
          <w:sz w:val="24"/>
          <w:szCs w:val="24"/>
        </w:rPr>
      </w:pPr>
      <w:r>
        <w:rPr>
          <w:rFonts w:ascii="Times New Roman" w:hAnsi="Times New Roman"/>
          <w:noProof/>
          <w:sz w:val="24"/>
          <w:szCs w:val="24"/>
        </w:rPr>
        <w:t>Bygger ut fiberoptiknät för sammankoppling av utbildningsinstitutioner med stöd från Europeiska jordbruksfonden för landsbygdsutveckling och höghastighetsnätverk med fiberoptik med stöd från Europeiska regionala utvecklingsfonden.</w:t>
      </w:r>
    </w:p>
    <w:p>
      <w:pPr>
        <w:numPr>
          <w:ilvl w:val="0"/>
          <w:numId w:val="6"/>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Visade upp en ”digital by” på 2019 års upplaga av forumet ”Ose!” för att främja lokala företags användning av digital teknik, t.ex. 3D-utskrifter.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Samarbete med länder i och bortom grannskapet</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Anordnade tre ministerrådsmöten inom Östkaribiska staters organisation på områdena hälsa, utbildning och miljö.</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Startade ett projekt för utökad handel i Östkaribien (Teeca) i januari 2018 för att hjälpa 30 lokala företag att exportera till länder i Västindien.</w:t>
      </w:r>
    </w:p>
    <w:p>
      <w:pPr>
        <w:numPr>
          <w:ilvl w:val="0"/>
          <w:numId w:val="5"/>
        </w:numPr>
        <w:spacing w:after="120" w:line="240" w:lineRule="auto"/>
        <w:jc w:val="both"/>
        <w:rPr>
          <w:noProof/>
          <w:sz w:val="24"/>
          <w:szCs w:val="24"/>
        </w:rPr>
      </w:pPr>
      <w:r>
        <w:rPr>
          <w:rFonts w:ascii="Times New Roman" w:hAnsi="Times New Roman"/>
          <w:noProof/>
          <w:sz w:val="24"/>
          <w:szCs w:val="24"/>
        </w:rPr>
        <w:t>Deltog som en partner i projektet Odyssea om blå ekonomi (februari 2019), som syftade till att öka den blå turismen och tillväxten i Västindien.</w:t>
      </w:r>
      <w:r>
        <w:rPr>
          <w:noProof/>
          <w:sz w:val="24"/>
          <w:szCs w:val="24"/>
        </w:rPr>
        <w:br w:type="page"/>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bookmarkStart w:id="6" w:name="_Toc34922097"/>
      <w:r>
        <w:rPr>
          <w:rFonts w:ascii="Times New Roman" w:hAnsi="Times New Roman"/>
          <w:b/>
          <w:noProof/>
          <w:sz w:val="24"/>
          <w:szCs w:val="24"/>
        </w:rPr>
        <w:t>Réunion</w:t>
      </w:r>
      <w:bookmarkEnd w:id="6"/>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Réunion arbetar med många av områdena i meddelandet, särskilt cirkulär och blå ekonomi, energi, forskning och samarbete med grannländer.</w:t>
      </w:r>
    </w:p>
    <w:p>
      <w:pPr>
        <w:spacing w:after="12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Blå ekonomi</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Startade ett projekt för fysisk planering i kust- och havsområden (2018–2020) i sydvästra Indiska oceanen (Ocean Métiss) i partnerskap med staten, Indiska Oceanområdets kommission och Europeiska kommissionen.</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Inrättade ett ”blått institut” i mars 2019 för att samordna och utforma offentlig policy för blå ekonomi.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Jordbruk och landsbygdsutveckling</w:t>
      </w:r>
    </w:p>
    <w:p>
      <w:pPr>
        <w:pStyle w:val="ListParagraph"/>
        <w:numPr>
          <w:ilvl w:val="0"/>
          <w:numId w:val="12"/>
        </w:numPr>
        <w:spacing w:after="160" w:line="259" w:lineRule="auto"/>
        <w:jc w:val="both"/>
        <w:rPr>
          <w:rFonts w:ascii="Times New Roman" w:hAnsi="Times New Roman" w:cs="Times New Roman"/>
          <w:noProof/>
          <w:sz w:val="24"/>
          <w:szCs w:val="24"/>
        </w:rPr>
      </w:pPr>
      <w:r>
        <w:rPr>
          <w:rFonts w:ascii="Times New Roman" w:hAnsi="Times New Roman"/>
          <w:noProof/>
          <w:sz w:val="24"/>
          <w:szCs w:val="24"/>
        </w:rPr>
        <w:t>Utvecklar en jordbruksmodell som främjar lokal produktion och säkerställer en ekologisk omställning av jordbruket (projektet Agripei 2030).</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Biologisk mångfald</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Bidrog med utbildning och stöd för att starta projekt med EU-finansiering från Life och Best under 2018 och 2019. </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Genomförde projekt med stöd från Europeiska regionala utvecklingsfonden för att skydda hotade arter, närmare bestämt Réunionkärrhöken och olika växtarter (Especes-projektet).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Cirkulär ekonomi</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Tog fram en regional plan för förebyggande och hantering av avfall tillsammans med statliga och lokala myndigheter, där man satte upp regionala mål, bland annat ”nollavfall”, och säkerställde samordning. </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Tog fram en regional handlingsplan för cirkulär ekonomi för att fastställa en strategisk vision och konkreta åtgärder för att uppnå målet om nollavfall.</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Genomförde 22 projekt för cirkulär ekonomi (februari 2018 till juni 2019) på områden såsom produkters utformning och livslängd och återvinning.</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Deltar i Replace-projektet (augusti 2019, finansierat av Interreg Europa) som har som mål att utforma och genomföra politik för en cirkulär ekonomi.</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Energi</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Inrättade en arbetsgrupp för energiomställningen tillsammans med staten och Europeiska kommissionen i februari 2018.</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Genomför två projekt med stöd från Europeiska regionala utvecklingsfonden: </w:t>
      </w:r>
    </w:p>
    <w:p>
      <w:pPr>
        <w:numPr>
          <w:ilvl w:val="1"/>
          <w:numId w:val="1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Solarplexus, för att skapa ett innovativt system som kan ge avsides belägna platser tillgång till el, vatten och kommunikationstjänster, och </w:t>
      </w:r>
    </w:p>
    <w:p>
      <w:pPr>
        <w:numPr>
          <w:ilvl w:val="1"/>
          <w:numId w:val="1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Micro-Mafate Network, där man experimenterar med ett mikronät för el i Mafatekalderan med målet att uppnå självförsörjning.</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Har värmerenoverat 18 högstadie- och gymnasieskolor sedan 2018. </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Utvecklar hållbara fordon, till exempel elskotrar, för rörlighet i städer med stöd från Europeiska regionala utvecklingsfonden (projektet Veloce, mars 2018).</w:t>
      </w:r>
    </w:p>
    <w:p>
      <w:pPr>
        <w:spacing w:after="120" w:line="240" w:lineRule="auto"/>
        <w:ind w:left="720"/>
        <w:jc w:val="both"/>
        <w:rPr>
          <w:rFonts w:ascii="Times New Roman" w:hAnsi="Times New Roman" w:cs="Times New Roman"/>
          <w:noProof/>
          <w:sz w:val="24"/>
          <w:szCs w:val="24"/>
        </w:rPr>
      </w:pPr>
    </w:p>
    <w:p>
      <w:pPr>
        <w:spacing w:after="120" w:line="240" w:lineRule="auto"/>
        <w:ind w:left="720"/>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Forskning och innovation</w:t>
      </w:r>
    </w:p>
    <w:p>
      <w:pPr>
        <w:pStyle w:val="ListParagraph"/>
        <w:numPr>
          <w:ilvl w:val="0"/>
          <w:numId w:val="39"/>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Genomför projektet Valobio (med stöd från Europeiska havs- och fiskerifonden, maj 2019) genom en innovativ metod för att omvandla biprodukter från fiske som kastas till havs till flytande ekologiska gödselmedel för hållbart jordbruk.</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Påbörjade en utvärdering av sin strategi för smart specialisering i april 2019 i syfte att analysera regionens potential på olika områden och identifiera nischmarknader av strategiskt intresse.</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Sysselsättning och utbildning</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Startade projektet Campus Sud i november 2017 med stöd från Europeiska regionala utvecklingsfonden, för att omgruppera och utöka det regionala universitetets utbud samt inrätta en teknopol (projektet Vallée Blanche).</w:t>
      </w:r>
    </w:p>
    <w:p>
      <w:pPr>
        <w:spacing w:after="160" w:line="259" w:lineRule="auto"/>
        <w:jc w:val="both"/>
        <w:rPr>
          <w:rFonts w:ascii="Times New Roman" w:hAnsi="Times New Roman" w:cs="Times New Roman"/>
          <w:noProof/>
          <w:sz w:val="24"/>
          <w:szCs w:val="24"/>
        </w:rPr>
      </w:pPr>
      <w:r>
        <w:rPr>
          <w:rFonts w:ascii="Times New Roman" w:hAnsi="Times New Roman"/>
          <w:noProof/>
          <w:sz w:val="24"/>
          <w:szCs w:val="24"/>
        </w:rPr>
        <w:t>Konkurrenskraft, entreprenörskap och den inre marknaden</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Inrättade fonden Financière Région Réunion värd 50 miljoner euro (Europeiska regionala utvecklingsfonden, Europeiska investeringsbanken, regionen) för att stödja små och medelstora företag genom ett låne- och riskkapitalinstrument. I juni 2019 hade fonden bidragit med 13 miljoner euro i finansiering till 135 små och medelstora företag.</w:t>
      </w:r>
    </w:p>
    <w:p>
      <w:pPr>
        <w:pStyle w:val="ListParagraph"/>
        <w:numPr>
          <w:ilvl w:val="0"/>
          <w:numId w:val="32"/>
        </w:numPr>
        <w:spacing w:after="160" w:line="259" w:lineRule="auto"/>
        <w:jc w:val="both"/>
        <w:rPr>
          <w:rFonts w:ascii="Times New Roman" w:hAnsi="Times New Roman" w:cs="Times New Roman"/>
          <w:noProof/>
          <w:sz w:val="24"/>
          <w:szCs w:val="24"/>
        </w:rPr>
      </w:pPr>
      <w:r>
        <w:rPr>
          <w:rFonts w:ascii="Times New Roman" w:hAnsi="Times New Roman"/>
          <w:noProof/>
          <w:sz w:val="24"/>
          <w:szCs w:val="24"/>
        </w:rPr>
        <w:t>Deltar i projektet React som stöds av Horisont 2020 och syftar till att minska koldioxidutsläppen från öns energisystem.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Digital tillgänglighet </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Håller på att avsluta en bredbandsutbyggnad som förväntas nå alla områden utan täckning i slutet av 2022, med stöd från Europeiska regionala utvecklingsfonden (stort projekt 2019). </w:t>
      </w:r>
    </w:p>
    <w:p>
      <w:pPr>
        <w:spacing w:after="120" w:line="240" w:lineRule="auto"/>
        <w:jc w:val="both"/>
        <w:rPr>
          <w:rFonts w:ascii="Times New Roman" w:hAnsi="Times New Roman" w:cs="Times New Roman"/>
          <w:b/>
          <w:noProof/>
          <w:sz w:val="24"/>
          <w:szCs w:val="24"/>
        </w:rPr>
      </w:pPr>
      <w:r>
        <w:rPr>
          <w:rFonts w:ascii="Times New Roman" w:hAnsi="Times New Roman"/>
          <w:noProof/>
          <w:sz w:val="24"/>
          <w:szCs w:val="24"/>
        </w:rPr>
        <w:t>Samarbete med länder i och bortom grannskapet</w:t>
      </w:r>
      <w:r>
        <w:rPr>
          <w:rFonts w:ascii="Times New Roman" w:hAnsi="Times New Roman"/>
          <w:b/>
          <w:noProof/>
          <w:sz w:val="24"/>
          <w:szCs w:val="24"/>
        </w:rPr>
        <w:t xml:space="preserve"> </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Genomför ett projekt (Tis Aedes Oi, inom Interreg) där man utforskar en teknik för bekämpning av den asiatiska tigermyggan.</w:t>
      </w:r>
    </w:p>
    <w:p>
      <w:pPr>
        <w:numPr>
          <w:ilvl w:val="0"/>
          <w:numId w:val="1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Stärker kapaciteten hos privata och offentliga strukturer i partnerländer genom att skicka lokala utexaminerade studerande till dessa länder, med stöd från Interreg.</w:t>
      </w:r>
    </w:p>
    <w:p>
      <w:pPr>
        <w:numPr>
          <w:ilvl w:val="0"/>
          <w:numId w:val="13"/>
        </w:numPr>
        <w:spacing w:after="120" w:line="240" w:lineRule="auto"/>
        <w:jc w:val="both"/>
        <w:rPr>
          <w:noProof/>
          <w:sz w:val="24"/>
          <w:szCs w:val="24"/>
        </w:rPr>
      </w:pPr>
      <w:r>
        <w:rPr>
          <w:rFonts w:ascii="Times New Roman" w:hAnsi="Times New Roman"/>
          <w:noProof/>
          <w:sz w:val="24"/>
          <w:szCs w:val="24"/>
        </w:rPr>
        <w:t>Slöt ramavtal med grannländer inom ramen för Interreg-programmet för Indiska oceanen (t.ex. i april 2019 med Seychellerna) för att förbättra samordningen på områden av gemensamt intresse.</w:t>
      </w:r>
    </w:p>
    <w:p>
      <w:pPr>
        <w:numPr>
          <w:ilvl w:val="0"/>
          <w:numId w:val="13"/>
        </w:numPr>
        <w:spacing w:after="120" w:line="240" w:lineRule="auto"/>
        <w:jc w:val="both"/>
        <w:rPr>
          <w:noProof/>
          <w:sz w:val="24"/>
          <w:szCs w:val="24"/>
        </w:rPr>
      </w:pPr>
      <w:r>
        <w:rPr>
          <w:rFonts w:ascii="Times New Roman" w:hAnsi="Times New Roman"/>
          <w:noProof/>
          <w:sz w:val="24"/>
          <w:szCs w:val="24"/>
        </w:rPr>
        <w:t>Inrättade en stödtjänst för företag i Moçambique i juli 2019, för att stödja lokala företags internationalisering och regionalt samarbete.</w:t>
      </w:r>
    </w:p>
    <w:p>
      <w:pPr>
        <w:spacing w:after="120" w:line="240" w:lineRule="auto"/>
        <w:rPr>
          <w:noProof/>
          <w:sz w:val="24"/>
          <w:szCs w:val="24"/>
        </w:rPr>
      </w:pPr>
      <w:r>
        <w:rPr>
          <w:noProof/>
          <w:sz w:val="24"/>
          <w:szCs w:val="24"/>
        </w:rPr>
        <w:br w:type="page"/>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bookmarkStart w:id="7" w:name="_Toc34922098"/>
      <w:r>
        <w:rPr>
          <w:rFonts w:ascii="Times New Roman" w:hAnsi="Times New Roman"/>
          <w:b/>
          <w:noProof/>
          <w:sz w:val="24"/>
          <w:szCs w:val="24"/>
        </w:rPr>
        <w:t>Saint-Martin</w:t>
      </w:r>
      <w:bookmarkEnd w:id="7"/>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Saint-Martins genomförande av meddelandet om de yttersta randområdena inriktas på återuppbyggnad efter den tropiska cyklonen Irma. Tonvikten ligger därför på att återuppbygga förbättrad infrastruktur och att vidta lämpliga åtgärder mot klimatförändringar.</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Blå ekonomi</w:t>
      </w:r>
    </w:p>
    <w:p>
      <w:pPr>
        <w:numPr>
          <w:ilvl w:val="0"/>
          <w:numId w:val="15"/>
        </w:numPr>
        <w:spacing w:after="120" w:line="240" w:lineRule="auto"/>
        <w:jc w:val="both"/>
        <w:rPr>
          <w:rFonts w:ascii="Times New Roman" w:eastAsia="Calibri" w:hAnsi="Times New Roman" w:cs="Times New Roman"/>
          <w:i/>
          <w:noProof/>
          <w:sz w:val="24"/>
          <w:szCs w:val="24"/>
        </w:rPr>
      </w:pPr>
      <w:r>
        <w:rPr>
          <w:rFonts w:ascii="Times New Roman" w:hAnsi="Times New Roman"/>
          <w:noProof/>
          <w:sz w:val="24"/>
          <w:szCs w:val="24"/>
        </w:rPr>
        <w:t xml:space="preserve">Tillhandahåller yrkesutbildning om relaterad havsverksamhet sedan 2018.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Jordbruk</w:t>
      </w:r>
    </w:p>
    <w:p>
      <w:pPr>
        <w:numPr>
          <w:ilvl w:val="0"/>
          <w:numId w:val="14"/>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Planerar att lansera innovativa jordbrukslösningar, såsom odling utan jord, och att investera i flyttbara inhägnader för djurhållningsanläggningar, som kan monteras ner i händelse av dåligt väder.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Cirkulär ekonomi</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Arbetar för att öka medvetenheten och genomför kommunikationsåtgärder om återvinning och avfallssortering samt upprättar en avfallsinsamlingsanläggning och genomför en gemensam studie för hela ön (med stöd från Interreg-programmet för Västindien) för att förbättra avfallshanteringen.</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Klimatförändringar</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Inrättade ett riskhanteringssystem för katastrofer 2018, genom att utföra varningsövningar, öka allmänhetens medvetenhet, utvärdera de offentliga varningssystemen och förvärva en meteorologisk radar för att förbättra väderprognoserna (Interreg Västindien).</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Energi</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Påbörjade förstudier om potentiella geotermiska resurser på öarna Saba, Sint Eustatius och Saint Kitts samt om sammanlänkning av energinät mellan öarna för att främja förnybar energi (Interreg Västindien, juli 2019).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Digital tillgänglighet</w:t>
      </w:r>
    </w:p>
    <w:p>
      <w:pPr>
        <w:numPr>
          <w:ilvl w:val="0"/>
          <w:numId w:val="6"/>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Bygger underjordiska fiberoptiknät för att förbättra den digitala konnektiviteten i alla distrikt som en del av återuppbyggnaden.</w:t>
      </w:r>
    </w:p>
    <w:p>
      <w:pPr>
        <w:pStyle w:val="ListParagraph"/>
        <w:numPr>
          <w:ilvl w:val="0"/>
          <w:numId w:val="6"/>
        </w:numPr>
        <w:spacing w:after="160" w:line="259"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Genomför förstudier för digital sammanlänkning av Läöarna (de norra öarna i ökedjan </w:t>
      </w:r>
      <w:hyperlink r:id="rId16" w:tooltip="Små Antillerna" w:history="1">
        <w:r>
          <w:rPr>
            <w:rFonts w:ascii="Times New Roman" w:hAnsi="Times New Roman"/>
            <w:noProof/>
            <w:sz w:val="24"/>
            <w:szCs w:val="24"/>
          </w:rPr>
          <w:t>Små Antillerna</w:t>
        </w:r>
      </w:hyperlink>
      <w:r>
        <w:rPr>
          <w:rFonts w:ascii="Times New Roman" w:hAnsi="Times New Roman"/>
          <w:noProof/>
          <w:sz w:val="24"/>
          <w:szCs w:val="24"/>
        </w:rPr>
        <w:t>).</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Samarbete med länder i och bortom grannskapet</w:t>
      </w:r>
    </w:p>
    <w:p>
      <w:pPr>
        <w:numPr>
          <w:ilvl w:val="0"/>
          <w:numId w:val="16"/>
        </w:numPr>
        <w:spacing w:after="120" w:line="240" w:lineRule="auto"/>
        <w:jc w:val="both"/>
        <w:rPr>
          <w:noProof/>
          <w:sz w:val="24"/>
          <w:szCs w:val="24"/>
        </w:rPr>
      </w:pPr>
      <w:r>
        <w:rPr>
          <w:rFonts w:ascii="Times New Roman" w:hAnsi="Times New Roman"/>
          <w:noProof/>
          <w:sz w:val="24"/>
          <w:szCs w:val="24"/>
        </w:rPr>
        <w:t>Beviljades observatörsstatus i Östkaribiska staters organisation.</w:t>
      </w:r>
      <w:r>
        <w:rPr>
          <w:noProof/>
          <w:sz w:val="24"/>
          <w:szCs w:val="24"/>
        </w:rPr>
        <w:br w:type="page"/>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bookmarkStart w:id="8" w:name="_Toc34922099"/>
      <w:r>
        <w:rPr>
          <w:rFonts w:ascii="Times New Roman" w:hAnsi="Times New Roman"/>
          <w:b/>
          <w:noProof/>
          <w:sz w:val="24"/>
          <w:szCs w:val="24"/>
        </w:rPr>
        <w:t>Mayotte</w:t>
      </w:r>
      <w:bookmarkEnd w:id="8"/>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Mayotte genomför meddelandet från 2017 med tydlig inriktning på blå ekonomi. </w:t>
      </w:r>
    </w:p>
    <w:p>
      <w:pPr>
        <w:spacing w:after="120" w:line="240" w:lineRule="auto"/>
        <w:jc w:val="both"/>
        <w:rPr>
          <w:rFonts w:ascii="Times New Roman" w:eastAsia="Calibri" w:hAnsi="Times New Roman" w:cs="Times New Roman"/>
          <w:i/>
          <w:noProof/>
          <w:sz w:val="24"/>
          <w:szCs w:val="24"/>
        </w:rPr>
      </w:pPr>
      <w:r>
        <w:rPr>
          <w:rFonts w:ascii="Times New Roman" w:hAnsi="Times New Roman"/>
          <w:noProof/>
          <w:sz w:val="24"/>
          <w:szCs w:val="24"/>
        </w:rPr>
        <w:t xml:space="preserve">Blå ekonomi </w:t>
      </w:r>
    </w:p>
    <w:p>
      <w:pPr>
        <w:numPr>
          <w:ilvl w:val="0"/>
          <w:numId w:val="17"/>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Inrättade en arbetsgrupp 2018 för att förbereda en regional strategi för blå ekonomi. Samlar in uppgifter om sektorer i den blå ekonomin och anordnar utbyten med intressenter om blå tillväxt (utbildning, turism, fiske och vattenbruk).</w:t>
      </w:r>
    </w:p>
    <w:p>
      <w:pPr>
        <w:numPr>
          <w:ilvl w:val="0"/>
          <w:numId w:val="17"/>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Utarbetar ett regionalt program för fysisk planering med ett särskilt kapitel om havsplanering, som en utgångspunkt för all verksamhet med koppling till kusten. </w:t>
      </w:r>
    </w:p>
    <w:p>
      <w:pPr>
        <w:numPr>
          <w:ilvl w:val="0"/>
          <w:numId w:val="17"/>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Tar fram en förvaltningsplan för fartygsflottan tillsammans med de nationella myndigheterna samt en översiktsplan för vattenbruk.</w:t>
      </w:r>
    </w:p>
    <w:p>
      <w:pPr>
        <w:numPr>
          <w:ilvl w:val="0"/>
          <w:numId w:val="17"/>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Investerar i tidigare nedlagda vattenbruksanläggningar och stöder lokala intressenters kapacitet.</w:t>
      </w:r>
    </w:p>
    <w:p>
      <w:pPr>
        <w:spacing w:before="120" w:after="0" w:line="240" w:lineRule="auto"/>
        <w:jc w:val="both"/>
        <w:rPr>
          <w:rFonts w:ascii="Times New Roman" w:eastAsia="Calibri" w:hAnsi="Times New Roman" w:cs="Times New Roman"/>
          <w:noProof/>
          <w:sz w:val="24"/>
          <w:szCs w:val="24"/>
        </w:rPr>
      </w:pPr>
      <w:r>
        <w:rPr>
          <w:rFonts w:ascii="Times New Roman" w:hAnsi="Times New Roman"/>
          <w:noProof/>
          <w:sz w:val="24"/>
          <w:szCs w:val="24"/>
        </w:rPr>
        <w:t>Biologisk mångfald</w:t>
      </w:r>
    </w:p>
    <w:p>
      <w:pPr>
        <w:numPr>
          <w:ilvl w:val="0"/>
          <w:numId w:val="17"/>
        </w:num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Inrättar en regional myndighet för biologisk mångfald i partnerskap med de nationella myndigheterna.</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Energi</w:t>
      </w:r>
    </w:p>
    <w:p>
      <w:pPr>
        <w:numPr>
          <w:ilvl w:val="0"/>
          <w:numId w:val="17"/>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Genomför ett pilotprojekt med elfordon och helt solenergidrivna laddningsstationer för hållbara transporter (2019). </w:t>
      </w:r>
    </w:p>
    <w:p>
      <w:pPr>
        <w:numPr>
          <w:ilvl w:val="0"/>
          <w:numId w:val="17"/>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Undersöker möjligheten att använda solcellsenergi i skolor och offentliga byggnader, eftersom solenergi är den största källan till förnybar energi i regionen.</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Konkurrenskraft, entreprenörskap och den inre marknaden</w:t>
      </w:r>
    </w:p>
    <w:p>
      <w:pPr>
        <w:numPr>
          <w:ilvl w:val="0"/>
          <w:numId w:val="5"/>
        </w:numPr>
        <w:spacing w:after="120" w:line="240" w:lineRule="auto"/>
        <w:jc w:val="both"/>
        <w:rPr>
          <w:rFonts w:ascii="Times New Roman" w:eastAsia="Calibri" w:hAnsi="Times New Roman" w:cs="Times New Roman"/>
          <w:i/>
          <w:noProof/>
          <w:sz w:val="24"/>
          <w:szCs w:val="24"/>
        </w:rPr>
      </w:pPr>
      <w:r>
        <w:rPr>
          <w:rFonts w:ascii="Times New Roman" w:hAnsi="Times New Roman"/>
          <w:noProof/>
          <w:sz w:val="24"/>
          <w:szCs w:val="24"/>
        </w:rPr>
        <w:t xml:space="preserve">Startade ett teknopolprojekt 2017 för att sammanföra tillverknings- och tjänsteföretag inom de högteknologiska sektorerna för att öka kapaciteten hos företagen att verka på den inre marknaden.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Transporter</w:t>
      </w:r>
    </w:p>
    <w:p>
      <w:pPr>
        <w:numPr>
          <w:ilvl w:val="0"/>
          <w:numId w:val="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Arbetar på ett interurbant transportprojekt som syftar till att öppna tre busslinjer för att förbinda södra, centrala och norra Mayotte med huvudstaden Mamoudzou samt eventuellt sjörutter under 2021 för att förbättra konnektiviteten. </w:t>
      </w:r>
    </w:p>
    <w:p>
      <w:pPr>
        <w:numPr>
          <w:ilvl w:val="0"/>
          <w:numId w:val="5"/>
        </w:numPr>
        <w:spacing w:after="120" w:line="240" w:lineRule="auto"/>
        <w:jc w:val="both"/>
        <w:rPr>
          <w:rFonts w:ascii="Times New Roman" w:hAnsi="Times New Roman"/>
          <w:noProof/>
          <w:sz w:val="24"/>
          <w:szCs w:val="24"/>
        </w:rPr>
      </w:pPr>
      <w:r>
        <w:rPr>
          <w:rFonts w:ascii="Times New Roman" w:hAnsi="Times New Roman"/>
          <w:noProof/>
          <w:sz w:val="24"/>
          <w:szCs w:val="24"/>
        </w:rPr>
        <w:t xml:space="preserve">Startade ett projekt för att förbättra säkerheten på Mayottes flygplats 2018 med stöd från Europeiska regionala utvecklingsfonden.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Samarbete med länder i och bortom grannskapet</w:t>
      </w:r>
    </w:p>
    <w:p>
      <w:pPr>
        <w:numPr>
          <w:ilvl w:val="0"/>
          <w:numId w:val="18"/>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Undertecknade ett avtal för att ge universitetsstuderande från Mayotte en möjlighet att studera digital teknik, animering och kultur i länder i Östafrika (februari 2019).</w:t>
      </w:r>
    </w:p>
    <w:p>
      <w:pPr>
        <w:spacing w:after="120" w:line="240" w:lineRule="auto"/>
        <w:rPr>
          <w:noProof/>
          <w:sz w:val="24"/>
          <w:szCs w:val="24"/>
        </w:rPr>
      </w:pPr>
      <w:r>
        <w:rPr>
          <w:noProof/>
          <w:sz w:val="24"/>
          <w:szCs w:val="24"/>
        </w:rPr>
        <w:br w:type="page"/>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bookmarkStart w:id="9" w:name="_Toc34922100"/>
      <w:r>
        <w:rPr>
          <w:rFonts w:ascii="Times New Roman" w:hAnsi="Times New Roman"/>
          <w:b/>
          <w:noProof/>
          <w:sz w:val="24"/>
          <w:szCs w:val="24"/>
        </w:rPr>
        <w:t>Portugal</w:t>
      </w:r>
      <w:bookmarkEnd w:id="9"/>
    </w:p>
    <w:p>
      <w:pPr>
        <w:spacing w:after="120" w:line="240" w:lineRule="auto"/>
        <w:jc w:val="both"/>
        <w:rPr>
          <w:rFonts w:ascii="Times New Roman" w:hAnsi="Times New Roman" w:cs="Times New Roman"/>
          <w:noProof/>
          <w:color w:val="FF0000"/>
          <w:sz w:val="24"/>
          <w:szCs w:val="24"/>
        </w:rPr>
      </w:pPr>
      <w:r>
        <w:rPr>
          <w:rFonts w:ascii="Times New Roman" w:hAnsi="Times New Roman"/>
          <w:noProof/>
          <w:sz w:val="24"/>
          <w:szCs w:val="24"/>
        </w:rPr>
        <w:t>Portugal samarbetar nära med de autonoma regionerna Azorerna och Madeira för att genomföra meddelandet från 2017, särskilt när det gäller cirkulär ekonomi, klimatförändringar och forskning.</w:t>
      </w:r>
    </w:p>
    <w:p>
      <w:pPr>
        <w:pStyle w:val="ListParagraph"/>
        <w:numPr>
          <w:ilvl w:val="0"/>
          <w:numId w:val="20"/>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Utvecklade ett samarbete 2018–2019 mellan den nationella statistikbyrån och de regionala statistikavdelningarna i Azorerna och Madeira för att förbättra insamlingen och hanteringen av uppgifter, särskilt på områdena jordbruk och sjö- och lufttransporter.</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Cirkulär ekonomi</w:t>
      </w:r>
    </w:p>
    <w:p>
      <w:pPr>
        <w:pStyle w:val="ListParagraph"/>
        <w:numPr>
          <w:ilvl w:val="0"/>
          <w:numId w:val="20"/>
        </w:numPr>
        <w:spacing w:after="120" w:line="240" w:lineRule="auto"/>
        <w:contextualSpacing w:val="0"/>
        <w:jc w:val="both"/>
        <w:rPr>
          <w:rFonts w:ascii="Times New Roman" w:hAnsi="Times New Roman" w:cs="Times New Roman"/>
          <w:i/>
          <w:noProof/>
          <w:sz w:val="24"/>
          <w:szCs w:val="24"/>
        </w:rPr>
      </w:pPr>
      <w:r>
        <w:rPr>
          <w:rFonts w:ascii="Times New Roman" w:hAnsi="Times New Roman"/>
          <w:noProof/>
          <w:sz w:val="24"/>
          <w:szCs w:val="24"/>
        </w:rPr>
        <w:t>Stödde projekt för effektivare resursutnyttjande i Madeira och Azorerna inom ramen för den nationella miljöfonden 2018 och 2019.</w:t>
      </w:r>
    </w:p>
    <w:p>
      <w:pPr>
        <w:pStyle w:val="ListParagraph"/>
        <w:numPr>
          <w:ilvl w:val="0"/>
          <w:numId w:val="20"/>
        </w:numPr>
        <w:spacing w:after="120" w:line="240" w:lineRule="auto"/>
        <w:contextualSpacing w:val="0"/>
        <w:jc w:val="both"/>
        <w:rPr>
          <w:rFonts w:ascii="Times New Roman" w:hAnsi="Times New Roman" w:cs="Times New Roman"/>
          <w:i/>
          <w:noProof/>
          <w:sz w:val="24"/>
          <w:szCs w:val="24"/>
        </w:rPr>
      </w:pPr>
      <w:r>
        <w:rPr>
          <w:rFonts w:ascii="Times New Roman" w:hAnsi="Times New Roman"/>
          <w:noProof/>
          <w:sz w:val="24"/>
          <w:szCs w:val="24"/>
        </w:rPr>
        <w:t>Underlättade för invånare i Madeira och Azorerna att delta i evenemang om cirkulär ekonomi och klimatförändringar på det portugisiska fastlandet (högre kostnadsersättning).</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Klimatförändringar</w:t>
      </w:r>
    </w:p>
    <w:p>
      <w:pPr>
        <w:pStyle w:val="ListParagraph"/>
        <w:numPr>
          <w:ilvl w:val="0"/>
          <w:numId w:val="19"/>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Stödde projekt för att främja installation av laddningsstationer för elfordon i Azorerna genom ansökningsomgångar inom ramen för miljöfonden 2018 och 2019. </w:t>
      </w:r>
    </w:p>
    <w:p>
      <w:pPr>
        <w:pStyle w:val="ListParagraph"/>
        <w:numPr>
          <w:ilvl w:val="0"/>
          <w:numId w:val="19"/>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Tillhandahöll finansiering till Madeira och Azorerna genom programmet för miljö, klimatförändringar och en koldioxidsnål ekonomi.</w:t>
      </w:r>
    </w:p>
    <w:p>
      <w:pPr>
        <w:pStyle w:val="ListParagraph"/>
        <w:numPr>
          <w:ilvl w:val="0"/>
          <w:numId w:val="19"/>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Anordnade evenemang i Madeira och Azorerna i mars 2019 för att presentera EES-ländernas finansiella bidragsmekanism</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Biologisk mångfald</w:t>
      </w:r>
    </w:p>
    <w:p>
      <w:pPr>
        <w:pStyle w:val="ListParagraph"/>
        <w:numPr>
          <w:ilvl w:val="0"/>
          <w:numId w:val="21"/>
        </w:numPr>
        <w:spacing w:after="120" w:line="240" w:lineRule="auto"/>
        <w:contextualSpacing w:val="0"/>
        <w:jc w:val="both"/>
        <w:rPr>
          <w:rFonts w:ascii="Times New Roman" w:hAnsi="Times New Roman" w:cs="Times New Roman"/>
          <w:i/>
          <w:noProof/>
          <w:sz w:val="24"/>
          <w:szCs w:val="24"/>
        </w:rPr>
      </w:pPr>
      <w:r>
        <w:rPr>
          <w:rFonts w:ascii="Times New Roman" w:hAnsi="Times New Roman"/>
          <w:noProof/>
          <w:sz w:val="24"/>
          <w:szCs w:val="24"/>
        </w:rPr>
        <w:t>Publicerade en förslagsinfordran 2019 för projekt som främjar modeller för hållbar utveckling i alla portugisiska biosfärreservat, varav fem ligger i Madeira och Azorerna.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Forskning och innovation</w:t>
      </w:r>
    </w:p>
    <w:p>
      <w:pPr>
        <w:pStyle w:val="ListParagraph"/>
        <w:numPr>
          <w:ilvl w:val="0"/>
          <w:numId w:val="19"/>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Startade det internationella programmet för satellituppskjutning i september 2018, för att inrätta en internationell rymdbas på ön Santa Maria i Azorerna, och rymdbasen förväntas vara driftfärdig i slutet av 2021. </w:t>
      </w:r>
    </w:p>
    <w:p>
      <w:pPr>
        <w:pStyle w:val="ListParagraph"/>
        <w:numPr>
          <w:ilvl w:val="0"/>
          <w:numId w:val="19"/>
        </w:numPr>
        <w:spacing w:after="120" w:line="240" w:lineRule="auto"/>
        <w:contextualSpacing w:val="0"/>
        <w:jc w:val="both"/>
        <w:rPr>
          <w:rFonts w:ascii="Times New Roman" w:hAnsi="Times New Roman" w:cs="Times New Roman"/>
          <w:i/>
          <w:noProof/>
          <w:sz w:val="24"/>
          <w:szCs w:val="24"/>
        </w:rPr>
      </w:pPr>
      <w:r>
        <w:rPr>
          <w:rFonts w:ascii="Times New Roman" w:hAnsi="Times New Roman"/>
          <w:noProof/>
          <w:sz w:val="24"/>
          <w:szCs w:val="24"/>
        </w:rPr>
        <w:t>Inrättade den portugisiska rymdmyndigheten i mars 2019 på ön Santa Maria i Azorerna.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Digital tillgänglighet</w:t>
      </w:r>
    </w:p>
    <w:p>
      <w:pPr>
        <w:pStyle w:val="ListParagraph"/>
        <w:numPr>
          <w:ilvl w:val="0"/>
          <w:numId w:val="19"/>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Inrättade en arbetsgrupp för undervattenskablar mellan det portugisiska fastlandet, Azorerna och Madeira i maj 2019 för att undersöka hur man bäst kan byta ut de undervattenskablar för kommunikation som förbinder Madeira och Azorerna med fastlandet. Gruppen utfärdade slutsatser i december 2019.</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Transporter</w:t>
      </w:r>
    </w:p>
    <w:p>
      <w:pPr>
        <w:pStyle w:val="ListParagraph"/>
        <w:numPr>
          <w:ilvl w:val="0"/>
          <w:numId w:val="19"/>
        </w:numPr>
        <w:spacing w:after="120" w:line="240" w:lineRule="auto"/>
        <w:contextualSpacing w:val="0"/>
        <w:jc w:val="both"/>
        <w:rPr>
          <w:noProof/>
          <w:sz w:val="24"/>
          <w:szCs w:val="24"/>
        </w:rPr>
      </w:pPr>
      <w:r>
        <w:rPr>
          <w:rFonts w:ascii="Times New Roman" w:hAnsi="Times New Roman"/>
          <w:noProof/>
          <w:sz w:val="24"/>
          <w:szCs w:val="24"/>
        </w:rPr>
        <w:t>Föreslog att flygplatserna i Funchal, Porto Santo och Ponta Delgada skulle inkluderas i TEN-T:s stomnät i sitt svar på samrådet om översynen av riktlinjerna för TEN-T.</w:t>
      </w:r>
      <w:r>
        <w:rPr>
          <w:noProof/>
          <w:sz w:val="24"/>
          <w:szCs w:val="24"/>
        </w:rPr>
        <w:br w:type="page"/>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bookmarkStart w:id="10" w:name="_Toc34922101"/>
      <w:r>
        <w:rPr>
          <w:rFonts w:ascii="Times New Roman" w:hAnsi="Times New Roman"/>
          <w:b/>
          <w:noProof/>
          <w:sz w:val="24"/>
          <w:szCs w:val="24"/>
        </w:rPr>
        <w:t>Azorerna</w:t>
      </w:r>
      <w:bookmarkEnd w:id="10"/>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Azorerna genomför meddelandet från 2017 med huvudsakligt fokus på blå ekonomi samt på energi och forskning.</w:t>
      </w:r>
    </w:p>
    <w:p>
      <w:pPr>
        <w:numPr>
          <w:ilvl w:val="0"/>
          <w:numId w:val="12"/>
        </w:numPr>
        <w:spacing w:after="60" w:line="240" w:lineRule="auto"/>
        <w:ind w:left="714" w:hanging="357"/>
        <w:jc w:val="both"/>
        <w:rPr>
          <w:rFonts w:ascii="Times New Roman" w:eastAsia="Calibri" w:hAnsi="Times New Roman" w:cs="Times New Roman"/>
          <w:noProof/>
          <w:sz w:val="24"/>
          <w:szCs w:val="24"/>
        </w:rPr>
      </w:pPr>
      <w:r>
        <w:rPr>
          <w:rFonts w:ascii="Times New Roman" w:hAnsi="Times New Roman"/>
          <w:noProof/>
          <w:sz w:val="24"/>
          <w:szCs w:val="24"/>
        </w:rPr>
        <w:t xml:space="preserve">Samlar in uppgifter om sysselsättning och verksamhet i fiskerisektorn för alla öar.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Blå ekonomi</w:t>
      </w:r>
    </w:p>
    <w:p>
      <w:pPr>
        <w:numPr>
          <w:ilvl w:val="0"/>
          <w:numId w:val="12"/>
        </w:numPr>
        <w:spacing w:after="60" w:line="240" w:lineRule="auto"/>
        <w:ind w:left="714" w:hanging="357"/>
        <w:jc w:val="both"/>
        <w:rPr>
          <w:rFonts w:ascii="Times New Roman" w:eastAsia="Calibri" w:hAnsi="Times New Roman" w:cs="Times New Roman"/>
          <w:noProof/>
          <w:sz w:val="24"/>
          <w:szCs w:val="24"/>
        </w:rPr>
      </w:pPr>
      <w:r>
        <w:rPr>
          <w:rFonts w:ascii="Times New Roman" w:hAnsi="Times New Roman"/>
          <w:noProof/>
          <w:sz w:val="24"/>
          <w:szCs w:val="24"/>
        </w:rPr>
        <w:t>Skapade en arbetsgrupp 2018 i syfte att inrätta Atlantobservatoriet för vetenskaplig forskning om havet, inbegripet skydd, forskning, övervakning och socioekonomiskt utnyttjande av havsområden.</w:t>
      </w:r>
    </w:p>
    <w:p>
      <w:pPr>
        <w:numPr>
          <w:ilvl w:val="0"/>
          <w:numId w:val="12"/>
        </w:numPr>
        <w:spacing w:after="60" w:line="240" w:lineRule="auto"/>
        <w:ind w:left="714" w:hanging="357"/>
        <w:jc w:val="both"/>
        <w:rPr>
          <w:rFonts w:ascii="Times New Roman" w:eastAsia="Calibri" w:hAnsi="Times New Roman" w:cs="Times New Roman"/>
          <w:noProof/>
          <w:sz w:val="24"/>
          <w:szCs w:val="24"/>
        </w:rPr>
      </w:pPr>
      <w:r>
        <w:rPr>
          <w:rFonts w:ascii="Times New Roman" w:hAnsi="Times New Roman"/>
          <w:noProof/>
          <w:sz w:val="24"/>
          <w:szCs w:val="24"/>
        </w:rPr>
        <w:t>Leder projektet MarSP (2018–2019) för att utveckla program för fysisk planering i kust- och havsområden i Azorerna, Madeira och Kanarieöarna.</w:t>
      </w:r>
    </w:p>
    <w:p>
      <w:pPr>
        <w:numPr>
          <w:ilvl w:val="0"/>
          <w:numId w:val="12"/>
        </w:numPr>
        <w:spacing w:after="60" w:line="240" w:lineRule="auto"/>
        <w:ind w:left="714" w:hanging="357"/>
        <w:jc w:val="both"/>
        <w:rPr>
          <w:rFonts w:ascii="Times New Roman" w:eastAsia="Calibri" w:hAnsi="Times New Roman" w:cs="Times New Roman"/>
          <w:noProof/>
          <w:sz w:val="24"/>
          <w:szCs w:val="24"/>
        </w:rPr>
      </w:pPr>
      <w:r>
        <w:rPr>
          <w:rFonts w:ascii="Times New Roman" w:hAnsi="Times New Roman"/>
          <w:noProof/>
          <w:sz w:val="24"/>
          <w:szCs w:val="24"/>
        </w:rPr>
        <w:t>Slutförde projektet Mistic Seas II och samordnar Mistic Seas III (2019) för att utvärdera ramdirektivet om en marin strategi.</w:t>
      </w:r>
    </w:p>
    <w:p>
      <w:pPr>
        <w:numPr>
          <w:ilvl w:val="0"/>
          <w:numId w:val="12"/>
        </w:numPr>
        <w:spacing w:after="60" w:line="240" w:lineRule="auto"/>
        <w:ind w:left="714" w:hanging="357"/>
        <w:jc w:val="both"/>
        <w:rPr>
          <w:rFonts w:ascii="Times New Roman" w:eastAsia="Calibri" w:hAnsi="Times New Roman" w:cs="Times New Roman"/>
          <w:noProof/>
          <w:sz w:val="24"/>
          <w:szCs w:val="24"/>
        </w:rPr>
      </w:pPr>
      <w:r>
        <w:rPr>
          <w:rFonts w:ascii="Times New Roman" w:hAnsi="Times New Roman"/>
          <w:noProof/>
          <w:sz w:val="24"/>
          <w:szCs w:val="24"/>
        </w:rPr>
        <w:t>Deltar i projektet Aqua-Lit (2019) som syftar till att förebygga marin nedskräpning från vattenbruksverksamhet och avlägsna skräp från vattenbruksanläggningar.</w:t>
      </w:r>
    </w:p>
    <w:p>
      <w:pPr>
        <w:numPr>
          <w:ilvl w:val="0"/>
          <w:numId w:val="12"/>
        </w:numPr>
        <w:spacing w:after="60" w:line="240" w:lineRule="auto"/>
        <w:ind w:left="714" w:hanging="357"/>
        <w:jc w:val="both"/>
        <w:rPr>
          <w:rFonts w:ascii="Times New Roman" w:eastAsia="Calibri" w:hAnsi="Times New Roman" w:cs="Times New Roman"/>
          <w:noProof/>
          <w:sz w:val="24"/>
          <w:szCs w:val="24"/>
        </w:rPr>
      </w:pPr>
      <w:r>
        <w:rPr>
          <w:rFonts w:ascii="Times New Roman" w:hAnsi="Times New Roman"/>
          <w:noProof/>
          <w:sz w:val="24"/>
          <w:szCs w:val="24"/>
        </w:rPr>
        <w:t>Startade pilotprojektet E-log (2019) för att elektroniskt övervaka småskaligt fiske och stödja lokala aktörer.</w:t>
      </w:r>
    </w:p>
    <w:p>
      <w:pPr>
        <w:numPr>
          <w:ilvl w:val="0"/>
          <w:numId w:val="12"/>
        </w:numPr>
        <w:spacing w:after="60" w:line="240" w:lineRule="auto"/>
        <w:ind w:left="714" w:hanging="357"/>
        <w:jc w:val="both"/>
        <w:rPr>
          <w:rFonts w:ascii="Times New Roman" w:eastAsia="Calibri" w:hAnsi="Times New Roman" w:cs="Times New Roman"/>
          <w:noProof/>
          <w:sz w:val="24"/>
          <w:szCs w:val="24"/>
        </w:rPr>
      </w:pPr>
      <w:r>
        <w:rPr>
          <w:rFonts w:ascii="Times New Roman" w:hAnsi="Times New Roman"/>
          <w:noProof/>
          <w:sz w:val="24"/>
          <w:szCs w:val="24"/>
        </w:rPr>
        <w:t>Främjade Azorernas förklaring till stöd för spö- och linfiske av tonfisk (oktober 2018) för att öka medvetenheten om hållbara fiskemetoder.</w:t>
      </w:r>
    </w:p>
    <w:p>
      <w:pPr>
        <w:numPr>
          <w:ilvl w:val="0"/>
          <w:numId w:val="12"/>
        </w:numPr>
        <w:spacing w:before="6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Inrättade ”Havets skola” (2019) för att främja kvalifikationer och utbildning och deltar, inom ramen för Erasmus, i projektet Mates (2018–2021) som syftar till att främja en strategi för färdigheter i marinteknik.</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Jordbruk</w:t>
      </w:r>
    </w:p>
    <w:p>
      <w:pPr>
        <w:numPr>
          <w:ilvl w:val="0"/>
          <w:numId w:val="22"/>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Planerar att färdigställa en strategisk plan för mejerisektorn under 2020 för att identifiera nya marknader och främja innovation och internationalisering av mejeriprodukter.</w:t>
      </w:r>
    </w:p>
    <w:p>
      <w:pPr>
        <w:numPr>
          <w:ilvl w:val="0"/>
          <w:numId w:val="22"/>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Stödde användningen av fjärrstyrda luftfartyg för skogsförvaltning (med samfinansiering från Europeiska jordbruksfonden för landsbygdsutveckling).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Biologisk mångfald</w:t>
      </w:r>
    </w:p>
    <w:p>
      <w:pPr>
        <w:pStyle w:val="ListParagraph"/>
        <w:numPr>
          <w:ilvl w:val="0"/>
          <w:numId w:val="22"/>
        </w:numPr>
        <w:spacing w:before="60" w:after="160" w:line="259"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Undersöker föroreningar orsakade av plast i djuphavet med stöd från Europeiska regionala utvecklingsfonden (Plastdeep 2019).</w:t>
      </w:r>
    </w:p>
    <w:p>
      <w:pPr>
        <w:numPr>
          <w:ilvl w:val="0"/>
          <w:numId w:val="22"/>
        </w:numPr>
        <w:spacing w:before="60" w:after="120" w:line="240" w:lineRule="auto"/>
        <w:ind w:left="714" w:hanging="357"/>
        <w:jc w:val="both"/>
        <w:rPr>
          <w:rFonts w:ascii="Times New Roman" w:eastAsia="Calibri" w:hAnsi="Times New Roman" w:cs="Times New Roman"/>
          <w:noProof/>
          <w:sz w:val="24"/>
          <w:szCs w:val="24"/>
        </w:rPr>
      </w:pPr>
      <w:r>
        <w:rPr>
          <w:rFonts w:ascii="Times New Roman" w:hAnsi="Times New Roman"/>
          <w:noProof/>
          <w:sz w:val="24"/>
          <w:szCs w:val="24"/>
        </w:rPr>
        <w:t xml:space="preserve">Genomför tre projekt med stöd från EU:s Life-program: Life Vidalia (2018–2023) för bevarande av utrotningshotade växtarter. Life-IP Azores Natura (2019–2027) för bevarande av livsmiljöer och skyddade arter. Life Beetles (som inleds 2020) för att minska riskerna för hotade arter. </w:t>
      </w:r>
    </w:p>
    <w:p>
      <w:pPr>
        <w:pStyle w:val="ListParagraph"/>
        <w:numPr>
          <w:ilvl w:val="0"/>
          <w:numId w:val="22"/>
        </w:numPr>
        <w:spacing w:before="60" w:after="160" w:line="259" w:lineRule="auto"/>
        <w:contextualSpacing w:val="0"/>
        <w:jc w:val="both"/>
        <w:rPr>
          <w:rFonts w:ascii="Times New Roman" w:hAnsi="Times New Roman"/>
          <w:noProof/>
          <w:sz w:val="24"/>
          <w:szCs w:val="24"/>
        </w:rPr>
      </w:pPr>
      <w:r>
        <w:rPr>
          <w:rFonts w:ascii="Times New Roman" w:hAnsi="Times New Roman"/>
          <w:noProof/>
          <w:sz w:val="24"/>
          <w:szCs w:val="24"/>
        </w:rPr>
        <w:t>Genomför projektet Move I (2018–2021) och startade Move On (2019–2022) i enlighet med EU:s strategi för biologisk mångfald för att kartlägga och bedöma läget för ekosystem och ekosystemtjänster.</w:t>
      </w:r>
    </w:p>
    <w:p>
      <w:pPr>
        <w:pStyle w:val="ListParagraph"/>
        <w:numPr>
          <w:ilvl w:val="0"/>
          <w:numId w:val="22"/>
        </w:numPr>
        <w:spacing w:before="60" w:after="160" w:line="259"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Stödde projektet Bioinvent där man studerade marks mikrobiella mångfald i gräsmarksekosystem i Azorerna, liksom projektet Marfor där man studerade hur marina skogar reagerar på globala förändringar (båda 2017–2020).</w:t>
      </w:r>
    </w:p>
    <w:p>
      <w:pPr>
        <w:spacing w:after="12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Klimatförändringar</w:t>
      </w:r>
    </w:p>
    <w:p>
      <w:pPr>
        <w:numPr>
          <w:ilvl w:val="0"/>
          <w:numId w:val="23"/>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Godkände det regionala programmet för klimatförändringar i september 2019, vilket syftar till att minimera växthusgasutsläppen och minska exponeringen för klimatrisker.</w:t>
      </w:r>
    </w:p>
    <w:p>
      <w:pPr>
        <w:spacing w:before="60" w:after="0"/>
        <w:jc w:val="both"/>
        <w:rPr>
          <w:rFonts w:ascii="Times New Roman" w:hAnsi="Times New Roman" w:cs="Times New Roman"/>
          <w:noProof/>
          <w:sz w:val="24"/>
          <w:szCs w:val="24"/>
        </w:rPr>
      </w:pPr>
      <w:r>
        <w:rPr>
          <w:rFonts w:ascii="Times New Roman" w:hAnsi="Times New Roman"/>
          <w:noProof/>
          <w:sz w:val="24"/>
          <w:szCs w:val="24"/>
        </w:rPr>
        <w:t>Cirkulär ekonomi</w:t>
      </w:r>
    </w:p>
    <w:p>
      <w:pPr>
        <w:pStyle w:val="ListParagraph"/>
        <w:numPr>
          <w:ilvl w:val="0"/>
          <w:numId w:val="22"/>
        </w:numPr>
        <w:spacing w:before="60" w:after="0" w:line="259" w:lineRule="auto"/>
        <w:contextualSpacing w:val="0"/>
        <w:jc w:val="both"/>
        <w:rPr>
          <w:rFonts w:ascii="Times New Roman" w:hAnsi="Times New Roman" w:cs="Times New Roman"/>
          <w:noProof/>
          <w:sz w:val="24"/>
          <w:szCs w:val="24"/>
        </w:rPr>
      </w:pPr>
      <w:r>
        <w:rPr>
          <w:rFonts w:ascii="Times New Roman" w:hAnsi="Times New Roman"/>
          <w:noProof/>
          <w:sz w:val="24"/>
          <w:szCs w:val="24"/>
        </w:rPr>
        <w:t>Ska anta ett turistförvaltningsprogram för hållbar utveckling inom denna sektor.</w:t>
      </w:r>
    </w:p>
    <w:p>
      <w:pPr>
        <w:spacing w:before="6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Energi</w:t>
      </w:r>
    </w:p>
    <w:p>
      <w:pPr>
        <w:numPr>
          <w:ilvl w:val="0"/>
          <w:numId w:val="13"/>
        </w:numPr>
        <w:spacing w:before="6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Sjösatte Azorernas energistrategi 2030 i oktober 2018 med målet att utnyttja potentialen hos naturresurser och framväxande tekniker. Arbetar på Azorernas handlingsplan för energieffektivitet</w:t>
      </w:r>
    </w:p>
    <w:p>
      <w:pPr>
        <w:numPr>
          <w:ilvl w:val="0"/>
          <w:numId w:val="13"/>
        </w:numPr>
        <w:spacing w:before="6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Utarbetade handlingsplanen för elektrisk rörlighet i Azorerna 2018–2024, som omfattar drift av laddningsstationer för elfordon på de nio öarna.</w:t>
      </w:r>
    </w:p>
    <w:p>
      <w:pPr>
        <w:numPr>
          <w:ilvl w:val="0"/>
          <w:numId w:val="13"/>
        </w:numPr>
        <w:spacing w:before="60" w:after="0" w:line="259" w:lineRule="auto"/>
        <w:jc w:val="both"/>
        <w:rPr>
          <w:rFonts w:ascii="Times New Roman" w:hAnsi="Times New Roman" w:cs="Times New Roman"/>
          <w:noProof/>
          <w:sz w:val="24"/>
          <w:szCs w:val="24"/>
        </w:rPr>
      </w:pPr>
      <w:r>
        <w:rPr>
          <w:rFonts w:ascii="Times New Roman" w:hAnsi="Times New Roman"/>
          <w:noProof/>
          <w:sz w:val="24"/>
          <w:szCs w:val="24"/>
        </w:rPr>
        <w:t>Utvecklar en agenda för energiomställningen med stöd från initiativet ”Ren energi för EU:s öar”. Analyserar användningen av undervattenskablar för att koppla samman elnäten på öarna.</w:t>
      </w:r>
    </w:p>
    <w:p>
      <w:pPr>
        <w:numPr>
          <w:ilvl w:val="0"/>
          <w:numId w:val="13"/>
        </w:numPr>
        <w:spacing w:before="60" w:after="0" w:line="259" w:lineRule="auto"/>
        <w:jc w:val="both"/>
        <w:rPr>
          <w:rFonts w:ascii="Times New Roman" w:hAnsi="Times New Roman" w:cs="Times New Roman"/>
          <w:noProof/>
          <w:sz w:val="24"/>
          <w:szCs w:val="24"/>
        </w:rPr>
      </w:pPr>
      <w:r>
        <w:rPr>
          <w:rFonts w:ascii="Times New Roman" w:hAnsi="Times New Roman"/>
          <w:noProof/>
          <w:sz w:val="24"/>
          <w:szCs w:val="24"/>
        </w:rPr>
        <w:t>Deltar i ett Horisont 2020-projekt (2019–2021) om djup geotermisk energi samt i Interreg-projektet E-Mobicity (2019–2023) som syftar till att optimera offentlig policy för elektromobilitet i stadsområden.</w:t>
      </w:r>
    </w:p>
    <w:p>
      <w:pPr>
        <w:spacing w:before="6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Forskning och innovation</w:t>
      </w:r>
    </w:p>
    <w:p>
      <w:pPr>
        <w:numPr>
          <w:ilvl w:val="0"/>
          <w:numId w:val="13"/>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Påbörjade arbetet med en internationell rymdbas på ön Santa Maria i september 2018, som förväntas vara färdig att tas i drift i slutet av 2021. </w:t>
      </w:r>
    </w:p>
    <w:p>
      <w:pPr>
        <w:numPr>
          <w:ilvl w:val="0"/>
          <w:numId w:val="13"/>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Godkände planen för internationalisering av vetenskap och teknik 2018, vilken syftar till att främja vetenskap och attrahera externa projekt och partnerskap.</w:t>
      </w:r>
    </w:p>
    <w:p>
      <w:pPr>
        <w:pStyle w:val="ListParagraph"/>
        <w:numPr>
          <w:ilvl w:val="0"/>
          <w:numId w:val="13"/>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Godkände Transfer+-initiativet 2018 och deltar i projektet Fanbest för att främja tekniköverföring i lokala små och medelstora företag, särskilt inom den blå ekonomin.</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Sysselsättning och utbildning</w:t>
      </w:r>
    </w:p>
    <w:p>
      <w:pPr>
        <w:pStyle w:val="ListParagraph"/>
        <w:numPr>
          <w:ilvl w:val="0"/>
          <w:numId w:val="13"/>
        </w:numPr>
        <w:spacing w:before="60" w:after="160" w:line="259"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Främjade sysselsättning genom initiativen Inovar (sedan mars 2019) för arbetslösa ungdomar, Berço de Emprego (uppdaterat 2019) för vikariat, och Movemprega (2020) för att främja arbetstagares geografiska rörlighet.</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Digital tillgänglighet</w:t>
      </w:r>
    </w:p>
    <w:p>
      <w:pPr>
        <w:numPr>
          <w:ilvl w:val="0"/>
          <w:numId w:val="24"/>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Lanserade handlingsplanen för vetenskaplig och teknisk kultur 2018, som stödde inrättandet av skollaboratorier för informationsteknik, robotteknik och programmering. </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Transporter</w:t>
      </w:r>
    </w:p>
    <w:p>
      <w:pPr>
        <w:pStyle w:val="ListParagraph"/>
        <w:numPr>
          <w:ilvl w:val="0"/>
          <w:numId w:val="13"/>
        </w:numPr>
        <w:spacing w:after="160" w:line="259" w:lineRule="auto"/>
        <w:jc w:val="both"/>
        <w:rPr>
          <w:rFonts w:ascii="Times New Roman" w:hAnsi="Times New Roman" w:cs="Times New Roman"/>
          <w:noProof/>
          <w:sz w:val="24"/>
          <w:szCs w:val="24"/>
        </w:rPr>
      </w:pPr>
      <w:r>
        <w:rPr>
          <w:rFonts w:ascii="Times New Roman" w:hAnsi="Times New Roman"/>
          <w:noProof/>
          <w:sz w:val="24"/>
          <w:szCs w:val="24"/>
        </w:rPr>
        <w:t>Publicerade en internationell anbudsinfordran för att bygga ett fartyg för passagerare, fordon och frakt som ska förbinda samtliga öar året runt (januari 2019).</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Samarbete med länder i och bortom grannskapet</w:t>
      </w:r>
    </w:p>
    <w:p>
      <w:pPr>
        <w:pStyle w:val="ListParagraph"/>
        <w:numPr>
          <w:ilvl w:val="0"/>
          <w:numId w:val="13"/>
        </w:numPr>
        <w:spacing w:after="160" w:line="259" w:lineRule="auto"/>
        <w:jc w:val="both"/>
        <w:rPr>
          <w:rFonts w:ascii="Times New Roman" w:hAnsi="Times New Roman" w:cs="Times New Roman"/>
          <w:noProof/>
          <w:sz w:val="24"/>
          <w:szCs w:val="24"/>
        </w:rPr>
      </w:pPr>
      <w:r>
        <w:rPr>
          <w:rFonts w:ascii="Times New Roman" w:hAnsi="Times New Roman"/>
          <w:noProof/>
          <w:sz w:val="24"/>
          <w:szCs w:val="24"/>
        </w:rPr>
        <w:t>Deltar i havs- och jordobservationsprojektet för att ta fram skräddarsydd teknik baserad på nedströmstjänster från Copernicus med målet att öka medvetenheten om våra hav.</w:t>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r>
        <w:rPr>
          <w:noProof/>
          <w:sz w:val="24"/>
          <w:szCs w:val="24"/>
        </w:rPr>
        <w:br w:type="page"/>
      </w:r>
      <w:bookmarkStart w:id="11" w:name="_Toc34922102"/>
      <w:r>
        <w:rPr>
          <w:rFonts w:ascii="Times New Roman" w:hAnsi="Times New Roman"/>
          <w:b/>
          <w:noProof/>
          <w:sz w:val="24"/>
          <w:szCs w:val="24"/>
        </w:rPr>
        <w:t>Madeira</w:t>
      </w:r>
      <w:bookmarkEnd w:id="11"/>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Madeira håller på att genomföra meddelandet från 2017, med tonvikt på blå ekonomi, cirkulär ekonomi, klimatförändringar, forskning, energi, sysselsättning och kompetens.</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Blå ekonomi</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Lanserade kreditlinjen Investe Ram2020, ett finansiellt instrument som ska underlätta tillgången till finansiering för småskaliga operatörer (20 miljoner euro) under 2018. </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Utarbetade en fysisk plan för havsmiljö, ett territoriellt förvaltningsverktyg som ska främja en hållbar blå ekonomi.</w:t>
      </w:r>
    </w:p>
    <w:p>
      <w:pPr>
        <w:pStyle w:val="ListParagraph"/>
        <w:numPr>
          <w:ilvl w:val="0"/>
          <w:numId w:val="25"/>
        </w:numPr>
        <w:spacing w:after="160" w:line="259" w:lineRule="auto"/>
        <w:jc w:val="both"/>
        <w:rPr>
          <w:rFonts w:ascii="Times New Roman" w:hAnsi="Times New Roman" w:cs="Times New Roman"/>
          <w:noProof/>
          <w:sz w:val="24"/>
          <w:szCs w:val="24"/>
        </w:rPr>
      </w:pPr>
      <w:r>
        <w:rPr>
          <w:rFonts w:ascii="Times New Roman" w:hAnsi="Times New Roman"/>
          <w:noProof/>
          <w:sz w:val="24"/>
          <w:szCs w:val="24"/>
        </w:rPr>
        <w:t>Inrättade ett konsortium 2019 med ansvar för det integrerade internationella centrumet för havsutbildning i Madeira, som ska börja erbjuda utbildningar 2020.</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Jordbruk och landsbygdsutveckling</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Införde lagstiftning om inrättande av en teknisk kommission för utvärdering av jordbruksprodukters och livsmedels överensstämmelse i Madeira 2018, för att säkerställa att produkter som ingår i en EU-kvalitetsordning överensstämmer med EU-lagstiftningen.</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Biologisk mångfald</w:t>
      </w:r>
    </w:p>
    <w:p>
      <w:pPr>
        <w:pStyle w:val="ListParagraph"/>
        <w:numPr>
          <w:ilvl w:val="0"/>
          <w:numId w:val="25"/>
        </w:numPr>
        <w:spacing w:after="160" w:line="259" w:lineRule="auto"/>
        <w:jc w:val="both"/>
        <w:rPr>
          <w:rFonts w:ascii="Times New Roman" w:hAnsi="Times New Roman" w:cs="Times New Roman"/>
          <w:noProof/>
          <w:sz w:val="24"/>
          <w:szCs w:val="24"/>
        </w:rPr>
      </w:pPr>
      <w:r>
        <w:rPr>
          <w:rFonts w:ascii="Times New Roman" w:hAnsi="Times New Roman"/>
          <w:noProof/>
          <w:sz w:val="24"/>
          <w:szCs w:val="24"/>
        </w:rPr>
        <w:t>Stärkte förvaltningen av skyddade områden och platser som ingår i Natura 2000-nätet (från 2017) genom att se över och uppdatera förvaltningsplaner, strategier och klassificerade områden.</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Cirkulär ekonomi</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Utvecklade en regional agenda för cirkulär ekonomi för att minska miljöeffekterna och uppnå en hållbar ekonomisk tillväxt (2019). </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Utarbetade en avfallsstrategi för 2020–2030 för att förbättra avfallshanteringen (2019).</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Klimatförändringar</w:t>
      </w:r>
    </w:p>
    <w:p>
      <w:pPr>
        <w:numPr>
          <w:ilvl w:val="0"/>
          <w:numId w:val="25"/>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Främjade genomförandet av den regionala strategin för anpassning till klimatförändringarna genom projekt som får stöd av Interregprogram och EU:s Life-program samt började uppdatera strategin.</w:t>
      </w:r>
    </w:p>
    <w:p>
      <w:pPr>
        <w:pStyle w:val="ListParagraph"/>
        <w:numPr>
          <w:ilvl w:val="0"/>
          <w:numId w:val="25"/>
        </w:numPr>
        <w:spacing w:after="160" w:line="259" w:lineRule="auto"/>
        <w:jc w:val="both"/>
        <w:rPr>
          <w:rFonts w:ascii="Times New Roman" w:hAnsi="Times New Roman" w:cs="Times New Roman"/>
          <w:noProof/>
          <w:sz w:val="24"/>
          <w:szCs w:val="24"/>
        </w:rPr>
      </w:pPr>
      <w:r>
        <w:rPr>
          <w:rFonts w:ascii="Times New Roman" w:hAnsi="Times New Roman"/>
          <w:noProof/>
          <w:sz w:val="24"/>
          <w:szCs w:val="24"/>
        </w:rPr>
        <w:t>Utvecklar programvara och system för att utvärdera, förebygga och minska risken för skogsbränder och förbättra hanteringen av skogsbränder med stöd från Sammanhållningsfonden.</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Energi</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Genomförde projektet ”Sustainable Porto Santo – Smart Fossil Free Island” (2019) som syftade till att främja användningen av </w:t>
      </w:r>
      <w:hyperlink r:id="rId17" w:history="1">
        <w:r>
          <w:rPr>
            <w:rFonts w:ascii="Times New Roman" w:hAnsi="Times New Roman"/>
            <w:noProof/>
            <w:sz w:val="24"/>
            <w:szCs w:val="24"/>
          </w:rPr>
          <w:t>elfordon</w:t>
        </w:r>
      </w:hyperlink>
      <w:r>
        <w:rPr>
          <w:rFonts w:ascii="Times New Roman" w:hAnsi="Times New Roman"/>
          <w:noProof/>
          <w:sz w:val="24"/>
          <w:szCs w:val="24"/>
        </w:rPr>
        <w:t xml:space="preserve"> och smarta laddningssystem.</w:t>
      </w:r>
    </w:p>
    <w:p>
      <w:pPr>
        <w:pStyle w:val="ListParagraph"/>
        <w:numPr>
          <w:ilvl w:val="0"/>
          <w:numId w:val="25"/>
        </w:numPr>
        <w:spacing w:after="160" w:line="259" w:lineRule="auto"/>
        <w:jc w:val="both"/>
        <w:rPr>
          <w:rFonts w:ascii="Times New Roman" w:eastAsia="Calibri" w:hAnsi="Times New Roman" w:cs="Times New Roman"/>
          <w:noProof/>
          <w:sz w:val="24"/>
          <w:szCs w:val="24"/>
        </w:rPr>
      </w:pPr>
      <w:r>
        <w:rPr>
          <w:rFonts w:ascii="Times New Roman" w:hAnsi="Times New Roman"/>
          <w:noProof/>
          <w:sz w:val="24"/>
          <w:szCs w:val="24"/>
        </w:rPr>
        <w:t>Kommer inom kort att färdigställa utvidgningen av vattenkraftsprojektet Calheta III som stöds av Sammanhållningsfonden.</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Deltog i flera EU-energiprojekt, bland annat Enermac (2017–2019), om att planera strategier för uppförande av infrastruktur för förnybar energi.</w:t>
      </w:r>
    </w:p>
    <w:p>
      <w:pPr>
        <w:pStyle w:val="ListParagraph"/>
        <w:numPr>
          <w:ilvl w:val="0"/>
          <w:numId w:val="25"/>
        </w:numPr>
        <w:spacing w:after="160" w:line="259" w:lineRule="auto"/>
        <w:jc w:val="both"/>
        <w:rPr>
          <w:rFonts w:ascii="Times New Roman" w:hAnsi="Times New Roman" w:cs="Times New Roman"/>
          <w:noProof/>
          <w:sz w:val="24"/>
          <w:szCs w:val="24"/>
        </w:rPr>
      </w:pPr>
      <w:r>
        <w:rPr>
          <w:rFonts w:ascii="Times New Roman" w:hAnsi="Times New Roman"/>
          <w:noProof/>
          <w:sz w:val="24"/>
          <w:szCs w:val="24"/>
        </w:rPr>
        <w:t>Främjar rena transporter med stöd från Europeiska regionala utvecklingsfonden: inköp av 5 elektriska minibussar och 25 rena bussar (2019).</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Forskning och innovation</w:t>
      </w:r>
    </w:p>
    <w:p>
      <w:pPr>
        <w:numPr>
          <w:ilvl w:val="0"/>
          <w:numId w:val="26"/>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Deltog i projektet Smart4Health från 2019 för att hjälpa medborgare att hantera och bevara uppgifter om sin egen hälsa både i och utanför EU.</w:t>
      </w:r>
    </w:p>
    <w:p>
      <w:pPr>
        <w:numPr>
          <w:ilvl w:val="0"/>
          <w:numId w:val="26"/>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Gjorde en ny bedömning av den regionala strategin för smart specialisering (2019) inför lanseringen av strategin 2.0 för perioden 2021–2027.</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Sysselsättning och utbildning</w:t>
      </w:r>
    </w:p>
    <w:p>
      <w:pPr>
        <w:numPr>
          <w:ilvl w:val="0"/>
          <w:numId w:val="27"/>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Utvecklade åtgärder för att stödja arbetslösa, inbegripet program inriktade på jobbskapande för ungdomar, till exempel Projovem. Under 2018 ledde de 68 godkända projekten inom programmet för att stimulera entreprenörskap bland arbetslösa till 118 nya jobb. Dessa åtgärder omfattade 5 512 personer under 2018.</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Digital tillgänglighet</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Undertecknade ett avtal 2018 om att tillhandahålla en ny telekommunikationslänk i en undervattenskabel med fiberoptik mellan Madeira och det portugisiska fastlandet.</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Utvecklade kurser för att förbättra den digitala kompetensen i skolor (2018–2019) genom den strategiska planen för utbildningsinnovation i skolor, som bland annat omfattade projekt på områdena naturvetenskap, teknik, ingenjörsvetenskap och matematik. </w:t>
      </w:r>
    </w:p>
    <w:p>
      <w:pPr>
        <w:pStyle w:val="ListParagraph"/>
        <w:numPr>
          <w:ilvl w:val="0"/>
          <w:numId w:val="25"/>
        </w:numPr>
        <w:spacing w:after="160" w:line="259" w:lineRule="auto"/>
        <w:jc w:val="both"/>
        <w:rPr>
          <w:rFonts w:ascii="Times New Roman" w:hAnsi="Times New Roman" w:cs="Times New Roman"/>
          <w:noProof/>
          <w:sz w:val="24"/>
          <w:szCs w:val="24"/>
        </w:rPr>
      </w:pPr>
      <w:r>
        <w:rPr>
          <w:rFonts w:ascii="Times New Roman" w:hAnsi="Times New Roman"/>
          <w:noProof/>
          <w:sz w:val="24"/>
          <w:szCs w:val="24"/>
        </w:rPr>
        <w:t>Presenterade ”framtidens klassrumslaboratorium” och tillhandahöll robotteknikpaket till skolor 2018–2019.</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Transporter</w:t>
      </w:r>
    </w:p>
    <w:p>
      <w:pPr>
        <w:pStyle w:val="ListParagraph"/>
        <w:numPr>
          <w:ilvl w:val="0"/>
          <w:numId w:val="25"/>
        </w:numPr>
        <w:spacing w:after="160" w:line="259" w:lineRule="auto"/>
        <w:jc w:val="both"/>
        <w:rPr>
          <w:rFonts w:ascii="Times New Roman" w:hAnsi="Times New Roman" w:cs="Times New Roman"/>
          <w:noProof/>
          <w:sz w:val="24"/>
          <w:szCs w:val="24"/>
        </w:rPr>
      </w:pPr>
      <w:r>
        <w:rPr>
          <w:rFonts w:ascii="Times New Roman" w:hAnsi="Times New Roman"/>
          <w:noProof/>
          <w:sz w:val="24"/>
          <w:szCs w:val="24"/>
        </w:rPr>
        <w:t>Godkände handlingsplanen för hållbar rörlighet i Madeira (juni 2019). Planen ska stödja övergången till ren och säker transport.</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Samarbete med länder i och bortom grannskapet</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Återlanserade toppmötet för den makaronesiska övärlden, som främjar diskussioner om gemensamma utmaningar med koppling till miljö och klimatförändringar, havsbaserad ekonomi, handel och investeringsfrämjande åtgärder, utbildning samt rörlighet för studerande och lärare (2018).</w:t>
      </w:r>
    </w:p>
    <w:p>
      <w:pPr>
        <w:pStyle w:val="ListParagraph"/>
        <w:numPr>
          <w:ilvl w:val="0"/>
          <w:numId w:val="25"/>
        </w:numPr>
        <w:spacing w:after="160" w:line="259" w:lineRule="auto"/>
        <w:jc w:val="both"/>
        <w:rPr>
          <w:rFonts w:ascii="Times New Roman" w:hAnsi="Times New Roman" w:cs="Times New Roman"/>
          <w:noProof/>
          <w:sz w:val="24"/>
          <w:szCs w:val="24"/>
        </w:rPr>
      </w:pPr>
      <w:r>
        <w:rPr>
          <w:rFonts w:ascii="Times New Roman" w:hAnsi="Times New Roman"/>
          <w:noProof/>
          <w:sz w:val="24"/>
          <w:szCs w:val="24"/>
        </w:rPr>
        <w:t>Deltar i projektet Integra, som syftar till marknadsintegration och utveckling av det ekonomiska och sociala grannskapet i Makaronesien och som godkändes i juni 2019 (Interreg-programmet för Madeira, Azorerna och Kanarieöarna).</w:t>
      </w:r>
    </w:p>
    <w:p>
      <w:pPr>
        <w:spacing w:after="120" w:line="240" w:lineRule="auto"/>
        <w:rPr>
          <w:noProof/>
          <w:sz w:val="24"/>
          <w:szCs w:val="24"/>
        </w:rPr>
      </w:pPr>
      <w:r>
        <w:rPr>
          <w:noProof/>
          <w:sz w:val="24"/>
          <w:szCs w:val="24"/>
        </w:rPr>
        <w:br w:type="page"/>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bookmarkStart w:id="12" w:name="_Toc34922103"/>
      <w:r>
        <w:rPr>
          <w:rFonts w:ascii="Times New Roman" w:hAnsi="Times New Roman"/>
          <w:b/>
          <w:noProof/>
          <w:sz w:val="24"/>
          <w:szCs w:val="24"/>
        </w:rPr>
        <w:t>Spanien</w:t>
      </w:r>
      <w:bookmarkEnd w:id="12"/>
    </w:p>
    <w:p>
      <w:pPr>
        <w:pStyle w:val="ListParagraph"/>
        <w:spacing w:after="120" w:line="240" w:lineRule="auto"/>
        <w:contextualSpacing w:val="0"/>
        <w:jc w:val="both"/>
        <w:rPr>
          <w:rFonts w:ascii="Times New Roman" w:hAnsi="Times New Roman" w:cs="Times New Roman"/>
          <w:noProof/>
          <w:sz w:val="24"/>
          <w:szCs w:val="24"/>
        </w:rPr>
      </w:pP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Spanien genomför 2017 års meddelande tillsammans med det yttersta randområdet Kanarieöarna i enlighet med den konstitutionsenliga fördelningen av befogenheter.</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Cirkulär ekonomi</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Deltog i inrättandet av arbetsgruppen för avfall i november 2018 med efterföljande möten, via ministeriet för ekologisk omställning och tull- och punktskatteavdelningen, och stöder genomförandet av handlingsplanen.</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Analyserade den övergripande avfallsplanen för Kanarieöarna (Pircan) 2018–2025.</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Energi</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Stöder, inom ramen för EU:s paket om ren energi, åtgärder för att införa förnybar energi på öarna, spara energi, öka energieffektiviteten och främja hållbar rörlighet, inbegripet auktioner för förnybar energi, sammanlänkning av öar och elektriska laddningsstationer för fordon.</w:t>
      </w:r>
    </w:p>
    <w:p>
      <w:pPr>
        <w:numPr>
          <w:ilvl w:val="0"/>
          <w:numId w:val="25"/>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Utvecklade och stödde utbildning och åtgärder för teknikspridning på området förnybar energi.</w:t>
      </w:r>
    </w:p>
    <w:p>
      <w:pPr>
        <w:spacing w:after="120" w:line="240" w:lineRule="auto"/>
        <w:rPr>
          <w:noProof/>
          <w:sz w:val="24"/>
          <w:szCs w:val="24"/>
        </w:rPr>
      </w:pPr>
      <w:r>
        <w:rPr>
          <w:noProof/>
          <w:sz w:val="24"/>
          <w:szCs w:val="24"/>
        </w:rPr>
        <w:br w:type="page"/>
      </w:r>
    </w:p>
    <w:p>
      <w:pPr>
        <w:pStyle w:val="ListParagraph"/>
        <w:numPr>
          <w:ilvl w:val="0"/>
          <w:numId w:val="30"/>
        </w:numPr>
        <w:spacing w:before="120" w:after="120" w:line="240" w:lineRule="auto"/>
        <w:ind w:left="357" w:hanging="357"/>
        <w:contextualSpacing w:val="0"/>
        <w:jc w:val="both"/>
        <w:outlineLvl w:val="0"/>
        <w:rPr>
          <w:rFonts w:ascii="Times New Roman" w:hAnsi="Times New Roman" w:cs="Times New Roman"/>
          <w:b/>
          <w:noProof/>
          <w:sz w:val="24"/>
          <w:szCs w:val="24"/>
        </w:rPr>
      </w:pPr>
      <w:bookmarkStart w:id="13" w:name="_Toc34922104"/>
      <w:r>
        <w:rPr>
          <w:rFonts w:ascii="Times New Roman" w:hAnsi="Times New Roman"/>
          <w:b/>
          <w:noProof/>
          <w:sz w:val="24"/>
          <w:szCs w:val="24"/>
        </w:rPr>
        <w:t>Kanarieöarna</w:t>
      </w:r>
      <w:bookmarkEnd w:id="13"/>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Kanarieöarna håller på att genomföra meddelandet från 2017, och inriktar sitt arbete främst på energi, forskning och cirkulär ekonomi. </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sz w:val="24"/>
          <w:szCs w:val="24"/>
        </w:rPr>
        <w:t xml:space="preserve">Tar fram officiella uppgifter om lokal produktion sedan juli 2018 genom ett avtal med det lokala statistikinstitutet (Istac).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Blå ekonomi</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sz w:val="24"/>
          <w:szCs w:val="24"/>
        </w:rPr>
        <w:t>Inrättade en arbetsgrupp för blå ekonomi i februari 2018. Analyserade styrkor, svagheter, möjligheter och hot för alla sektorer i den blå ekonomin i syfte att bana vägen för den strategi för blå ekonomi som förväntas färdigställas under första halvåret 2020.</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Jordbruk och landsbygdsutveckling</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sz w:val="24"/>
          <w:szCs w:val="24"/>
        </w:rPr>
        <w:t>Genomförde en strategi för att differentiera produkter på grundval av deras kvalitet för att öka konsumtionen, främja ekologisk produktion och underlätta kontakterna mellan den jordbruksbaserade livsmedelsindustrin och myndigheterna.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Cirkulär ekonomi</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sz w:val="24"/>
          <w:szCs w:val="24"/>
        </w:rPr>
        <w:t>Startade ett projekt för en biogasanläggning 2017, med stöd från Europeiska regionala utvecklingsfonden, i syfte att tillvarata avfall från djuruppfödning.</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sz w:val="24"/>
          <w:szCs w:val="24"/>
        </w:rPr>
        <w:t>Deltog i inrättandet av en arbetsgrupp för avfall i november 2018 för att underlätta kommunikationen mellan intressenter på alla nivåer (europeisk, nationell, regional och lokal) och bidrog till utarbetandet av en handlingsplan för bättre avfallshantering.</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sz w:val="24"/>
          <w:szCs w:val="24"/>
        </w:rPr>
        <w:t>Inrättade en arbetsgrupp för cirkulär ekonomi i februari 2018 som gjorde en preliminär analys av situationen på öarna.</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sz w:val="24"/>
          <w:szCs w:val="24"/>
        </w:rPr>
        <w:t>Antog riktlinjer och rekommendationer för minskning och återvinning av avfall bestående av plastartiklar för engångsbruk i augusti 2018.</w:t>
      </w:r>
    </w:p>
    <w:p>
      <w:pPr>
        <w:pStyle w:val="ListParagraph"/>
        <w:numPr>
          <w:ilvl w:val="0"/>
          <w:numId w:val="29"/>
        </w:numPr>
        <w:spacing w:after="120" w:line="240" w:lineRule="auto"/>
        <w:ind w:left="720"/>
        <w:contextualSpacing w:val="0"/>
        <w:jc w:val="both"/>
        <w:rPr>
          <w:rFonts w:ascii="Times New Roman" w:hAnsi="Times New Roman"/>
          <w:noProof/>
          <w:sz w:val="24"/>
          <w:szCs w:val="24"/>
        </w:rPr>
      </w:pPr>
      <w:r>
        <w:rPr>
          <w:rFonts w:ascii="Times New Roman" w:hAnsi="Times New Roman"/>
          <w:noProof/>
          <w:sz w:val="24"/>
          <w:szCs w:val="24"/>
        </w:rPr>
        <w:t>Godkände Kanarieöarnas strategi för plast i april 2019.</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Klimatförändringar</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sz w:val="24"/>
          <w:szCs w:val="24"/>
        </w:rPr>
        <w:t>Startade Kanarieöarnas observationsgrupp för klimatförändringar, som är ett organ för samråd, deltagande och utveckling av åtgärder (juli 2018).</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sz w:val="24"/>
          <w:szCs w:val="24"/>
        </w:rPr>
        <w:t>Uppdaterar den regionala strategin för klimatförändringar.</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Energi</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sz w:val="24"/>
          <w:szCs w:val="24"/>
        </w:rPr>
        <w:t>Deltog i initiativet ”Ren energi för EU:s öar”: Anordnade det andra forumet för ren energi för EU:s öar på Lanzarote i november 2018. La Palma genomför ett pilotprojekt inom ramen för detta initiativ.</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sz w:val="24"/>
          <w:szCs w:val="24"/>
        </w:rPr>
        <w:t>Installerade två innovativa prototyper för användning av marin vindkraft på Plocan-plattformen under 2019.</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Forskning och innovation</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sz w:val="24"/>
          <w:szCs w:val="24"/>
        </w:rPr>
        <w:t>Leder EU:s forskningsprojekt Forward som ska förbättra alla de yttersta randområdenas deltagande i internationella forskningsnätverk och forskningsprogram.</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sz w:val="24"/>
          <w:szCs w:val="24"/>
        </w:rPr>
        <w:t>Återlanserade projektet RIS3-Net2 i oktober 2019 (i egenskap av projektledare) inom ramen för Interreg-programmet för Madeira, Azorerna och Kanarieöarna, i syfte att ta fram en gemensam ram för regionöverskridande RIS3-strategier.</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sz w:val="24"/>
          <w:szCs w:val="24"/>
        </w:rPr>
        <w:t>Deltar i projektet Soclimpact, vars syfte är att ta fram modeller av klimatförändringarnas effekter och deras socioekonomiska inverkan på europeiska öar, inom ramen för sektorer i den blå ekonomin.</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sz w:val="24"/>
          <w:szCs w:val="24"/>
        </w:rPr>
        <w:t>Deltar i projektet React som stöds av Horisont 2020 och syftar till att minska koldioxidutsläppen från öarnas energisystem.</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Sysselsättning och utbildning</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sz w:val="24"/>
          <w:szCs w:val="24"/>
        </w:rPr>
        <w:t xml:space="preserve">Leder projektet Grow Rup som samfinansieras av Interreg Europa sedan januari 2017, med målet att bekämpa långtidsarbetslösheten i de gröna och blå ekonomierna.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Konkurrenskraft, entreprenörskap och den inre marknaden</w:t>
      </w:r>
    </w:p>
    <w:p>
      <w:pPr>
        <w:pStyle w:val="ListParagraph"/>
        <w:numPr>
          <w:ilvl w:val="0"/>
          <w:numId w:val="29"/>
        </w:numPr>
        <w:spacing w:after="120" w:line="240" w:lineRule="auto"/>
        <w:ind w:left="720"/>
        <w:contextualSpacing w:val="0"/>
        <w:jc w:val="both"/>
        <w:rPr>
          <w:noProof/>
          <w:sz w:val="24"/>
          <w:szCs w:val="24"/>
        </w:rPr>
      </w:pPr>
      <w:r>
        <w:rPr>
          <w:rFonts w:ascii="Times New Roman" w:hAnsi="Times New Roman"/>
          <w:noProof/>
          <w:sz w:val="24"/>
          <w:szCs w:val="24"/>
        </w:rPr>
        <w:t>Lanserade en operativ strategi för internationalisering av Kanarieöarnas ekonomi i januari 2018 som syftar till att öka företags konkurrenskraft och entreprenörskap.</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Digital tillgänglighet</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sz w:val="24"/>
          <w:szCs w:val="24"/>
        </w:rPr>
        <w:t>Publicerade två förslagsinfordringar för att stödja utbyggnaden av infrastruktur för höghastighetsbredband (2018 och 2019).</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sz w:val="24"/>
          <w:szCs w:val="24"/>
        </w:rPr>
        <w:t>Stödde organisationer i deras arbete med att tillhandahålla utbildning i digital kompetens i sammanlagt 71 projekt (2017–2019).</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Samarbete med länder i och bortom grannskapet</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sz w:val="24"/>
          <w:szCs w:val="24"/>
        </w:rPr>
        <w:t>Leder Interreg-projektet Mac Hexagone tillsammans med Madeira och Azorerna för att främja samarbetet med grannländerna Mauretanien, Senegal och Kap Verde genom att stärka samordningen mellan program inom ramen för Europeiska regionala utvecklingsfonden och Europeiska utvecklingsfonden i området (avslutas i december 2022).</w:t>
      </w:r>
    </w:p>
    <w:p>
      <w:pPr>
        <w:pStyle w:val="ListParagraph"/>
        <w:numPr>
          <w:ilvl w:val="0"/>
          <w:numId w:val="29"/>
        </w:numPr>
        <w:spacing w:after="120" w:line="240" w:lineRule="auto"/>
        <w:ind w:left="720"/>
        <w:contextualSpacing w:val="0"/>
        <w:jc w:val="both"/>
        <w:rPr>
          <w:rFonts w:ascii="Times New Roman" w:hAnsi="Times New Roman" w:cs="Times New Roman"/>
          <w:noProof/>
          <w:sz w:val="24"/>
          <w:szCs w:val="24"/>
        </w:rPr>
      </w:pPr>
      <w:r>
        <w:rPr>
          <w:rFonts w:ascii="Times New Roman" w:hAnsi="Times New Roman"/>
          <w:noProof/>
          <w:sz w:val="24"/>
          <w:szCs w:val="24"/>
        </w:rPr>
        <w:t>Genomförde Interreg-projektet Valconmac som inriktades på skydd och utveckling av livsmiljöer i skogar i den makaronesiska övärlden i Atlanten.</w:t>
      </w:r>
    </w:p>
    <w:p>
      <w:pPr>
        <w:spacing w:after="120" w:line="240" w:lineRule="auto"/>
        <w:rPr>
          <w:noProof/>
        </w:rPr>
      </w:pPr>
    </w:p>
    <w:sectPr>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573487"/>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Lag nr 2017-256, den 28 februari 2017.</w:t>
      </w:r>
    </w:p>
  </w:footnote>
  <w:footnote w:id="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Lag nr 2018-771, den 5 september 2018.</w:t>
      </w:r>
    </w:p>
  </w:footnote>
  <w:footnote w:id="4">
    <w:p>
      <w:pPr>
        <w:pStyle w:val="FootnoteText"/>
      </w:pPr>
      <w:r>
        <w:rPr>
          <w:rStyle w:val="FootnoteReference"/>
        </w:rPr>
        <w:footnoteRef/>
      </w:r>
      <w:r>
        <w:t xml:space="preserve"> </w:t>
      </w:r>
      <w:hyperlink r:id="rId1" w:history="1">
        <w:r>
          <w:rPr>
            <w:rStyle w:val="Hyperlink1"/>
            <w:rFonts w:ascii="Times New Roman" w:hAnsi="Times New Roman"/>
          </w:rPr>
          <w:t>www.transitionenergetiquemartinique.mq</w:t>
        </w:r>
      </w:hyperlink>
    </w:p>
  </w:footnote>
  <w:footnote w:id="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https://eeagrants.org/about-us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44F"/>
    <w:multiLevelType w:val="hybridMultilevel"/>
    <w:tmpl w:val="D55CD1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04F7F5C"/>
    <w:multiLevelType w:val="hybridMultilevel"/>
    <w:tmpl w:val="8738E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B280F"/>
    <w:multiLevelType w:val="hybridMultilevel"/>
    <w:tmpl w:val="1090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7C15AB"/>
    <w:multiLevelType w:val="hybridMultilevel"/>
    <w:tmpl w:val="F58C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67B73"/>
    <w:multiLevelType w:val="hybridMultilevel"/>
    <w:tmpl w:val="6FAA4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827EDF"/>
    <w:multiLevelType w:val="hybridMultilevel"/>
    <w:tmpl w:val="08E6B17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0E3B21A9"/>
    <w:multiLevelType w:val="hybridMultilevel"/>
    <w:tmpl w:val="5F1415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EF877E5"/>
    <w:multiLevelType w:val="hybridMultilevel"/>
    <w:tmpl w:val="9B5459A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0FF130E3"/>
    <w:multiLevelType w:val="hybridMultilevel"/>
    <w:tmpl w:val="86B2CB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91C7928"/>
    <w:multiLevelType w:val="hybridMultilevel"/>
    <w:tmpl w:val="A7DAD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AC3985"/>
    <w:multiLevelType w:val="hybridMultilevel"/>
    <w:tmpl w:val="FA60D2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F7E56F6"/>
    <w:multiLevelType w:val="hybridMultilevel"/>
    <w:tmpl w:val="A34AC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7C0C91"/>
    <w:multiLevelType w:val="hybridMultilevel"/>
    <w:tmpl w:val="833AB9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38425A3"/>
    <w:multiLevelType w:val="hybridMultilevel"/>
    <w:tmpl w:val="517202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691368C"/>
    <w:multiLevelType w:val="hybridMultilevel"/>
    <w:tmpl w:val="58E24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A74D17"/>
    <w:multiLevelType w:val="hybridMultilevel"/>
    <w:tmpl w:val="552CC9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9F41101"/>
    <w:multiLevelType w:val="hybridMultilevel"/>
    <w:tmpl w:val="F77C0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7962E7"/>
    <w:multiLevelType w:val="hybridMultilevel"/>
    <w:tmpl w:val="229C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E77DA1"/>
    <w:multiLevelType w:val="hybridMultilevel"/>
    <w:tmpl w:val="A386B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EC37B9F"/>
    <w:multiLevelType w:val="hybridMultilevel"/>
    <w:tmpl w:val="C7ACA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822FFC"/>
    <w:multiLevelType w:val="hybridMultilevel"/>
    <w:tmpl w:val="22AC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314DC9"/>
    <w:multiLevelType w:val="hybridMultilevel"/>
    <w:tmpl w:val="A942C0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DB439AD"/>
    <w:multiLevelType w:val="hybridMultilevel"/>
    <w:tmpl w:val="A0AC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455175"/>
    <w:multiLevelType w:val="hybridMultilevel"/>
    <w:tmpl w:val="65DC1F7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nsid w:val="4F762128"/>
    <w:multiLevelType w:val="hybridMultilevel"/>
    <w:tmpl w:val="1F067638"/>
    <w:lvl w:ilvl="0" w:tplc="18090001">
      <w:start w:val="1"/>
      <w:numFmt w:val="bullet"/>
      <w:lvlText w:val=""/>
      <w:lvlJc w:val="left"/>
      <w:pPr>
        <w:ind w:left="785"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1625BED"/>
    <w:multiLevelType w:val="hybridMultilevel"/>
    <w:tmpl w:val="9462F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29B4B1E"/>
    <w:multiLevelType w:val="hybridMultilevel"/>
    <w:tmpl w:val="1D86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9634BE"/>
    <w:multiLevelType w:val="hybridMultilevel"/>
    <w:tmpl w:val="33CA4A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55D92C1C"/>
    <w:multiLevelType w:val="hybridMultilevel"/>
    <w:tmpl w:val="ED7A237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nsid w:val="576225B0"/>
    <w:multiLevelType w:val="hybridMultilevel"/>
    <w:tmpl w:val="F66AE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9232B6"/>
    <w:multiLevelType w:val="hybridMultilevel"/>
    <w:tmpl w:val="5F1415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88E1906"/>
    <w:multiLevelType w:val="hybridMultilevel"/>
    <w:tmpl w:val="EF24F3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93E756C"/>
    <w:multiLevelType w:val="hybridMultilevel"/>
    <w:tmpl w:val="156A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2B3A3F"/>
    <w:multiLevelType w:val="hybridMultilevel"/>
    <w:tmpl w:val="690C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856628"/>
    <w:multiLevelType w:val="hybridMultilevel"/>
    <w:tmpl w:val="CE82D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725D2C"/>
    <w:multiLevelType w:val="hybridMultilevel"/>
    <w:tmpl w:val="4120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7C5497"/>
    <w:multiLevelType w:val="hybridMultilevel"/>
    <w:tmpl w:val="219EFEBC"/>
    <w:lvl w:ilvl="0" w:tplc="3D065BBA">
      <w:start w:val="1"/>
      <w:numFmt w:val="bullet"/>
      <w:lvlText w:val=""/>
      <w:lvlJc w:val="left"/>
      <w:pPr>
        <w:ind w:left="720" w:hanging="360"/>
      </w:pPr>
      <w:rPr>
        <w:rFonts w:ascii="Symbol" w:hAnsi="Symbol" w:hint="default"/>
        <w:sz w:val="24"/>
        <w:szCs w:val="24"/>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7">
    <w:nsid w:val="6BE332DF"/>
    <w:multiLevelType w:val="hybridMultilevel"/>
    <w:tmpl w:val="99E2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793E24"/>
    <w:multiLevelType w:val="hybridMultilevel"/>
    <w:tmpl w:val="BCAEE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27"/>
  </w:num>
  <w:num w:numId="4">
    <w:abstractNumId w:val="30"/>
  </w:num>
  <w:num w:numId="5">
    <w:abstractNumId w:val="24"/>
  </w:num>
  <w:num w:numId="6">
    <w:abstractNumId w:val="21"/>
  </w:num>
  <w:num w:numId="7">
    <w:abstractNumId w:val="35"/>
  </w:num>
  <w:num w:numId="8">
    <w:abstractNumId w:val="32"/>
  </w:num>
  <w:num w:numId="9">
    <w:abstractNumId w:val="28"/>
  </w:num>
  <w:num w:numId="10">
    <w:abstractNumId w:val="0"/>
  </w:num>
  <w:num w:numId="11">
    <w:abstractNumId w:val="25"/>
  </w:num>
  <w:num w:numId="12">
    <w:abstractNumId w:val="34"/>
  </w:num>
  <w:num w:numId="13">
    <w:abstractNumId w:val="26"/>
  </w:num>
  <w:num w:numId="14">
    <w:abstractNumId w:val="13"/>
  </w:num>
  <w:num w:numId="15">
    <w:abstractNumId w:val="3"/>
  </w:num>
  <w:num w:numId="16">
    <w:abstractNumId w:val="19"/>
  </w:num>
  <w:num w:numId="17">
    <w:abstractNumId w:val="17"/>
  </w:num>
  <w:num w:numId="18">
    <w:abstractNumId w:val="38"/>
  </w:num>
  <w:num w:numId="19">
    <w:abstractNumId w:val="29"/>
  </w:num>
  <w:num w:numId="20">
    <w:abstractNumId w:val="14"/>
  </w:num>
  <w:num w:numId="21">
    <w:abstractNumId w:val="4"/>
  </w:num>
  <w:num w:numId="22">
    <w:abstractNumId w:val="1"/>
  </w:num>
  <w:num w:numId="23">
    <w:abstractNumId w:val="16"/>
  </w:num>
  <w:num w:numId="24">
    <w:abstractNumId w:val="9"/>
  </w:num>
  <w:num w:numId="25">
    <w:abstractNumId w:val="11"/>
  </w:num>
  <w:num w:numId="26">
    <w:abstractNumId w:val="2"/>
  </w:num>
  <w:num w:numId="27">
    <w:abstractNumId w:val="33"/>
  </w:num>
  <w:num w:numId="28">
    <w:abstractNumId w:val="23"/>
  </w:num>
  <w:num w:numId="29">
    <w:abstractNumId w:val="5"/>
  </w:num>
  <w:num w:numId="30">
    <w:abstractNumId w:val="8"/>
  </w:num>
  <w:num w:numId="31">
    <w:abstractNumId w:val="23"/>
  </w:num>
  <w:num w:numId="32">
    <w:abstractNumId w:val="18"/>
  </w:num>
  <w:num w:numId="33">
    <w:abstractNumId w:val="36"/>
  </w:num>
  <w:num w:numId="34">
    <w:abstractNumId w:val="7"/>
  </w:num>
  <w:num w:numId="35">
    <w:abstractNumId w:val="6"/>
  </w:num>
  <w:num w:numId="36">
    <w:abstractNumId w:val="15"/>
  </w:num>
  <w:num w:numId="37">
    <w:abstractNumId w:val="12"/>
  </w:num>
  <w:num w:numId="38">
    <w:abstractNumId w:val="22"/>
  </w:num>
  <w:num w:numId="39">
    <w:abstractNumId w:val="20"/>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en-IE" w:vendorID="64" w:dllVersion="131078" w:nlCheck="1" w:checkStyle="1"/>
  <w:revisionView w:markup="0"/>
  <w:defaultTabStop w:val="720"/>
  <w:hyphenationZone w:val="425"/>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ill"/>
    <w:docVar w:name="LW_ANNEX_NBR_FIRST" w:val="1"/>
    <w:docVar w:name="LW_ANNEX_NBR_LAST" w:val="1"/>
    <w:docVar w:name="LW_ANNEX_UNIQUE" w:val="1"/>
    <w:docVar w:name="LW_CORRIGENDUM" w:val="&lt;UNUSED&gt;"/>
    <w:docVar w:name="LW_COVERPAGE_EXISTS" w:val="True"/>
    <w:docVar w:name="LW_COVERPAGE_GUID" w:val="4B54A421-7414-4466-B3D2-A9DFF26F37B0"/>
    <w:docVar w:name="LW_COVERPAGE_TYPE" w:val="1"/>
    <w:docVar w:name="LW_CROSSREFERENCE" w:val="&lt;UNUSED&gt;"/>
    <w:docVar w:name="LW_DocType" w:val="NORMAL"/>
    <w:docVar w:name="LW_EMISSION" w:val="23.3.2020"/>
    <w:docVar w:name="LW_EMISSION_ISODATE" w:val="2020-03-23"/>
    <w:docVar w:name="LW_EMISSION_LOCATION" w:val="BRX"/>
    <w:docVar w:name="LW_EMISSION_PREFIX" w:val="Bryssel den "/>
    <w:docVar w:name="LW_EMISSION_SUFFIX" w:val=" "/>
    <w:docVar w:name="LW_ID_DOCTYPE_NONLW" w:val="CP-039"/>
    <w:docVar w:name="LW_LANGUE" w:val="SV"/>
    <w:docVar w:name="LW_LEVEL_OF_SENSITIVITY" w:val="Standard treatment"/>
    <w:docVar w:name="LW_NOM.INST" w:val="EUROPEISKA KOMMISSIONEN"/>
    <w:docVar w:name="LW_NOM.INST_JOINTDOC" w:val="&lt;EMPTY&gt;"/>
    <w:docVar w:name="LW_OBJETACTEPRINCIPAL.CP" w:val="om genomförandet av kommissionens meddelande om ett starkare och förnyat strategiskt partnerskap med EU:s yttersta randområden_x000b_"/>
    <w:docVar w:name="LW_PART_NBR" w:val="1"/>
    <w:docVar w:name="LW_PART_NBR_TOTAL" w:val="1"/>
    <w:docVar w:name="LW_REF.INST.NEW" w:val="COM"/>
    <w:docVar w:name="LW_REF.INST.NEW_ADOPTED" w:val="final"/>
    <w:docVar w:name="LW_REF.INST.NEW_TEXT" w:val="(2020) 1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BILAGA_x000b_"/>
    <w:docVar w:name="LW_TYPEACTEPRINCIPAL.CP" w:val="RAPPORT FRÅN KOMMISSIONEN TILL EUROPAPARLAMENTET, RÅDET, EUROPEISKA EKONOMISKA OCH SOCIALA KOMMITTÉN, REGIONKOMMITTÉN OCH EUROPEISKA INVESTERINGSBANKEN"/>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yperlink1">
    <w:name w:val="Hyperlink1"/>
    <w:basedOn w:val="DefaultParagraphFont"/>
    <w:uiPriority w:val="99"/>
    <w:unhideWhenUsed/>
    <w:rPr>
      <w:color w:val="0563C1"/>
      <w:u w:val="single"/>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link w:val="TOCHeadingChar"/>
    <w:uiPriority w:val="39"/>
    <w:semiHidden/>
    <w:unhideWhenUsed/>
    <w:qFormat/>
    <w:pPr>
      <w:outlineLvl w:val="9"/>
    </w:pPr>
    <w:rPr>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OC1">
    <w:name w:val="toc 1"/>
    <w:basedOn w:val="Normal"/>
    <w:next w:val="Normal"/>
    <w:autoRedefine/>
    <w:uiPriority w:val="39"/>
    <w:unhideWhenUsed/>
    <w:pPr>
      <w:tabs>
        <w:tab w:val="left" w:pos="426"/>
        <w:tab w:val="right" w:leader="dot" w:pos="9062"/>
      </w:tabs>
      <w:spacing w:after="100"/>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OCHeadingChar">
    <w:name w:val="TOC Heading Char"/>
    <w:basedOn w:val="Heading1Char"/>
    <w:link w:val="TOCHeading"/>
    <w:uiPriority w:val="39"/>
    <w:semiHidden/>
    <w:rPr>
      <w:rFonts w:asciiTheme="majorHAnsi" w:eastAsiaTheme="majorEastAsia" w:hAnsiTheme="majorHAnsi" w:cstheme="majorBidi"/>
      <w:b/>
      <w:bCs/>
      <w:color w:val="365F91" w:themeColor="accent1" w:themeShade="BF"/>
      <w:sz w:val="28"/>
      <w:szCs w:val="28"/>
      <w:lang w:val="sv-SE" w:eastAsia="ja-JP"/>
    </w:rPr>
  </w:style>
  <w:style w:type="character" w:customStyle="1" w:styleId="FooterCoverPageChar">
    <w:name w:val="Footer Cover Page Char"/>
    <w:basedOn w:val="TOCHeadingChar"/>
    <w:link w:val="FooterCoverPage"/>
    <w:rPr>
      <w:rFonts w:ascii="Times New Roman" w:eastAsiaTheme="majorEastAsia" w:hAnsi="Times New Roman" w:cs="Times New Roman"/>
      <w:b w:val="0"/>
      <w:bCs w:val="0"/>
      <w:color w:val="365F91" w:themeColor="accent1" w:themeShade="BF"/>
      <w:sz w:val="24"/>
      <w:szCs w:val="28"/>
      <w:lang w:val="sv-SE" w:eastAsia="ja-JP"/>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OCHeadingChar"/>
    <w:link w:val="FooterSensitivity"/>
    <w:rPr>
      <w:rFonts w:ascii="Times New Roman" w:eastAsiaTheme="majorEastAsia" w:hAnsi="Times New Roman" w:cs="Times New Roman"/>
      <w:b/>
      <w:bCs w:val="0"/>
      <w:color w:val="365F91" w:themeColor="accent1" w:themeShade="BF"/>
      <w:sz w:val="32"/>
      <w:szCs w:val="28"/>
      <w:lang w:val="sv-SE" w:eastAsia="ja-JP"/>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OCHeadingChar"/>
    <w:link w:val="HeaderCoverPage"/>
    <w:rPr>
      <w:rFonts w:ascii="Times New Roman" w:eastAsiaTheme="majorEastAsia" w:hAnsi="Times New Roman" w:cs="Times New Roman"/>
      <w:b w:val="0"/>
      <w:bCs w:val="0"/>
      <w:color w:val="365F91" w:themeColor="accent1" w:themeShade="BF"/>
      <w:sz w:val="24"/>
      <w:szCs w:val="28"/>
      <w:lang w:val="sv-SE" w:eastAsia="ja-JP"/>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OCHeadingChar"/>
    <w:link w:val="HeaderSensitivity"/>
    <w:rPr>
      <w:rFonts w:ascii="Times New Roman" w:eastAsiaTheme="majorEastAsia" w:hAnsi="Times New Roman" w:cs="Times New Roman"/>
      <w:b/>
      <w:bCs w:val="0"/>
      <w:color w:val="365F91" w:themeColor="accent1" w:themeShade="BF"/>
      <w:sz w:val="32"/>
      <w:szCs w:val="28"/>
      <w:lang w:val="sv-SE" w:eastAsia="ja-JP"/>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OCHeadingChar"/>
    <w:link w:val="HeaderSensitivityRight"/>
    <w:rPr>
      <w:rFonts w:ascii="Times New Roman" w:eastAsiaTheme="majorEastAsia" w:hAnsi="Times New Roman" w:cs="Times New Roman"/>
      <w:b w:val="0"/>
      <w:bCs w:val="0"/>
      <w:color w:val="365F91" w:themeColor="accent1" w:themeShade="BF"/>
      <w:sz w:val="28"/>
      <w:szCs w:val="28"/>
      <w:lang w:val="sv-SE"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yperlink1">
    <w:name w:val="Hyperlink1"/>
    <w:basedOn w:val="DefaultParagraphFont"/>
    <w:uiPriority w:val="99"/>
    <w:unhideWhenUsed/>
    <w:rPr>
      <w:color w:val="0563C1"/>
      <w:u w:val="single"/>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link w:val="TOCHeadingChar"/>
    <w:uiPriority w:val="39"/>
    <w:semiHidden/>
    <w:unhideWhenUsed/>
    <w:qFormat/>
    <w:pPr>
      <w:outlineLvl w:val="9"/>
    </w:pPr>
    <w:rPr>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OC1">
    <w:name w:val="toc 1"/>
    <w:basedOn w:val="Normal"/>
    <w:next w:val="Normal"/>
    <w:autoRedefine/>
    <w:uiPriority w:val="39"/>
    <w:unhideWhenUsed/>
    <w:pPr>
      <w:tabs>
        <w:tab w:val="left" w:pos="426"/>
        <w:tab w:val="right" w:leader="dot" w:pos="9062"/>
      </w:tabs>
      <w:spacing w:after="100"/>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OCHeadingChar">
    <w:name w:val="TOC Heading Char"/>
    <w:basedOn w:val="Heading1Char"/>
    <w:link w:val="TOCHeading"/>
    <w:uiPriority w:val="39"/>
    <w:semiHidden/>
    <w:rPr>
      <w:rFonts w:asciiTheme="majorHAnsi" w:eastAsiaTheme="majorEastAsia" w:hAnsiTheme="majorHAnsi" w:cstheme="majorBidi"/>
      <w:b/>
      <w:bCs/>
      <w:color w:val="365F91" w:themeColor="accent1" w:themeShade="BF"/>
      <w:sz w:val="28"/>
      <w:szCs w:val="28"/>
      <w:lang w:val="sv-SE" w:eastAsia="ja-JP"/>
    </w:rPr>
  </w:style>
  <w:style w:type="character" w:customStyle="1" w:styleId="FooterCoverPageChar">
    <w:name w:val="Footer Cover Page Char"/>
    <w:basedOn w:val="TOCHeadingChar"/>
    <w:link w:val="FooterCoverPage"/>
    <w:rPr>
      <w:rFonts w:ascii="Times New Roman" w:eastAsiaTheme="majorEastAsia" w:hAnsi="Times New Roman" w:cs="Times New Roman"/>
      <w:b w:val="0"/>
      <w:bCs w:val="0"/>
      <w:color w:val="365F91" w:themeColor="accent1" w:themeShade="BF"/>
      <w:sz w:val="24"/>
      <w:szCs w:val="28"/>
      <w:lang w:val="sv-SE" w:eastAsia="ja-JP"/>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OCHeadingChar"/>
    <w:link w:val="FooterSensitivity"/>
    <w:rPr>
      <w:rFonts w:ascii="Times New Roman" w:eastAsiaTheme="majorEastAsia" w:hAnsi="Times New Roman" w:cs="Times New Roman"/>
      <w:b/>
      <w:bCs w:val="0"/>
      <w:color w:val="365F91" w:themeColor="accent1" w:themeShade="BF"/>
      <w:sz w:val="32"/>
      <w:szCs w:val="28"/>
      <w:lang w:val="sv-SE" w:eastAsia="ja-JP"/>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OCHeadingChar"/>
    <w:link w:val="HeaderCoverPage"/>
    <w:rPr>
      <w:rFonts w:ascii="Times New Roman" w:eastAsiaTheme="majorEastAsia" w:hAnsi="Times New Roman" w:cs="Times New Roman"/>
      <w:b w:val="0"/>
      <w:bCs w:val="0"/>
      <w:color w:val="365F91" w:themeColor="accent1" w:themeShade="BF"/>
      <w:sz w:val="24"/>
      <w:szCs w:val="28"/>
      <w:lang w:val="sv-SE" w:eastAsia="ja-JP"/>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OCHeadingChar"/>
    <w:link w:val="HeaderSensitivity"/>
    <w:rPr>
      <w:rFonts w:ascii="Times New Roman" w:eastAsiaTheme="majorEastAsia" w:hAnsi="Times New Roman" w:cs="Times New Roman"/>
      <w:b/>
      <w:bCs w:val="0"/>
      <w:color w:val="365F91" w:themeColor="accent1" w:themeShade="BF"/>
      <w:sz w:val="32"/>
      <w:szCs w:val="28"/>
      <w:lang w:val="sv-SE" w:eastAsia="ja-JP"/>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OCHeadingChar"/>
    <w:link w:val="HeaderSensitivityRight"/>
    <w:rPr>
      <w:rFonts w:ascii="Times New Roman" w:eastAsiaTheme="majorEastAsia" w:hAnsi="Times New Roman" w:cs="Times New Roman"/>
      <w:b w:val="0"/>
      <w:bCs w:val="0"/>
      <w:color w:val="365F91" w:themeColor="accent1" w:themeShade="BF"/>
      <w:sz w:val="28"/>
      <w:szCs w:val="28"/>
      <w:lang w:val="sv-SE"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965929">
      <w:bodyDiv w:val="1"/>
      <w:marLeft w:val="0"/>
      <w:marRight w:val="0"/>
      <w:marTop w:val="0"/>
      <w:marBottom w:val="0"/>
      <w:divBdr>
        <w:top w:val="none" w:sz="0" w:space="0" w:color="auto"/>
        <w:left w:val="none" w:sz="0" w:space="0" w:color="auto"/>
        <w:bottom w:val="none" w:sz="0" w:space="0" w:color="auto"/>
        <w:right w:val="none" w:sz="0" w:space="0" w:color="auto"/>
      </w:divBdr>
    </w:div>
    <w:div w:id="19964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engerati.com/topics/electric-vehicl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v.wikipedia.org/wiki/Sm%C3%A5_Antillerna"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www.transitionenergetiquemartinique.m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BA58B-2DA5-4BE4-AFAB-3945BE67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5266</Words>
  <Characters>34598</Characters>
  <Application>Microsoft Office Word</Application>
  <DocSecurity>0</DocSecurity>
  <Lines>706</Lines>
  <Paragraphs>402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9</cp:revision>
  <cp:lastPrinted>2019-12-11T11:15:00Z</cp:lastPrinted>
  <dcterms:created xsi:type="dcterms:W3CDTF">2020-02-28T16:13:00Z</dcterms:created>
  <dcterms:modified xsi:type="dcterms:W3CDTF">2020-03-17T11:38:00Z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CP-039</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First annex">
    <vt:lpwstr>1</vt:lpwstr>
  </property>
  <property fmtid="{D5CDD505-2E9C-101B-9397-08002B2CF9AE}" pid="10" name="Last annex">
    <vt:lpwstr>1</vt:lpwstr>
  </property>
  <property fmtid="{D5CDD505-2E9C-101B-9397-08002B2CF9AE}" pid="11" name="Unique annex">
    <vt:lpwstr>1</vt:lpwstr>
  </property>
</Properties>
</file>