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C1572E7-DA89-4383-A841-85AE4F67D94D" style="width:450.8pt;height:393.2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u w:color="000000"/>
          <w:bdr w:val="nil"/>
        </w:rPr>
        <w:t>•</w:t>
      </w:r>
      <w:r>
        <w:rPr>
          <w:noProof/>
          <w:u w:color="000000"/>
          <w:bdr w:val="nil"/>
        </w:rPr>
        <w:tab/>
      </w:r>
      <w:r>
        <w:rPr>
          <w:noProof/>
        </w:rPr>
        <w:t>Razlozi i ciljevi prijedloga</w:t>
      </w:r>
    </w:p>
    <w:p>
      <w:pPr>
        <w:pBdr>
          <w:top w:val="nil"/>
          <w:left w:val="nil"/>
          <w:bottom w:val="nil"/>
          <w:right w:val="nil"/>
          <w:between w:val="nil"/>
          <w:bar w:val="nil"/>
        </w:pBdr>
        <w:spacing w:before="0" w:after="240"/>
        <w:rPr>
          <w:noProof/>
        </w:rPr>
      </w:pPr>
      <w:r>
        <w:rPr>
          <w:noProof/>
        </w:rPr>
        <w:t>Reaktor s visokim protokom (dalje u tekstu „HFR”) je istraživačko postrojenje u Pettenu (Nizozemska) stavljeno na raspolaganje Europskoj zajednici za atomsku energiju (Euratom), koju zastupa Komisija, u skladu sa sporazumom s Kraljevinom Nizozemskom sklopljenim 1961. čije je ugovorno razdoblje 99 godina. Na temelju tog sporazuma Komisija se u ime Zajednice obvezala izgraditi potrebne objekte i osigurati dodatnu opremu kako bi se ti objekti „optimalno iskoristili” (uključujući HFR). Komisija je preko Zajedničkog istraživačkog centra (JRC) 1967. upravljanje reaktorom povjerila nizozemskom NRG-u (</w:t>
      </w:r>
      <w:r>
        <w:rPr>
          <w:i/>
          <w:noProof/>
        </w:rPr>
        <w:t>Nuclear Research and Consultancy Group</w:t>
      </w:r>
      <w:r>
        <w:rPr>
          <w:noProof/>
        </w:rPr>
        <w:t>) u okviru ugovora o suradnji koji se temelji na Sporazumu o lokaciji iz 1961.</w:t>
      </w:r>
    </w:p>
    <w:p>
      <w:pPr>
        <w:pBdr>
          <w:top w:val="nil"/>
          <w:left w:val="nil"/>
          <w:bottom w:val="nil"/>
          <w:right w:val="nil"/>
          <w:between w:val="nil"/>
          <w:bar w:val="nil"/>
        </w:pBdr>
        <w:spacing w:before="0" w:after="240"/>
        <w:rPr>
          <w:noProof/>
        </w:rPr>
      </w:pPr>
      <w:r>
        <w:rPr>
          <w:noProof/>
        </w:rPr>
        <w:t>Do 1971. HFR-om se upravljalo u okviru programa Zajednice, koji je zatim pretvoren u dopunski program na temelju članka 7. Ugovora o Euratomu koji uključuje programe Zajednice financirane iz njezina proračuna. Od tada se HFR-om upravlja u okviru uzastopnih dopunskih programa čije se države članice sudionice mijenjaju.</w:t>
      </w:r>
    </w:p>
    <w:p>
      <w:pPr>
        <w:pBdr>
          <w:top w:val="nil"/>
          <w:left w:val="nil"/>
          <w:bottom w:val="nil"/>
          <w:right w:val="nil"/>
          <w:between w:val="nil"/>
          <w:bar w:val="nil"/>
        </w:pBdr>
        <w:spacing w:before="0" w:after="240"/>
        <w:rPr>
          <w:noProof/>
        </w:rPr>
      </w:pPr>
      <w:r>
        <w:rPr>
          <w:noProof/>
        </w:rPr>
        <w:t xml:space="preserve">U okviru dodatnog istraživačkog programa koji financiraju dvije ili više država članica HFR osigurava stabilan i pouzdan neutronski tok u eksperimentalne svrhe. Područja istraživanja u okviru dodatnih programa su: znanost o nuklearnim materijalima i gorivima u cilju povećanja sigurnosti nuklearnih reaktora (fisijskih i fuzijskih), upravljanje starenjem i radnim vijekom reaktora, napredni gorivni ciklusi te gospodarenje otpadom. HFR služi i kao mjesto za osposobljavanje studenata doktorskih i poslijedoktorskih studija koji svoje istraživačke aktivnosti provode u okviru nacionalnih ili europskih programa. </w:t>
      </w:r>
    </w:p>
    <w:p>
      <w:pPr>
        <w:pBdr>
          <w:top w:val="nil"/>
          <w:left w:val="nil"/>
          <w:bottom w:val="nil"/>
          <w:right w:val="nil"/>
          <w:between w:val="nil"/>
          <w:bar w:val="nil"/>
        </w:pBdr>
        <w:spacing w:before="0" w:after="240"/>
        <w:rPr>
          <w:noProof/>
        </w:rPr>
      </w:pPr>
      <w:r>
        <w:rPr>
          <w:noProof/>
        </w:rPr>
        <w:t xml:space="preserve">Aktualni dodatni program donesen je 29. svibnja 2017. i obuhvaća razdoblje od četiri godine (2016.–2019.) (Odluka Vijeća (Euratom) 2017/956 – SL L 144/23, 7.6.2017.). Program provodi Zajednički istraživački centar (JRC) za Europsku zajednicu za atomsku energiju. Doprinos za potrebe dodatnog istraživačkog programa za razdoblje 2016.–2019. osigurale su dvije države članice sudionice, Nizozemska i Francuska, s ukupnim proračunom koji iznosi 30,2 milijuna EUR. Taj iznos obuhvaća pričuve za godišnje doprinose fondu za razgradnju reaktora. Aktualni dodatni istraživački program istječe 31. prosinca 2019. </w:t>
      </w:r>
    </w:p>
    <w:p>
      <w:pPr>
        <w:pBdr>
          <w:top w:val="nil"/>
          <w:left w:val="nil"/>
          <w:bottom w:val="nil"/>
          <w:right w:val="nil"/>
          <w:between w:val="nil"/>
          <w:bar w:val="nil"/>
        </w:pBdr>
        <w:spacing w:before="0" w:after="240"/>
        <w:rPr>
          <w:noProof/>
        </w:rPr>
      </w:pPr>
      <w:r>
        <w:rPr>
          <w:noProof/>
        </w:rPr>
        <w:t>Reaktor se upotrebljava i za komercijalnu proizvodnju radioizotopa (pod nadležnošću operatera) kojima se pokriva više od 60 % od deset milijuna medicinskih dijagnoza koje se svake godine obave u Europi. Program je neizmjerno važan izvor materijala za europska radiofarmaceutska poduzeća u tom sektoru. Povrh toga, zahvaljujući njegovoj lokaciji, njegovi proizvodi brzo dolaze do europskih medicinskih centara. To je ključno za većinu kratkoživućih izotopa koji se danas primjenjuju.</w:t>
      </w:r>
    </w:p>
    <w:p>
      <w:pPr>
        <w:pBdr>
          <w:top w:val="nil"/>
          <w:left w:val="nil"/>
          <w:bottom w:val="nil"/>
          <w:right w:val="nil"/>
          <w:between w:val="nil"/>
          <w:bar w:val="nil"/>
        </w:pBdr>
        <w:spacing w:before="0" w:after="240"/>
        <w:rPr>
          <w:rFonts w:eastAsia="Arial Unicode MS"/>
          <w:noProof/>
        </w:rPr>
      </w:pPr>
      <w:r>
        <w:rPr>
          <w:noProof/>
        </w:rPr>
        <w:t>Ovaj Prijedlog odluke Vijeća odnosi se na novi četverogodišnji program rada HFR-a (2020.–2023.) koji se temelji na istraživačkim aktivnostima NRG-a (</w:t>
      </w:r>
      <w:r>
        <w:rPr>
          <w:i/>
          <w:noProof/>
        </w:rPr>
        <w:t>Nuclear Research and Consultancy Group</w:t>
      </w:r>
      <w:r>
        <w:rPr>
          <w:noProof/>
        </w:rPr>
        <w:t>), u ime Nizozemske, i CEA-a (</w:t>
      </w:r>
      <w:r>
        <w:rPr>
          <w:i/>
          <w:noProof/>
        </w:rPr>
        <w:t>Commissariat à l'énergie atomique et aux énergies alternatives</w:t>
      </w:r>
      <w:r>
        <w:rPr>
          <w:noProof/>
        </w:rPr>
        <w:t xml:space="preserve">), u ime Francuske. Doprinos za dodatni istraživački program od 2020. do 2023. iznosit će 27,854 milijuna EUR tijekom četverogodišnjeg razdoblja bude li HFR nastavio redovito raditi i bude li redovito održavan. Taj će iznos obuhvaćati pričuve za godišnje doprinose fondu za razgradnju reaktora. Ako tijekom razdoblja 2020.–2023. operater NRG službeno obavijesti nacionalna tijela za sigurnost o potpunom gašenju prije proglašenja </w:t>
      </w:r>
      <w:r>
        <w:rPr>
          <w:noProof/>
        </w:rPr>
        <w:lastRenderedPageBreak/>
        <w:t>stanja sigurne konzerviranosti, suspendirat će se plaćanja koja još treba izvršiti kao i Komisijini pozivi za dodjelu sredstava.</w:t>
      </w:r>
    </w:p>
    <w:p>
      <w:pPr>
        <w:pStyle w:val="ManualHeading2"/>
        <w:rPr>
          <w:rFonts w:eastAsia="Arial Unicode MS"/>
          <w:noProof/>
          <w:u w:color="000000"/>
          <w:bdr w:val="nil"/>
        </w:rPr>
      </w:pPr>
      <w:r>
        <w:rPr>
          <w:noProof/>
          <w:u w:color="000000"/>
          <w:bdr w:val="nil"/>
        </w:rPr>
        <w:t>•</w:t>
      </w:r>
      <w:r>
        <w:rPr>
          <w:noProof/>
          <w:u w:color="000000"/>
          <w:bdr w:val="nil"/>
        </w:rPr>
        <w:tab/>
      </w:r>
      <w:r>
        <w:rPr>
          <w:noProof/>
        </w:rPr>
        <w:t>Dosljednost s postojećim odredbama politike u određenom području</w:t>
      </w:r>
    </w:p>
    <w:p>
      <w:pPr>
        <w:pBdr>
          <w:top w:val="nil"/>
          <w:left w:val="nil"/>
          <w:bottom w:val="nil"/>
          <w:right w:val="nil"/>
          <w:between w:val="nil"/>
          <w:bar w:val="nil"/>
        </w:pBdr>
        <w:spacing w:before="0" w:after="240"/>
        <w:rPr>
          <w:rFonts w:eastAsia="Arial Unicode MS"/>
          <w:noProof/>
        </w:rPr>
      </w:pPr>
      <w:r>
        <w:rPr>
          <w:noProof/>
        </w:rPr>
        <w:t>Vijeće je na svojoj sjednici održanoj 27. lipnja 1996. utvrdilo da HFR može, uz odgovarajuće financiranje, doprinositi provedbi programa Zajednice, bez obzira na to jesu li dio okvirnih programa za istraživanja.</w:t>
      </w:r>
    </w:p>
    <w:p>
      <w:pPr>
        <w:pStyle w:val="ManualHeading2"/>
        <w:rPr>
          <w:rFonts w:eastAsia="Arial Unicode MS"/>
          <w:noProof/>
        </w:rPr>
      </w:pPr>
      <w:r>
        <w:rPr>
          <w:noProof/>
          <w:u w:color="000000"/>
          <w:bdr w:val="nil"/>
        </w:rPr>
        <w:t>•</w:t>
      </w:r>
      <w:r>
        <w:rPr>
          <w:noProof/>
          <w:u w:color="000000"/>
          <w:bdr w:val="nil"/>
        </w:rPr>
        <w:tab/>
      </w:r>
      <w:r>
        <w:rPr>
          <w:noProof/>
        </w:rPr>
        <w:t>Dosljednost u odnosu na druge politike Unije</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u w:color="000000"/>
          <w:bdr w:val="nil"/>
        </w:rPr>
        <w:tab/>
        <w:t>Pravna osnova</w:t>
      </w:r>
    </w:p>
    <w:p>
      <w:pPr>
        <w:pBdr>
          <w:top w:val="nil"/>
          <w:left w:val="nil"/>
          <w:bottom w:val="nil"/>
          <w:right w:val="nil"/>
          <w:between w:val="nil"/>
          <w:bar w:val="nil"/>
        </w:pBdr>
        <w:spacing w:before="0" w:after="240"/>
        <w:rPr>
          <w:rFonts w:eastAsia="Arial Unicode MS"/>
          <w:noProof/>
        </w:rPr>
      </w:pPr>
      <w:r>
        <w:rPr>
          <w:noProof/>
        </w:rPr>
        <w:t>Prijedlog se temelji na članku 7. Ugovora o Euratomu.</w:t>
      </w:r>
      <w:r>
        <w:rPr>
          <w:rStyle w:val="FootnoteReference"/>
          <w:noProof/>
        </w:rPr>
        <w:t xml:space="preserve"> </w:t>
      </w:r>
    </w:p>
    <w:p>
      <w:pPr>
        <w:pStyle w:val="ManualHeading2"/>
        <w:rPr>
          <w:rFonts w:eastAsia="Arial Unicode MS"/>
          <w:noProof/>
          <w:u w:color="000000"/>
          <w:bdr w:val="nil"/>
        </w:rPr>
      </w:pPr>
      <w:r>
        <w:rPr>
          <w:noProof/>
          <w:u w:color="000000"/>
          <w:bdr w:val="nil"/>
        </w:rPr>
        <w:t>•</w:t>
      </w:r>
      <w:r>
        <w:rPr>
          <w:noProof/>
          <w:u w:color="000000"/>
          <w:bdr w:val="nil"/>
        </w:rPr>
        <w:tab/>
        <w:t xml:space="preserve">Supsidijarnost (za neisključivu nadležnost) </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2"/>
        <w:rPr>
          <w:rFonts w:eastAsia="Arial Unicode MS"/>
          <w:noProof/>
          <w:u w:color="000000"/>
          <w:bdr w:val="nil"/>
        </w:rPr>
      </w:pPr>
      <w:r>
        <w:rPr>
          <w:noProof/>
          <w:u w:color="000000"/>
          <w:bdr w:val="nil"/>
        </w:rPr>
        <w:t>•</w:t>
      </w:r>
      <w:r>
        <w:rPr>
          <w:noProof/>
          <w:u w:color="000000"/>
          <w:bdr w:val="nil"/>
        </w:rPr>
        <w:tab/>
        <w:t>Proporcionalnost</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2"/>
        <w:rPr>
          <w:rFonts w:eastAsia="Arial Unicode MS"/>
          <w:noProof/>
          <w:u w:color="000000"/>
          <w:bdr w:val="nil"/>
        </w:rPr>
      </w:pPr>
      <w:r>
        <w:rPr>
          <w:noProof/>
          <w:u w:color="000000"/>
          <w:bdr w:val="nil"/>
        </w:rPr>
        <w:t>•</w:t>
      </w:r>
      <w:r>
        <w:rPr>
          <w:noProof/>
          <w:u w:color="000000"/>
          <w:bdr w:val="nil"/>
        </w:rPr>
        <w:tab/>
        <w:t>Odabir instrumenta</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UČINAKA</w:t>
      </w:r>
    </w:p>
    <w:p>
      <w:pPr>
        <w:pStyle w:val="ManualHeading2"/>
        <w:rPr>
          <w:rFonts w:eastAsia="Arial Unicode MS"/>
          <w:noProof/>
          <w:u w:color="000000"/>
          <w:bdr w:val="nil"/>
        </w:rPr>
      </w:pPr>
      <w:r>
        <w:rPr>
          <w:noProof/>
          <w:u w:color="000000"/>
          <w:bdr w:val="nil"/>
        </w:rPr>
        <w:t>•</w:t>
      </w:r>
      <w:r>
        <w:rPr>
          <w:noProof/>
          <w:u w:color="000000"/>
          <w:bdr w:val="nil"/>
        </w:rPr>
        <w:tab/>
      </w:r>
      <w:r>
        <w:rPr>
          <w:i/>
          <w:noProof/>
          <w:u w:color="000000"/>
          <w:bdr w:val="nil"/>
        </w:rPr>
        <w:t>Ex post</w:t>
      </w:r>
      <w:r>
        <w:rPr>
          <w:noProof/>
          <w:u w:color="000000"/>
          <w:bdr w:val="nil"/>
        </w:rPr>
        <w:t xml:space="preserve"> evaluacija/provjera primjerenosti postojećeg zakonodavstva</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2"/>
        <w:rPr>
          <w:rFonts w:eastAsia="Arial Unicode MS"/>
          <w:noProof/>
          <w:u w:color="000000"/>
          <w:bdr w:val="nil"/>
        </w:rPr>
      </w:pPr>
      <w:r>
        <w:rPr>
          <w:noProof/>
          <w:u w:color="000000"/>
          <w:bdr w:val="nil"/>
        </w:rPr>
        <w:t>•</w:t>
      </w:r>
      <w:r>
        <w:rPr>
          <w:noProof/>
          <w:u w:color="000000"/>
          <w:bdr w:val="nil"/>
        </w:rPr>
        <w:tab/>
        <w:t>Savjetovanja s dionicima</w:t>
      </w:r>
    </w:p>
    <w:p>
      <w:pPr>
        <w:rPr>
          <w:rFonts w:eastAsia="Times New Roman"/>
          <w:noProof/>
          <w:szCs w:val="24"/>
        </w:rPr>
      </w:pPr>
      <w:r>
        <w:rPr>
          <w:noProof/>
        </w:rPr>
        <w:t>Među državama članicama konzultiranima zbog njihovih istraživačkih aktivnosti u nuklearnom području, dvije (Nizozemska i Francuska) su pristale doprinijeti financiranjem HFR-a.</w:t>
      </w:r>
    </w:p>
    <w:p>
      <w:pPr>
        <w:pStyle w:val="ManualHeading2"/>
        <w:rPr>
          <w:rFonts w:eastAsia="Arial Unicode MS"/>
          <w:noProof/>
          <w:u w:color="000000"/>
          <w:bdr w:val="nil"/>
        </w:rPr>
      </w:pPr>
      <w:r>
        <w:rPr>
          <w:noProof/>
          <w:u w:color="000000"/>
          <w:bdr w:val="nil"/>
        </w:rPr>
        <w:t>•</w:t>
      </w:r>
      <w:r>
        <w:rPr>
          <w:noProof/>
          <w:u w:color="000000"/>
          <w:bdr w:val="nil"/>
        </w:rPr>
        <w:tab/>
        <w:t>Prikupljanje i primjena stručnih znanja</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2"/>
        <w:rPr>
          <w:rFonts w:eastAsia="Arial Unicode MS"/>
          <w:noProof/>
          <w:u w:color="000000"/>
          <w:bdr w:val="nil"/>
        </w:rPr>
      </w:pPr>
      <w:r>
        <w:rPr>
          <w:noProof/>
          <w:u w:color="000000"/>
          <w:bdr w:val="nil"/>
        </w:rPr>
        <w:t>•</w:t>
      </w:r>
      <w:r>
        <w:rPr>
          <w:noProof/>
          <w:u w:color="000000"/>
          <w:bdr w:val="nil"/>
        </w:rPr>
        <w:tab/>
        <w:t>Procjena učinka</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2"/>
        <w:rPr>
          <w:rFonts w:eastAsia="Arial Unicode MS"/>
          <w:noProof/>
          <w:u w:color="000000"/>
          <w:bdr w:val="nil"/>
        </w:rPr>
      </w:pPr>
      <w:r>
        <w:rPr>
          <w:noProof/>
          <w:u w:color="000000"/>
          <w:bdr w:val="nil"/>
        </w:rPr>
        <w:t>•</w:t>
      </w:r>
      <w:r>
        <w:rPr>
          <w:noProof/>
          <w:u w:color="000000"/>
          <w:bdr w:val="nil"/>
        </w:rPr>
        <w:tab/>
        <w:t>Primjerenost propisa i pojednostavljivanje</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2"/>
        <w:rPr>
          <w:rFonts w:eastAsia="Arial Unicode MS"/>
          <w:noProof/>
          <w:u w:color="000000"/>
          <w:bdr w:val="nil"/>
        </w:rPr>
      </w:pPr>
      <w:r>
        <w:rPr>
          <w:noProof/>
          <w:u w:color="000000"/>
          <w:bdr w:val="nil"/>
        </w:rPr>
        <w:t>•</w:t>
      </w:r>
      <w:r>
        <w:rPr>
          <w:noProof/>
          <w:u w:color="000000"/>
          <w:bdr w:val="nil"/>
        </w:rPr>
        <w:tab/>
        <w:t>Temeljna prava</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1"/>
        <w:rPr>
          <w:noProof/>
        </w:rPr>
      </w:pPr>
      <w:r>
        <w:rPr>
          <w:noProof/>
        </w:rPr>
        <w:lastRenderedPageBreak/>
        <w:t>4.</w:t>
      </w:r>
      <w:r>
        <w:rPr>
          <w:noProof/>
        </w:rPr>
        <w:tab/>
        <w:t>UTJECAJ NA PRORAČUN</w:t>
      </w:r>
    </w:p>
    <w:p>
      <w:pPr>
        <w:rPr>
          <w:rFonts w:eastAsia="Times New Roman"/>
          <w:noProof/>
          <w:szCs w:val="24"/>
        </w:rPr>
      </w:pPr>
      <w:r>
        <w:rPr>
          <w:noProof/>
        </w:rPr>
        <w:t>Iz financijskog izvještaja o novom dodatnom programu vidi se da doprinos daju dvije države članice koje su ujedno i sudionice, Nizozemska i Francuska. Doprinosi tih dviju država članica iznose 27,854 milijuna EUR za razdoblje 2020.–2023. Tim se iznosom, zajedno s očekivanim komercijalnim prihodom, osigurava operativni proračun koji je dovoljan za pokrivanje predviđenih troškova reaktora od 2020. do 2023. Valja znati da proračun obuhvaća pričuve za razgradnju reaktora i za troškove povezane s općom potporom HFR-u, komunalnim uslugama, osiguranjima i upravljanjem istrošenim gorivom.</w:t>
      </w:r>
    </w:p>
    <w:p>
      <w:pPr>
        <w:rPr>
          <w:rFonts w:eastAsia="Times New Roman"/>
          <w:noProof/>
          <w:szCs w:val="24"/>
        </w:rPr>
      </w:pPr>
      <w:r>
        <w:rPr>
          <w:noProof/>
        </w:rPr>
        <w:t>Komisija potvrđuje izjavu unesenu u zapisnik sastanka Vijeća od 27. lipnja 1996. u kojoj se navodi da „HFR može, uz odgovarajuće financiranje, doprinositi provedbi programa Zajednice, bez obzira na to jesu li dio okvirnih programa. To će se sudjelovanje ostvarivati na konkurentnoj osnovi ili pružanjem usluga ozračivanja institutima JRC-a dok provode svoje aktivnosti”. To znači da Komisija neće doprinositi pokrivanju operativnog troška HFR-a sredstvima iz svojeg institucijskog proračuna, što obuhvaća i sve troškove održavanja ili popravka reaktora.</w:t>
      </w:r>
    </w:p>
    <w:p>
      <w:pPr>
        <w:pBdr>
          <w:top w:val="nil"/>
          <w:left w:val="nil"/>
          <w:bottom w:val="nil"/>
          <w:right w:val="nil"/>
          <w:between w:val="nil"/>
          <w:bar w:val="nil"/>
        </w:pBdr>
        <w:spacing w:before="0" w:after="240"/>
        <w:rPr>
          <w:rFonts w:eastAsia="Arial Unicode MS"/>
          <w:noProof/>
        </w:rPr>
      </w:pPr>
      <w:r>
        <w:rPr>
          <w:rStyle w:val="FootnoteReference"/>
          <w:noProof/>
        </w:rPr>
        <w:t xml:space="preserve"> </w:t>
      </w:r>
    </w:p>
    <w:p>
      <w:pPr>
        <w:pBdr>
          <w:top w:val="nil"/>
          <w:left w:val="nil"/>
          <w:bottom w:val="nil"/>
          <w:right w:val="nil"/>
          <w:between w:val="nil"/>
          <w:bar w:val="nil"/>
        </w:pBdr>
        <w:spacing w:before="0" w:after="240"/>
        <w:rPr>
          <w:b/>
          <w:noProof/>
        </w:rPr>
      </w:pPr>
      <w:r>
        <w:rPr>
          <w:b/>
          <w:noProof/>
        </w:rPr>
        <w:t>5.</w:t>
      </w:r>
      <w:r>
        <w:rPr>
          <w:b/>
          <w:noProof/>
        </w:rPr>
        <w:tab/>
        <w:t>OSTALI DIJELOVI</w:t>
      </w:r>
    </w:p>
    <w:p>
      <w:pPr>
        <w:pStyle w:val="ManualHeading2"/>
        <w:rPr>
          <w:rFonts w:eastAsia="Arial Unicode MS"/>
          <w:noProof/>
          <w:u w:color="000000"/>
          <w:bdr w:val="nil"/>
        </w:rPr>
      </w:pPr>
      <w:r>
        <w:rPr>
          <w:noProof/>
          <w:u w:color="000000"/>
          <w:bdr w:val="nil"/>
        </w:rPr>
        <w:t>•</w:t>
      </w:r>
      <w:r>
        <w:rPr>
          <w:noProof/>
          <w:u w:color="000000"/>
          <w:bdr w:val="nil"/>
        </w:rPr>
        <w:tab/>
        <w:t>Planovi provedbe i mehanizmi praćenja, evaluacije i izvješćivanja</w:t>
      </w:r>
    </w:p>
    <w:p>
      <w:pPr>
        <w:pBdr>
          <w:top w:val="nil"/>
          <w:left w:val="nil"/>
          <w:bottom w:val="nil"/>
          <w:right w:val="nil"/>
          <w:between w:val="nil"/>
          <w:bar w:val="nil"/>
        </w:pBdr>
        <w:spacing w:before="0" w:after="240"/>
        <w:rPr>
          <w:rFonts w:eastAsia="Arial Unicode MS"/>
          <w:noProof/>
        </w:rPr>
      </w:pPr>
      <w:r>
        <w:rPr>
          <w:noProof/>
        </w:rPr>
        <w:t xml:space="preserve">O provedbi programa obavješćuje se Vijeće guvernera Zajedničkog istraživačkog centra. Komisija dostavlja Europskom parlamentu i Vijeću završno izvješće o provedbi ove Odluke. </w:t>
      </w:r>
    </w:p>
    <w:p>
      <w:pPr>
        <w:pStyle w:val="ManualHeading2"/>
        <w:rPr>
          <w:rFonts w:eastAsia="Arial Unicode MS"/>
          <w:noProof/>
          <w:u w:color="000000"/>
          <w:bdr w:val="nil"/>
        </w:rPr>
      </w:pPr>
      <w:r>
        <w:rPr>
          <w:noProof/>
          <w:u w:color="000000"/>
          <w:bdr w:val="nil"/>
        </w:rPr>
        <w:t>•</w:t>
      </w:r>
      <w:r>
        <w:rPr>
          <w:noProof/>
          <w:u w:color="000000"/>
          <w:bdr w:val="nil"/>
        </w:rPr>
        <w:tab/>
        <w:t>Dokumenti s obrazloženjima (za direktive)</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2"/>
        <w:rPr>
          <w:rFonts w:eastAsia="Arial Unicode MS"/>
          <w:noProof/>
          <w:u w:color="000000"/>
          <w:bdr w:val="nil"/>
        </w:rPr>
      </w:pPr>
      <w:r>
        <w:rPr>
          <w:noProof/>
          <w:u w:color="000000"/>
          <w:bdr w:val="nil"/>
        </w:rPr>
        <w:t>•</w:t>
      </w:r>
      <w:r>
        <w:rPr>
          <w:noProof/>
          <w:u w:color="000000"/>
          <w:bdr w:val="nil"/>
        </w:rPr>
        <w:tab/>
        <w:t>Detaljno obrazloženje posebnih odredbi prijedloga</w:t>
      </w:r>
    </w:p>
    <w:p>
      <w:pPr>
        <w:pBdr>
          <w:top w:val="nil"/>
          <w:left w:val="nil"/>
          <w:bottom w:val="nil"/>
          <w:right w:val="nil"/>
          <w:between w:val="nil"/>
          <w:bar w:val="nil"/>
        </w:pBdr>
        <w:spacing w:before="0" w:after="240"/>
        <w:rPr>
          <w:noProof/>
        </w:rPr>
      </w:pPr>
      <w:r>
        <w:rPr>
          <w:noProof/>
        </w:rPr>
        <w:t>Nije primjenjivo.</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2020/0040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donošenju dodatnog istraživačkog programa za razdoblje 2020.–2023. za reaktor s visokim protokom u Pettenu koji treba provesti Zajednički istraživački centar za Europsku zajednicu za atomsku energiju</w:t>
      </w:r>
      <w:r>
        <w:rPr>
          <w:noProof/>
        </w:rPr>
        <w:br/>
      </w:r>
      <w:r>
        <w:rPr>
          <w:noProof/>
        </w:rPr>
        <w:br/>
      </w:r>
    </w:p>
    <w:p>
      <w:pPr>
        <w:pStyle w:val="Institutionquiagit"/>
        <w:rPr>
          <w:noProof/>
        </w:rPr>
      </w:pPr>
      <w:r>
        <w:rPr>
          <w:noProof/>
        </w:rPr>
        <w:t>VIJEĆE EUROPSKE UNIJE,</w:t>
      </w:r>
    </w:p>
    <w:p>
      <w:pPr>
        <w:rPr>
          <w:noProof/>
        </w:rPr>
      </w:pPr>
      <w:r>
        <w:rPr>
          <w:noProof/>
        </w:rPr>
        <w:t>uzimajući u obzir Ugovor o osnivanju Europske zajednice za atomsku energiju, a posebno njegov članak 7.,</w:t>
      </w:r>
    </w:p>
    <w:p>
      <w:pPr>
        <w:rPr>
          <w:noProof/>
        </w:rPr>
      </w:pPr>
      <w:r>
        <w:rPr>
          <w:noProof/>
        </w:rPr>
        <w:t>uzimajući u obzir prijedlog Europske komisije,</w:t>
      </w:r>
    </w:p>
    <w:p>
      <w:pPr>
        <w:rPr>
          <w:noProof/>
        </w:rPr>
      </w:pPr>
      <w:r>
        <w:rPr>
          <w:noProof/>
        </w:rPr>
        <w:t>nakon savjetovanja sa Znanstvenim i tehničkim odborom</w:t>
      </w:r>
      <w:r>
        <w:rPr>
          <w:rStyle w:val="FootnoteReference"/>
          <w:noProof/>
        </w:rPr>
        <w:footnoteReference w:id="1"/>
      </w:r>
      <w:r>
        <w:rPr>
          <w:noProof/>
        </w:rPr>
        <w:t>,</w:t>
      </w:r>
    </w:p>
    <w:p>
      <w:pPr>
        <w:rPr>
          <w:noProof/>
        </w:rPr>
      </w:pPr>
    </w:p>
    <w:p>
      <w:pPr>
        <w:rPr>
          <w:noProof/>
        </w:rPr>
      </w:pPr>
      <w:r>
        <w:rPr>
          <w:noProof/>
        </w:rPr>
        <w:t>budući da:</w:t>
      </w:r>
    </w:p>
    <w:p>
      <w:pPr>
        <w:pStyle w:val="ManualConsidrant"/>
        <w:rPr>
          <w:noProof/>
        </w:rPr>
      </w:pPr>
      <w:r>
        <w:t>(1)</w:t>
      </w:r>
      <w:r>
        <w:tab/>
      </w:r>
      <w:r>
        <w:rPr>
          <w:noProof/>
        </w:rPr>
        <w:t>Reaktor s visokim protokom u Pettenu („HFR”) važan je resurs za istraživanja Zajednice koja se odnose na znanost o materijalima, ispitivanja materijala, nuklearnu medicinu i sigurnost reaktora u području nuklearne energije.</w:t>
      </w:r>
    </w:p>
    <w:p>
      <w:pPr>
        <w:pStyle w:val="ManualConsidrant"/>
        <w:rPr>
          <w:noProof/>
        </w:rPr>
      </w:pPr>
      <w:r>
        <w:t>(2)</w:t>
      </w:r>
      <w:r>
        <w:tab/>
      </w:r>
      <w:r>
        <w:rPr>
          <w:noProof/>
        </w:rPr>
        <w:t>Rad HFR-a potpomognut je nizom dodatnih istraživačkih programa. Posljednji dopunski istraživački program, uspostavljen na temelju Odluke Vijeća (Euratom) 2017/956</w:t>
      </w:r>
      <w:r>
        <w:rPr>
          <w:rStyle w:val="FootnoteReference"/>
          <w:noProof/>
        </w:rPr>
        <w:footnoteReference w:id="2"/>
      </w:r>
      <w:r>
        <w:rPr>
          <w:noProof/>
        </w:rPr>
        <w:t xml:space="preserve"> za razdoblje od četiri godine, istječe 31. prosinca 2019.</w:t>
      </w:r>
    </w:p>
    <w:p>
      <w:pPr>
        <w:pStyle w:val="ManualConsidrant"/>
        <w:rPr>
          <w:noProof/>
        </w:rPr>
      </w:pPr>
      <w:r>
        <w:t>(3)</w:t>
      </w:r>
      <w:r>
        <w:tab/>
      </w:r>
      <w:r>
        <w:rPr>
          <w:noProof/>
        </w:rPr>
        <w:t>S obzirom na kontinuiranu važnost HFR-a kao nezamjenjive infrastrukture za istraživanja Zajednice u području unaprjeđenja sigurnosti nuklearnih reaktora, zdravlja (što obuhvaća razvoj medicinskih izotopa za potrebe medicinskih istraživanja), nuklearne fuzije, temeljnih istraživanja, osposobljavanja i gospodarenja otpadom, kao i za mogućnost proučavanja sigurnosnog ponašanja nuklearnih goriva za reaktorske sustave koji su važni za Europu, HFR bi trebalo nastaviti podupirati u okviru dodatnog istraživačkog programa do kraja 2023.</w:t>
      </w:r>
    </w:p>
    <w:p>
      <w:pPr>
        <w:pStyle w:val="ManualConsidrant"/>
        <w:rPr>
          <w:noProof/>
        </w:rPr>
      </w:pPr>
      <w:r>
        <w:t>(4)</w:t>
      </w:r>
      <w:r>
        <w:tab/>
      </w:r>
      <w:r>
        <w:rPr>
          <w:noProof/>
        </w:rPr>
        <w:t>Budući da imaju poseban interes za HFR-ove sposobnosti ozračivanja, NRG (</w:t>
      </w:r>
      <w:r>
        <w:rPr>
          <w:i/>
          <w:noProof/>
        </w:rPr>
        <w:t>Nuclear Research and Consultancy Group V.O.F</w:t>
      </w:r>
      <w:r>
        <w:rPr>
          <w:noProof/>
        </w:rPr>
        <w:t>) i CEA (</w:t>
      </w:r>
      <w:r>
        <w:rPr>
          <w:i/>
          <w:noProof/>
        </w:rPr>
        <w:t>Commissariat à l'énergie atomique et aux énergies alternatives</w:t>
      </w:r>
      <w:r>
        <w:rPr>
          <w:noProof/>
        </w:rPr>
        <w:t xml:space="preserve">), kao provedbena tijela za Nizozemsku odnosno Francusku, sporazumjeli su se financirati čitav dodatni istraživački program za HFR u razdoblju od 2020. do 2023. putem doprinosa koje će uplatiti u opći proračun Europske unije u obliku namjenskih prihoda. </w:t>
      </w:r>
    </w:p>
    <w:p>
      <w:pPr>
        <w:pStyle w:val="ManualConsidrant"/>
        <w:rPr>
          <w:noProof/>
        </w:rPr>
      </w:pPr>
      <w:r>
        <w:t>(5)</w:t>
      </w:r>
      <w:r>
        <w:tab/>
      </w:r>
      <w:r>
        <w:rPr>
          <w:noProof/>
        </w:rPr>
        <w:t xml:space="preserve">Ti bi doprinosi trebali biti namijenjeni za financiranje rada HFR-a kako bi se poduprlo istraživački program i redovito održavanje HFR-a. Ako operater NRG službeno </w:t>
      </w:r>
      <w:r>
        <w:rPr>
          <w:noProof/>
        </w:rPr>
        <w:lastRenderedPageBreak/>
        <w:t>obavijesti nizozemska nacionalna regulatorna tijela o potpunom gašenju prije proglašenja stanja sigurne konzerviranosti, trebalo bi suspendirati plaćanja koja još treba izvršiti kao i sve Komisijine pozive za dodjelu sredstava.</w:t>
      </w:r>
    </w:p>
    <w:p>
      <w:pPr>
        <w:pStyle w:val="ManualConsidrant"/>
        <w:rPr>
          <w:noProof/>
        </w:rPr>
      </w:pPr>
      <w:r>
        <w:t>(6)</w:t>
      </w:r>
      <w:r>
        <w:tab/>
      </w:r>
      <w:r>
        <w:rPr>
          <w:noProof/>
        </w:rPr>
        <w:t>Kako bi se osigurali kontinuitet dodatnih istraživačkih programa i neometana provedba dodatnog istraživačkog programa za HFR od 2020. do 2023., ova bi se Odluka trebala primjenjivati od 1. siječnja 2020.</w:t>
      </w:r>
    </w:p>
    <w:p>
      <w:pPr>
        <w:pStyle w:val="ManualConsidrant"/>
        <w:rPr>
          <w:noProof/>
        </w:rPr>
      </w:pPr>
      <w:r>
        <w:t>(7)</w:t>
      </w:r>
      <w:r>
        <w:tab/>
      </w:r>
      <w:r>
        <w:rPr>
          <w:noProof/>
        </w:rPr>
        <w:t>Vijeće guvernera Zajedničkog istraživačkog centra dostavilo je svoje prethodno mišljenje</w:t>
      </w:r>
      <w:r>
        <w:rPr>
          <w:rStyle w:val="FootnoteReference"/>
          <w:noProof/>
        </w:rPr>
        <w:footnoteReference w:id="3"/>
      </w:r>
      <w:r>
        <w:rPr>
          <w:noProof/>
        </w:rPr>
        <w:t xml:space="preserve"> u skladu s člankom 4. Odluke Komisije 96/282/Euratom</w:t>
      </w:r>
      <w:r>
        <w:rPr>
          <w:rStyle w:val="FootnoteReference"/>
          <w:noProof/>
        </w:rPr>
        <w:footnoteReference w:id="4"/>
      </w:r>
      <w:r>
        <w:rPr>
          <w:noProof/>
        </w:rPr>
        <w:t>,</w:t>
      </w:r>
    </w:p>
    <w:p>
      <w:pPr>
        <w:rPr>
          <w:noProof/>
        </w:rPr>
      </w:pPr>
    </w:p>
    <w:p>
      <w:pPr>
        <w:pStyle w:val="Formuledadoption"/>
        <w:rPr>
          <w:noProof/>
        </w:rPr>
      </w:pPr>
      <w:r>
        <w:rPr>
          <w:noProof/>
        </w:rPr>
        <w:t xml:space="preserve">DONIJELO JE OVU ODLUKU: </w:t>
      </w:r>
    </w:p>
    <w:p>
      <w:pPr>
        <w:pStyle w:val="Titrearticle"/>
        <w:rPr>
          <w:noProof/>
        </w:rPr>
      </w:pPr>
      <w:r>
        <w:rPr>
          <w:noProof/>
        </w:rPr>
        <w:t>Članak 1.</w:t>
      </w:r>
    </w:p>
    <w:p>
      <w:pPr>
        <w:rPr>
          <w:noProof/>
        </w:rPr>
      </w:pPr>
      <w:r>
        <w:rPr>
          <w:noProof/>
        </w:rPr>
        <w:t>Donosi se dodatni istraživački program za rad reaktora s visokim protokom u Pettenu (dalje u tekstu „HFR”) (dalje u tekstu „program”), čiji su ciljevi navedeni u Prilogu I., na razdoblje od četiri godine, počevši od 1. siječnja 2020.</w:t>
      </w:r>
    </w:p>
    <w:p>
      <w:pPr>
        <w:rPr>
          <w:noProof/>
        </w:rPr>
      </w:pPr>
    </w:p>
    <w:p>
      <w:pPr>
        <w:jc w:val="center"/>
        <w:rPr>
          <w:noProof/>
        </w:rPr>
      </w:pPr>
      <w:r>
        <w:rPr>
          <w:i/>
          <w:noProof/>
        </w:rPr>
        <w:t>Članak 2.</w:t>
      </w:r>
    </w:p>
    <w:p>
      <w:pPr>
        <w:rPr>
          <w:noProof/>
        </w:rPr>
      </w:pPr>
      <w:r>
        <w:rPr>
          <w:noProof/>
        </w:rPr>
        <w:t>Troškovi provedbe programa, procijenjeni na 27 854 000 EUR, u cijelosti se financiraju iz doprinosa Francuske i Nizozemske, preko CEA-e odnosno NRG-a. Raščlamba iznosa navedena je u Prilogu II. Taj se doprinos smatra namjenskim prihodom u skladu s člankom 21. stavkom 2. Uredbe (EU, Euratom) 2018/1046 Europskog parlamenta i Vijeća</w:t>
      </w:r>
      <w:r>
        <w:rPr>
          <w:rStyle w:val="FootnoteReference"/>
          <w:noProof/>
        </w:rPr>
        <w:footnoteReference w:id="5"/>
      </w:r>
      <w:r>
        <w:rPr>
          <w:noProof/>
        </w:rPr>
        <w:t>.</w:t>
      </w:r>
    </w:p>
    <w:p>
      <w:pPr>
        <w:rPr>
          <w:noProof/>
        </w:rPr>
      </w:pPr>
    </w:p>
    <w:p>
      <w:pPr>
        <w:jc w:val="center"/>
        <w:rPr>
          <w:noProof/>
        </w:rPr>
      </w:pPr>
      <w:r>
        <w:rPr>
          <w:i/>
          <w:noProof/>
        </w:rPr>
        <w:t>Članak 3.</w:t>
      </w:r>
    </w:p>
    <w:p>
      <w:pPr>
        <w:pStyle w:val="ManualNumPar1"/>
        <w:rPr>
          <w:noProof/>
        </w:rPr>
      </w:pPr>
      <w:r>
        <w:t>1.</w:t>
      </w:r>
      <w:r>
        <w:tab/>
      </w:r>
      <w:r>
        <w:rPr>
          <w:noProof/>
        </w:rPr>
        <w:t>Komisija je zadužena za upravljanje programom. U tu se svrhu obraća službama Zajedničkog istraživačkog centra.</w:t>
      </w:r>
    </w:p>
    <w:p>
      <w:pPr>
        <w:pStyle w:val="ManualNumPar1"/>
        <w:rPr>
          <w:noProof/>
        </w:rPr>
      </w:pPr>
      <w:r>
        <w:t>2.</w:t>
      </w:r>
      <w:r>
        <w:tab/>
      </w:r>
      <w:r>
        <w:rPr>
          <w:noProof/>
        </w:rPr>
        <w:t>Komisija obavješćuje Vijeće guvernera Zajedničkog istraživačkog centra o provedbi programa.</w:t>
      </w:r>
    </w:p>
    <w:p>
      <w:pPr>
        <w:pStyle w:val="Titrearticle"/>
        <w:rPr>
          <w:noProof/>
        </w:rPr>
      </w:pPr>
      <w:r>
        <w:rPr>
          <w:noProof/>
        </w:rPr>
        <w:t>Članak 4.</w:t>
      </w:r>
    </w:p>
    <w:p>
      <w:pPr>
        <w:rPr>
          <w:noProof/>
          <w:szCs w:val="24"/>
        </w:rPr>
      </w:pPr>
      <w:r>
        <w:rPr>
          <w:noProof/>
        </w:rPr>
        <w:t>Ako NRG službeno obavijesti nizozemsko nacionalno regulatorno tijelo o potpunom gašenju HFR-a (prije proglašenja stanja sigurne konzerviranosti), suspendiraju se obveze Francuske i Nizozemske preuzete preko CEA-e odnosno NRG-a koje se odnose na izvršavanje daljnjih plaćanja, te se suspendiraju i svi Komisijini pozivi za dodjelu sredstava na temelju ove Odluke.</w:t>
      </w:r>
    </w:p>
    <w:p>
      <w:pPr>
        <w:pStyle w:val="Titrearticle"/>
        <w:rPr>
          <w:noProof/>
        </w:rPr>
      </w:pPr>
      <w:r>
        <w:rPr>
          <w:noProof/>
        </w:rPr>
        <w:lastRenderedPageBreak/>
        <w:t>Članak 5.</w:t>
      </w:r>
    </w:p>
    <w:p>
      <w:pPr>
        <w:rPr>
          <w:noProof/>
          <w:sz w:val="22"/>
        </w:rPr>
      </w:pPr>
    </w:p>
    <w:p>
      <w:pPr>
        <w:rPr>
          <w:noProof/>
        </w:rPr>
      </w:pPr>
      <w:r>
        <w:rPr>
          <w:noProof/>
        </w:rPr>
        <w:t>Komisija dostavlja završno izvješće o provedbi ove Odluke Europskom parlamentu i Vijeću nakon završetka dodatnog istraživačkog programa za HFR od 2020. do 2023.</w:t>
      </w:r>
    </w:p>
    <w:p>
      <w:pPr>
        <w:pStyle w:val="Titrearticle"/>
        <w:keepNext w:val="0"/>
        <w:rPr>
          <w:noProof/>
        </w:rPr>
      </w:pPr>
      <w:r>
        <w:rPr>
          <w:noProof/>
        </w:rPr>
        <w:t>Članak 6.</w:t>
      </w:r>
    </w:p>
    <w:p>
      <w:pPr>
        <w:pStyle w:val="ListParagraph"/>
        <w:keepLines/>
        <w:ind w:left="360"/>
        <w:rPr>
          <w:noProof/>
        </w:rPr>
      </w:pPr>
      <w:r>
        <w:rPr>
          <w:noProof/>
        </w:rPr>
        <w:t xml:space="preserve">Ova Odluka stupa na snagu sljedećeg dana od dana objave u </w:t>
      </w:r>
      <w:r>
        <w:rPr>
          <w:i/>
          <w:noProof/>
        </w:rPr>
        <w:t>Službenom listu Europske unije</w:t>
      </w:r>
      <w:r>
        <w:rPr>
          <w:noProof/>
        </w:rPr>
        <w:t>.</w:t>
      </w:r>
    </w:p>
    <w:p>
      <w:pPr>
        <w:pStyle w:val="ListParagraph"/>
        <w:keepLines/>
        <w:ind w:left="360"/>
        <w:rPr>
          <w:noProof/>
        </w:rPr>
      </w:pPr>
    </w:p>
    <w:p>
      <w:pPr>
        <w:keepLines/>
        <w:ind w:left="360"/>
        <w:rPr>
          <w:noProof/>
        </w:rPr>
      </w:pPr>
      <w:r>
        <w:rPr>
          <w:noProof/>
        </w:rPr>
        <w:t>Primjenjuje se od 1. siječnja 2020.</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p>
      <w:pPr>
        <w:pStyle w:val="Fichefinanciretitre"/>
        <w:rPr>
          <w:noProof/>
        </w:rPr>
      </w:pPr>
      <w:r>
        <w:rPr>
          <w:noProof/>
        </w:rPr>
        <w:br w:type="page"/>
      </w:r>
      <w:r>
        <w:rPr>
          <w:noProof/>
        </w:rPr>
        <w:lastRenderedPageBreak/>
        <w:t>ZAKONODAVNI FINANCIJSKI IZVJEŠTAJ</w:t>
      </w:r>
    </w:p>
    <w:p>
      <w:pPr>
        <w:pStyle w:val="ManualHeading1"/>
        <w:rPr>
          <w:noProof/>
        </w:rPr>
      </w:pPr>
      <w:r>
        <w:t>1.</w:t>
      </w:r>
      <w:r>
        <w:tab/>
      </w:r>
      <w:r>
        <w:rPr>
          <w:noProof/>
        </w:rPr>
        <w:t xml:space="preserve">OKVIR PRIJEDLOGA/INICIJATIVE </w:t>
      </w:r>
    </w:p>
    <w:p>
      <w:pPr>
        <w:pStyle w:val="ManualHeading2"/>
        <w:rPr>
          <w:noProof/>
        </w:rPr>
      </w:pPr>
      <w:r>
        <w:t>1.1.</w:t>
      </w:r>
      <w:r>
        <w:tab/>
      </w:r>
      <w:r>
        <w:rPr>
          <w:noProof/>
        </w:rPr>
        <w:t>Naslov prijedloga/inicijative</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Dodatni istraživački program za razdoblje od 2020. do 2023. za reaktor s visokim protokom koji treba provesti Zajednički istraživački centar za Europsku zajednicu za atomsku energiju</w:t>
      </w:r>
    </w:p>
    <w:p>
      <w:pPr>
        <w:pStyle w:val="ManualHeading2"/>
        <w:rPr>
          <w:i/>
          <w:noProof/>
        </w:rPr>
      </w:pPr>
      <w:r>
        <w:t>1.2.</w:t>
      </w:r>
      <w:r>
        <w:tab/>
      </w:r>
      <w:r>
        <w:rPr>
          <w:noProof/>
        </w:rPr>
        <w:t>Odgovarajuća područja politike</w:t>
      </w:r>
      <w:r>
        <w:rPr>
          <w:i/>
          <w:noProof/>
        </w:rPr>
        <w:t xml:space="preserve">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Glava 10.:</w:t>
      </w:r>
      <w:r>
        <w:rPr>
          <w:noProof/>
        </w:rPr>
        <w:tab/>
      </w:r>
      <w:r>
        <w:rPr>
          <w:noProof/>
        </w:rPr>
        <w:tab/>
        <w:t>Neposredna istraživačka aktivnost</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Poglavlje 10 04:</w:t>
      </w:r>
      <w:r>
        <w:rPr>
          <w:noProof/>
        </w:rPr>
        <w:tab/>
        <w:t>Ostale aktivnosti Zajedničkog istraživačkog centra</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Članak 10 04 04:</w:t>
      </w:r>
      <w:r>
        <w:rPr>
          <w:noProof/>
        </w:rPr>
        <w:tab/>
        <w:t>Rad reaktora s visokim protokom (HFR)</w:t>
      </w:r>
    </w:p>
    <w:p>
      <w:pPr>
        <w:pStyle w:val="ManualHeading2"/>
        <w:rPr>
          <w:noProof/>
          <w:szCs w:val="24"/>
        </w:rPr>
      </w:pPr>
      <w:r>
        <w:t>1.3.</w:t>
      </w:r>
      <w:r>
        <w:tab/>
      </w:r>
      <w:r>
        <w:rPr>
          <w:noProof/>
        </w:rPr>
        <w:t xml:space="preserve">Prijedlog/inicijativa odnosi se na: </w:t>
      </w:r>
    </w:p>
    <w:p>
      <w:pPr>
        <w:pStyle w:val="Text1"/>
        <w:rPr>
          <w:noProof/>
        </w:rPr>
      </w:pPr>
      <w:r>
        <w:rPr>
          <w:noProof/>
        </w:rPr>
        <w:sym w:font="Wingdings" w:char="F0A8"/>
      </w:r>
      <w:r>
        <w:rPr>
          <w:i/>
          <w:noProof/>
        </w:rPr>
        <w:t xml:space="preserve"> </w:t>
      </w:r>
      <w:r>
        <w:rPr>
          <w:noProof/>
        </w:rPr>
        <w:t xml:space="preserve">novo djelovanje </w:t>
      </w:r>
    </w:p>
    <w:p>
      <w:pPr>
        <w:pStyle w:val="Text1"/>
        <w:rPr>
          <w:noProof/>
        </w:rPr>
      </w:pPr>
      <w:r>
        <w:rPr>
          <w:noProof/>
        </w:rPr>
        <w:sym w:font="Wingdings" w:char="F0A8"/>
      </w:r>
      <w:r>
        <w:rPr>
          <w:i/>
          <w:noProof/>
        </w:rPr>
        <w:t xml:space="preserve"> </w:t>
      </w:r>
      <w:r>
        <w:rPr>
          <w:noProof/>
        </w:rPr>
        <w:t>novo djelovanje nakon pilot-projekta/pripremnog djelovanja</w:t>
      </w:r>
      <w:r>
        <w:rPr>
          <w:rStyle w:val="FootnoteReference"/>
          <w:noProof/>
        </w:rPr>
        <w:footnoteReference w:id="6"/>
      </w:r>
      <w:r>
        <w:rPr>
          <w:noProof/>
        </w:rPr>
        <w:t xml:space="preserve"> </w:t>
      </w:r>
    </w:p>
    <w:p>
      <w:pPr>
        <w:pStyle w:val="Text1"/>
        <w:rPr>
          <w:noProof/>
        </w:rPr>
      </w:pPr>
      <w:r>
        <w:rPr>
          <w:noProof/>
        </w:rPr>
        <w:sym w:font="Wingdings" w:char="F078"/>
      </w:r>
      <w:r>
        <w:rPr>
          <w:i/>
          <w:noProof/>
        </w:rPr>
        <w:t xml:space="preserve"> </w:t>
      </w:r>
      <w:r>
        <w:rPr>
          <w:noProof/>
        </w:rPr>
        <w:t xml:space="preserve">produženje postojećeg djelovanja </w:t>
      </w:r>
    </w:p>
    <w:p>
      <w:pPr>
        <w:pStyle w:val="Text1"/>
        <w:rPr>
          <w:noProof/>
        </w:rPr>
      </w:pPr>
      <w:r>
        <w:rPr>
          <w:noProof/>
        </w:rPr>
        <w:sym w:font="Wingdings" w:char="F0A8"/>
      </w:r>
      <w:r>
        <w:rPr>
          <w:i/>
          <w:noProof/>
        </w:rPr>
        <w:t xml:space="preserve"> </w:t>
      </w:r>
      <w:r>
        <w:rPr>
          <w:noProof/>
        </w:rPr>
        <w:t xml:space="preserve">spajanje ili preusmjeravanje jednog ili više djelovanja u drugo/novo djelovanje </w:t>
      </w:r>
    </w:p>
    <w:p>
      <w:pPr>
        <w:pStyle w:val="ManualHeading2"/>
        <w:rPr>
          <w:noProof/>
          <w:szCs w:val="24"/>
        </w:rPr>
      </w:pPr>
      <w:r>
        <w:t>1.4.</w:t>
      </w:r>
      <w:r>
        <w:tab/>
      </w:r>
      <w:r>
        <w:rPr>
          <w:noProof/>
        </w:rPr>
        <w:t>Ciljevi</w:t>
      </w:r>
    </w:p>
    <w:p>
      <w:pPr>
        <w:pStyle w:val="ManualHeading3"/>
        <w:rPr>
          <w:noProof/>
        </w:rPr>
      </w:pPr>
      <w:r>
        <w:t>1.4.1.</w:t>
      </w:r>
      <w:r>
        <w:tab/>
      </w:r>
      <w:r>
        <w:rPr>
          <w:noProof/>
        </w:rPr>
        <w:t>Opći ciljevi</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Reaktor s visokim protokom (HFR) važan je za Europsku uniju jer se njime podupiru proizvodnja medicinskih radioizotopa, istraživanja povezana sa sigurnošću starenja nuklearnih elektrana i produljenjem njihova radnog vijeka, povećanje sigurnosti goriva, sigurno gospodarenje nuklearnim otpadom te osposobljavanje.</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Povrh toga, u temeljnim se istraživanjima s pomoću neutronskih snopova proučava struktura materijala. Ta se aktivnost neprestano razvija i doprinosi razumijevanju mehanizama propadanja i njihova ublažavanja, što je važno za sigurnost postojećih elektrana. Kad je riječ o termonuklearnoj fuziji, provodi se nekoliko projekata za testiranje strukturnih i oplodnih materijala za buduće fuzijske reaktore.</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p>
    <w:p>
      <w:pPr>
        <w:pStyle w:val="ManualHeading3"/>
        <w:rPr>
          <w:noProof/>
          <w:szCs w:val="24"/>
        </w:rPr>
      </w:pPr>
      <w:r>
        <w:t>1.4.2.</w:t>
      </w:r>
      <w:r>
        <w:tab/>
      </w:r>
      <w:r>
        <w:rPr>
          <w:noProof/>
        </w:rPr>
        <w:t>Posebni ciljevi</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Posebni cilj br.</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Glavni je cilj dodatnog programa za HFR njegov pouzdan i siguran rad. Ta aktivnost obuhvaća normalnu upotrebu postrojenja tijekom maksimalno dugog operativnog razdoblja i osiguravanje neutronskog toka za eksperimente i proizvodnju medicinskih izotopa.</w:t>
      </w:r>
    </w:p>
    <w:p>
      <w:pPr>
        <w:rPr>
          <w:rFonts w:eastAsiaTheme="majorEastAsia"/>
          <w:bCs/>
          <w:i/>
          <w:noProof/>
        </w:rPr>
      </w:pPr>
      <w:r>
        <w:rPr>
          <w:noProof/>
        </w:rPr>
        <w:br w:type="page"/>
      </w:r>
    </w:p>
    <w:p>
      <w:pPr>
        <w:pStyle w:val="ManualHeading3"/>
        <w:rPr>
          <w:noProof/>
        </w:rPr>
      </w:pPr>
      <w:r>
        <w:t>1.4.3.</w:t>
      </w:r>
      <w:r>
        <w:tab/>
      </w:r>
      <w:r>
        <w:rPr>
          <w:noProof/>
        </w:rPr>
        <w:t>Očekivani rezultati i učinak</w:t>
      </w:r>
    </w:p>
    <w:p>
      <w:pPr>
        <w:ind w:left="850"/>
        <w:rPr>
          <w:i/>
          <w:noProof/>
          <w:sz w:val="20"/>
        </w:rPr>
      </w:pPr>
      <w:r>
        <w:rPr>
          <w:i/>
          <w:noProof/>
          <w:sz w:val="20"/>
        </w:rPr>
        <w:t>Navesti učinke koje bi prijedlog/inicijativa trebali imati na ciljane korisnike/skupine.</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Podaci o ozračivanju i rezultati eksperimenata u mnogobrojnim područjima poput: sigurnosti nuklearnih reaktora, razvoja i proizvodnje radioizotopa za upotrebu u medicini i za potrebe medicinskih istraživanja, istraživanja materijala za fuzijski reaktor, temeljnih nuklearnih istraživanja i osposobljavanja, gospodarenja otpadom te nuklearnih goriva za novu, sigurniju generaciju reaktorskih sustava.</w:t>
      </w:r>
    </w:p>
    <w:p>
      <w:pPr>
        <w:pStyle w:val="ManualHeading3"/>
        <w:rPr>
          <w:noProof/>
          <w:szCs w:val="24"/>
        </w:rPr>
      </w:pPr>
      <w:r>
        <w:t>1.4.4.</w:t>
      </w:r>
      <w:r>
        <w:tab/>
      </w:r>
      <w:r>
        <w:rPr>
          <w:noProof/>
        </w:rPr>
        <w:t>Pokazatelji uspješnosti</w:t>
      </w:r>
    </w:p>
    <w:p>
      <w:pPr>
        <w:ind w:left="850"/>
        <w:rPr>
          <w:i/>
          <w:noProof/>
          <w:sz w:val="20"/>
        </w:rPr>
      </w:pPr>
      <w:r>
        <w:rPr>
          <w:i/>
          <w:noProof/>
          <w:sz w:val="20"/>
        </w:rPr>
        <w:t>Navesti pokazatelje za praćenje napretka i postignuća.</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Komisijine se obveze sastoje od upravljanja dodatnim istraživačkim programom i izvješćivanja o tehničkom stanju rada reaktora, njegovoj znanstvenoj primjeni te stanju njegova proračuna. Završno će izvješće izraditi JRC, a sadržavat će: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tehničko izvješće s podacima o radu HFR-a;</w:t>
      </w:r>
    </w:p>
    <w:p>
      <w:pPr>
        <w:numPr>
          <w:ilvl w:val="2"/>
          <w:numId w:val="0"/>
        </w:numPr>
        <w:pBdr>
          <w:top w:val="single" w:sz="4" w:space="1" w:color="auto"/>
          <w:left w:val="single" w:sz="4" w:space="4" w:color="auto"/>
          <w:bottom w:val="single" w:sz="4" w:space="1" w:color="auto"/>
          <w:right w:val="single" w:sz="4" w:space="4" w:color="auto"/>
        </w:pBdr>
        <w:tabs>
          <w:tab w:val="num" w:pos="1417"/>
        </w:tabs>
        <w:ind w:left="1417" w:hanging="567"/>
        <w:rPr>
          <w:rFonts w:eastAsia="Times New Roman"/>
          <w:noProof/>
          <w:szCs w:val="24"/>
        </w:rPr>
      </w:pPr>
      <w:r>
        <w:rPr>
          <w:noProof/>
        </w:rPr>
        <w:t>– sažet opis glavnih znanstvenih postignuća;</w:t>
      </w:r>
    </w:p>
    <w:p>
      <w:pPr>
        <w:numPr>
          <w:ilvl w:val="2"/>
          <w:numId w:val="0"/>
        </w:numPr>
        <w:pBdr>
          <w:top w:val="single" w:sz="4" w:space="1" w:color="auto"/>
          <w:left w:val="single" w:sz="4" w:space="4" w:color="auto"/>
          <w:bottom w:val="single" w:sz="4" w:space="1" w:color="auto"/>
          <w:right w:val="single" w:sz="4" w:space="4" w:color="auto"/>
        </w:pBdr>
        <w:tabs>
          <w:tab w:val="num" w:pos="1417"/>
        </w:tabs>
        <w:ind w:left="1417" w:hanging="567"/>
        <w:rPr>
          <w:rFonts w:eastAsia="Times New Roman"/>
          <w:noProof/>
          <w:szCs w:val="24"/>
        </w:rPr>
      </w:pPr>
      <w:r>
        <w:rPr>
          <w:noProof/>
        </w:rPr>
        <w:t>– stanje aktivnosti održavanja i popravaka;</w:t>
      </w:r>
    </w:p>
    <w:p>
      <w:pPr>
        <w:numPr>
          <w:ilvl w:val="2"/>
          <w:numId w:val="0"/>
        </w:numPr>
        <w:pBdr>
          <w:top w:val="single" w:sz="4" w:space="1" w:color="auto"/>
          <w:left w:val="single" w:sz="4" w:space="4" w:color="auto"/>
          <w:bottom w:val="single" w:sz="4" w:space="1" w:color="auto"/>
          <w:right w:val="single" w:sz="4" w:space="4" w:color="auto"/>
        </w:pBdr>
        <w:tabs>
          <w:tab w:val="num" w:pos="1134"/>
        </w:tabs>
        <w:ind w:left="993" w:hanging="143"/>
        <w:rPr>
          <w:rFonts w:eastAsia="Times New Roman"/>
          <w:noProof/>
          <w:szCs w:val="24"/>
        </w:rPr>
      </w:pPr>
      <w:r>
        <w:rPr>
          <w:noProof/>
        </w:rPr>
        <w:t xml:space="preserve">– stanje proračuna s obzirom na prihod od država članica i iskorištavanje sredstava iz proračuna dodatnog istraživačkog programa (uključujući pričuve za razgradnju, troškove upravljanja, plaćanje operateru itd.). </w:t>
      </w:r>
    </w:p>
    <w:p>
      <w:pPr>
        <w:numPr>
          <w:ilvl w:val="2"/>
          <w:numId w:val="0"/>
        </w:numPr>
        <w:pBdr>
          <w:top w:val="single" w:sz="4" w:space="1" w:color="auto"/>
          <w:left w:val="single" w:sz="4" w:space="4" w:color="auto"/>
          <w:bottom w:val="single" w:sz="4" w:space="1" w:color="auto"/>
          <w:right w:val="single" w:sz="4" w:space="4" w:color="auto"/>
        </w:pBdr>
        <w:tabs>
          <w:tab w:val="num" w:pos="1134"/>
        </w:tabs>
        <w:ind w:left="993" w:hanging="143"/>
        <w:rPr>
          <w:rFonts w:eastAsia="Times New Roman"/>
          <w:noProof/>
          <w:szCs w:val="24"/>
        </w:rPr>
      </w:pPr>
    </w:p>
    <w:p>
      <w:pPr>
        <w:pStyle w:val="ManualHeading2"/>
        <w:rPr>
          <w:noProof/>
          <w:szCs w:val="24"/>
        </w:rPr>
      </w:pPr>
      <w:r>
        <w:t>1.5.</w:t>
      </w:r>
      <w:r>
        <w:tab/>
      </w:r>
      <w:r>
        <w:rPr>
          <w:noProof/>
        </w:rPr>
        <w:t xml:space="preserve">Osnova prijedloga/inicijative </w:t>
      </w:r>
    </w:p>
    <w:p>
      <w:pPr>
        <w:pStyle w:val="ManualHeading3"/>
        <w:rPr>
          <w:noProof/>
        </w:rPr>
      </w:pPr>
      <w:r>
        <w:t>1.5.1.</w:t>
      </w:r>
      <w:r>
        <w:tab/>
      </w:r>
      <w:r>
        <w:rPr>
          <w:noProof/>
        </w:rPr>
        <w:t>Zahtjevi koje treba ispuniti u kratkoročnom ili dugoročnom razdoblju, uključujući detaljan vremenski plan provedbe inicijative</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Svrha je HFR-a da se državama članicama koje sudjeluju pruži potpora u istraživačkim i razvojnim aktivnostima u sljedećim područjima: sigurnosti nuklearnih postrojenja i gorivnog ciklusa, gospodarenja otpadom, termonuklearnoj fuziji, temeljnim istraživanjima i osposobljavanju.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HFR nastavlja raditi na poboljšavanju sigurnosti reaktora. Koordinacija napora, distribuiranje rezultata i potpora usklađivanju obavljaju se putem europskih mreža.</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HFR služi i za dobavljanje medicinskih radioizotopa.</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p>
    <w:p>
      <w:pPr>
        <w:pStyle w:val="ManualHeading3"/>
        <w:rPr>
          <w:noProof/>
          <w:szCs w:val="24"/>
        </w:rPr>
      </w:pPr>
      <w:r>
        <w:t>1.5.2.</w:t>
      </w:r>
      <w:r>
        <w:tab/>
      </w:r>
      <w:r>
        <w:rPr>
          <w:noProof/>
        </w:rPr>
        <w:t>Dodana vrijednost angažmana Unije (može proizlaziti iz raznih čimbenika, npr. bolje koordinacije, pravne sigurnosti, veće djelotvornosti ili komplementarnosti). Za potrebe ove točke „dodana vrijednost angažmana Unije” vrijednost je intervencije Unije koja je dodana vrijednosti koju bi inače ostvarile države članice svojim zasebnim djelovanjima.</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Dodana vrijednost istraživačkih aktivnosti HFR-a povezana je s prekograničnim učincima, ekonomijama razmjera i doprinosom smanjenju nacionalnih ulaganja u istraživanje.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Reaktor se upotrebljava i za komercijalnu proizvodnju radioizotopa za više od 60 % od deset milijuna medicinskih dijagnoza koje se svake godine postave u Europi. Riječ je i o vrlo važnom objektu za europski medicinski sektor (bolnice, klinike, liječnici...) jer se radioizotopi upotrebljavaju u raznim područjima medicine, no ponajviše za dijagnoze, prevenciju i liječenje tumora. Drugih mogućnosti gotovo da nema jer on proizvodi većinu kratkoživućih izotopa koji se danas primjenjuju. Budući da se nalazi u Europi, njegovi proizvodi brzo dolaze do europskih medicinskih centara.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Intervencija na europskoj razini ujedno je opravdana ograničenim brojem nuklearnih reaktora dostupnih u EU-u.</w:t>
      </w:r>
    </w:p>
    <w:p>
      <w:pPr>
        <w:pStyle w:val="ManualHeading3"/>
        <w:rPr>
          <w:noProof/>
        </w:rPr>
      </w:pPr>
      <w:r>
        <w:t>1.5.3.</w:t>
      </w:r>
      <w:r>
        <w:tab/>
      </w:r>
      <w:r>
        <w:rPr>
          <w:noProof/>
        </w:rPr>
        <w:t>Pouke iz prijašnjih sličnih iskustava</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Trenutačna opskrba tehnecijem Tc-99m za medicinske potrebe počiva na neodrživo malom broju proizvodnih reaktora među kojima je i HFR. Budući da su sagrađeni 1950-ih i 1960-ih, tim se reaktorima bliži kraj radnog vijeka i zbog toga je potrebno sve više planiranih isključenja radi održavanja, a proizvodnja se sve češće neplanirano prekida. Prekid rada kanadskog reaktora NRU (za proizvodnju medicinskih izotopa) sredinom svibnja 2009. nakon kojeg reaktor nije bio na raspolaganju do kraja te godine izazvao je trajnu svjetsku nestašicu medicinskih izotopa. U 2010. HFR je ugašen radi popravka rashladnog sustava. U 2015. potpuno je ugašen francuski istraživački reaktor Osiris. Ti su događaji poremetili opskrbu medicinskim izotopima.</w:t>
      </w:r>
    </w:p>
    <w:p>
      <w:pPr>
        <w:pStyle w:val="ManualHeading3"/>
        <w:rPr>
          <w:noProof/>
        </w:rPr>
      </w:pPr>
      <w:r>
        <w:t>1.5.4.</w:t>
      </w:r>
      <w:r>
        <w:tab/>
      </w:r>
      <w:r>
        <w:rPr>
          <w:noProof/>
        </w:rPr>
        <w:t>Usklađenost s višegodišnjim financijskim okvirom i moguće sinergije s drugim prikladnim instrumentima</w:t>
      </w:r>
    </w:p>
    <w:p>
      <w:pPr>
        <w:pBdr>
          <w:top w:val="single" w:sz="4" w:space="0" w:color="auto"/>
          <w:left w:val="single" w:sz="4" w:space="4" w:color="auto"/>
          <w:bottom w:val="single" w:sz="4" w:space="1" w:color="auto"/>
          <w:right w:val="single" w:sz="4" w:space="4" w:color="auto"/>
        </w:pBdr>
        <w:ind w:left="720"/>
        <w:rPr>
          <w:rFonts w:eastAsia="Times New Roman"/>
          <w:noProof/>
          <w:szCs w:val="24"/>
        </w:rPr>
      </w:pPr>
      <w:r>
        <w:rPr>
          <w:noProof/>
        </w:rPr>
        <w:t>Predloženim dopunskim istraživačkim programom obuhvatit će se različiti znanstveni i tehnološki izazovi koji se odnose na sigurnost nuklearnih tehnologija. Aktivnosti programa bit će usko povezane s produljenjem (2019.–2020.) programa Euratoma za istraživanja i osposobljavanje u okviru programa Obzor 2020., kao i s novim programom Euratoma za istraživanja i osposobljavanje u okviru programa Obzor Europa (2021.–2025.).</w:t>
      </w:r>
    </w:p>
    <w:p>
      <w:pPr>
        <w:pBdr>
          <w:top w:val="single" w:sz="4" w:space="0" w:color="auto"/>
          <w:left w:val="single" w:sz="4" w:space="4" w:color="auto"/>
          <w:bottom w:val="single" w:sz="4" w:space="1" w:color="auto"/>
          <w:right w:val="single" w:sz="4" w:space="4" w:color="auto"/>
        </w:pBdr>
        <w:ind w:left="720"/>
        <w:rPr>
          <w:rFonts w:eastAsia="Times New Roman"/>
          <w:noProof/>
          <w:szCs w:val="24"/>
        </w:rPr>
      </w:pPr>
      <w:r>
        <w:rPr>
          <w:noProof/>
        </w:rPr>
        <w:t>Moguća razgradnja HFR-a kao JRC-ovog nuklearnog istraživačkog postrojenja obuhvaćena je Komisijinim Prijedlogom uredbe Vijeća o razgradnji nuklearnih postrojenja i zbrinjavanju radioaktivnog otpada za razdoblje 2021.–2027. Dopunski program odnosi se isključivo na siguran rad reaktora i nema utjecaja niti je obuhvaćen područjem primjene ili proračunom navedenog Prijedloga uredbe Vijeća.</w:t>
      </w:r>
    </w:p>
    <w:p>
      <w:pPr>
        <w:pStyle w:val="ManualHeading3"/>
        <w:rPr>
          <w:noProof/>
        </w:rPr>
      </w:pPr>
      <w:r>
        <w:t>1.5.5.</w:t>
      </w:r>
      <w:r>
        <w:tab/>
      </w:r>
      <w:r>
        <w:rPr>
          <w:noProof/>
        </w:rPr>
        <w:t>Ocjena različitih dostupnih mogućnosti financiranja, uključujući mogućnost preraspodjele</w:t>
      </w:r>
    </w:p>
    <w:p>
      <w:pPr>
        <w:pBdr>
          <w:top w:val="single" w:sz="4" w:space="1" w:color="auto"/>
          <w:left w:val="single" w:sz="4" w:space="4" w:color="auto"/>
          <w:bottom w:val="single" w:sz="4" w:space="1" w:color="auto"/>
          <w:right w:val="single" w:sz="4" w:space="4" w:color="auto"/>
        </w:pBdr>
        <w:ind w:left="850"/>
        <w:rPr>
          <w:noProof/>
        </w:rPr>
      </w:pPr>
      <w:r>
        <w:rPr>
          <w:noProof/>
        </w:rPr>
        <w:t xml:space="preserve">Nije primjenjivo </w:t>
      </w:r>
    </w:p>
    <w:p>
      <w:pPr>
        <w:pStyle w:val="ManualHeading2"/>
        <w:rPr>
          <w:noProof/>
          <w:szCs w:val="24"/>
        </w:rPr>
      </w:pPr>
      <w:r>
        <w:rPr>
          <w:noProof/>
        </w:rPr>
        <w:br w:type="page"/>
      </w:r>
      <w:r>
        <w:t>1.6.</w:t>
      </w:r>
      <w:r>
        <w:tab/>
      </w:r>
      <w:r>
        <w:rPr>
          <w:noProof/>
        </w:rPr>
        <w:t>Trajanje i financijski učinak prijedloga/inicijative</w:t>
      </w:r>
    </w:p>
    <w:p>
      <w:pPr>
        <w:pStyle w:val="Text1"/>
        <w:rPr>
          <w:noProof/>
        </w:rPr>
      </w:pPr>
      <w:r>
        <w:rPr>
          <w:noProof/>
        </w:rPr>
        <w:sym w:font="Wingdings" w:char="F078"/>
      </w:r>
      <w:r>
        <w:rPr>
          <w:i/>
          <w:noProof/>
        </w:rPr>
        <w:t xml:space="preserve"> </w:t>
      </w:r>
      <w:r>
        <w:rPr>
          <w:noProof/>
        </w:rPr>
        <w:t xml:space="preserve">ograničeno trajanje </w:t>
      </w:r>
    </w:p>
    <w:p>
      <w:pPr>
        <w:pStyle w:val="Text1"/>
        <w:rPr>
          <w:noProof/>
        </w:rPr>
      </w:pPr>
      <w:r>
        <w:rPr>
          <w:noProof/>
        </w:rPr>
        <w:sym w:font="Wingdings" w:char="F078"/>
      </w:r>
      <w:r>
        <w:rPr>
          <w:noProof/>
        </w:rPr>
        <w:tab/>
        <w:t xml:space="preserve">na snazi od 1.1.2020. do 31.12.2023. </w:t>
      </w:r>
    </w:p>
    <w:p>
      <w:pPr>
        <w:pStyle w:val="Text1"/>
        <w:rPr>
          <w:noProof/>
        </w:rPr>
      </w:pPr>
      <w:r>
        <w:rPr>
          <w:noProof/>
        </w:rPr>
        <w:sym w:font="Wingdings" w:char="F078"/>
      </w:r>
      <w:r>
        <w:rPr>
          <w:noProof/>
        </w:rPr>
        <w:tab/>
        <w:t xml:space="preserve">financijski učinak od 2020. do 2023. za odobrena sredstva za preuzete obveze i od 2020. do 2024. za odobrena sredstva za plaćanje. </w:t>
      </w:r>
    </w:p>
    <w:p>
      <w:pPr>
        <w:pStyle w:val="Text1"/>
        <w:rPr>
          <w:noProof/>
        </w:rPr>
      </w:pPr>
      <w:r>
        <w:rPr>
          <w:noProof/>
        </w:rPr>
        <w:sym w:font="Wingdings" w:char="F0A8"/>
      </w:r>
      <w:r>
        <w:rPr>
          <w:noProof/>
        </w:rPr>
        <w:t xml:space="preserve"> neograničeno trajanje</w:t>
      </w:r>
    </w:p>
    <w:p>
      <w:pPr>
        <w:tabs>
          <w:tab w:val="num" w:pos="1134"/>
        </w:tabs>
        <w:ind w:left="1134" w:hanging="283"/>
        <w:rPr>
          <w:noProof/>
        </w:rPr>
      </w:pPr>
      <w:r>
        <w:rPr>
          <w:noProof/>
        </w:rPr>
        <w:t>provedba s početnim razdobljem od GGGG do GGGG,</w:t>
      </w:r>
    </w:p>
    <w:p>
      <w:pPr>
        <w:tabs>
          <w:tab w:val="num" w:pos="1134"/>
        </w:tabs>
        <w:ind w:left="1134" w:hanging="283"/>
        <w:rPr>
          <w:noProof/>
        </w:rPr>
      </w:pPr>
      <w:r>
        <w:rPr>
          <w:noProof/>
        </w:rPr>
        <w:t>nakon čega slijedi redovna provedba.</w:t>
      </w:r>
    </w:p>
    <w:p>
      <w:pPr>
        <w:pStyle w:val="ManualHeading2"/>
        <w:rPr>
          <w:noProof/>
          <w:szCs w:val="24"/>
        </w:rPr>
      </w:pPr>
      <w:r>
        <w:t>1.7.</w:t>
      </w:r>
      <w:r>
        <w:tab/>
      </w:r>
      <w:r>
        <w:rPr>
          <w:noProof/>
        </w:rPr>
        <w:t>Predviđeni načini upravljanja</w:t>
      </w:r>
      <w:r>
        <w:rPr>
          <w:rStyle w:val="FootnoteReference"/>
          <w:noProof/>
        </w:rPr>
        <w:footnoteReference w:id="7"/>
      </w:r>
    </w:p>
    <w:p>
      <w:pPr>
        <w:pStyle w:val="Text1"/>
        <w:rPr>
          <w:noProof/>
        </w:rPr>
      </w:pPr>
      <w:r>
        <w:rPr>
          <w:noProof/>
        </w:rPr>
        <w:sym w:font="Wingdings" w:char="F078"/>
      </w:r>
      <w:r>
        <w:rPr>
          <w:noProof/>
        </w:rPr>
        <w:t xml:space="preserve"> Izravno upravljanje koje provodi Komisija</w:t>
      </w:r>
    </w:p>
    <w:p>
      <w:pPr>
        <w:pStyle w:val="Text1"/>
        <w:rPr>
          <w:noProof/>
        </w:rPr>
      </w:pPr>
      <w:r>
        <w:rPr>
          <w:noProof/>
        </w:rPr>
        <w:sym w:font="Wingdings" w:char="F078"/>
      </w:r>
      <w:r>
        <w:rPr>
          <w:noProof/>
        </w:rPr>
        <w:t xml:space="preserve"> putem svojih službi, uključujući osoblje u delegacijama Unije; </w:t>
      </w:r>
    </w:p>
    <w:p>
      <w:pPr>
        <w:pStyle w:val="Text1"/>
        <w:rPr>
          <w:noProof/>
        </w:rPr>
      </w:pPr>
      <w:r>
        <w:rPr>
          <w:noProof/>
        </w:rPr>
        <w:sym w:font="Wingdings" w:char="F0A8"/>
      </w:r>
      <w:r>
        <w:rPr>
          <w:noProof/>
        </w:rPr>
        <w:tab/>
        <w:t xml:space="preserve">putem izvršnih agencija </w:t>
      </w:r>
    </w:p>
    <w:p>
      <w:pPr>
        <w:pStyle w:val="Text1"/>
        <w:rPr>
          <w:noProof/>
        </w:rPr>
      </w:pPr>
      <w:r>
        <w:rPr>
          <w:noProof/>
        </w:rPr>
        <w:sym w:font="Wingdings" w:char="F0A8"/>
      </w:r>
      <w:r>
        <w:rPr>
          <w:noProof/>
        </w:rPr>
        <w:t xml:space="preserve"> Podijeljeno upravljanje s državama članicama </w:t>
      </w:r>
    </w:p>
    <w:p>
      <w:pPr>
        <w:pStyle w:val="Text1"/>
        <w:rPr>
          <w:noProof/>
        </w:rPr>
      </w:pPr>
      <w:r>
        <w:rPr>
          <w:noProof/>
        </w:rPr>
        <w:sym w:font="Wingdings" w:char="F0A8"/>
      </w:r>
      <w:r>
        <w:rPr>
          <w:noProof/>
        </w:rPr>
        <w:t xml:space="preserve"> Neizravno upravljanje povjeravanjem zadaća izvršenja proračuna</w:t>
      </w:r>
    </w:p>
    <w:p>
      <w:pPr>
        <w:pStyle w:val="Text1"/>
        <w:rPr>
          <w:noProof/>
        </w:rPr>
      </w:pPr>
      <w:r>
        <w:rPr>
          <w:noProof/>
        </w:rPr>
        <w:sym w:font="Wingdings" w:char="F0A8"/>
      </w:r>
      <w:r>
        <w:rPr>
          <w:noProof/>
        </w:rPr>
        <w:t xml:space="preserve"> trećim zemljama ili tijelima koja su one odredile;</w:t>
      </w:r>
    </w:p>
    <w:p>
      <w:pPr>
        <w:pStyle w:val="Text1"/>
        <w:rPr>
          <w:noProof/>
        </w:rPr>
      </w:pPr>
      <w:r>
        <w:rPr>
          <w:noProof/>
        </w:rPr>
        <w:sym w:font="Wingdings" w:char="F0A8"/>
      </w:r>
      <w:r>
        <w:rPr>
          <w:noProof/>
        </w:rPr>
        <w:t xml:space="preserve"> međunarodnim organizacijama i njihovim agencijama (navesti);</w:t>
      </w:r>
    </w:p>
    <w:p>
      <w:pPr>
        <w:pStyle w:val="Text1"/>
        <w:rPr>
          <w:noProof/>
        </w:rPr>
      </w:pPr>
      <w:r>
        <w:rPr>
          <w:noProof/>
        </w:rPr>
        <w:sym w:font="Wingdings" w:char="F0A8"/>
      </w:r>
      <w:r>
        <w:rPr>
          <w:noProof/>
        </w:rPr>
        <w:t xml:space="preserve"> EIB-u i Europskom investicijskom fondu;</w:t>
      </w:r>
    </w:p>
    <w:p>
      <w:pPr>
        <w:pStyle w:val="Text1"/>
        <w:rPr>
          <w:noProof/>
        </w:rPr>
      </w:pPr>
      <w:r>
        <w:rPr>
          <w:noProof/>
        </w:rPr>
        <w:sym w:font="Wingdings" w:char="F0A8"/>
      </w:r>
      <w:r>
        <w:rPr>
          <w:noProof/>
        </w:rPr>
        <w:t xml:space="preserve"> tijelima iz članaka 70. i 71. Financijske uredbe;</w:t>
      </w:r>
    </w:p>
    <w:p>
      <w:pPr>
        <w:pStyle w:val="Text1"/>
        <w:rPr>
          <w:noProof/>
        </w:rPr>
      </w:pPr>
      <w:r>
        <w:rPr>
          <w:noProof/>
        </w:rPr>
        <w:sym w:font="Wingdings" w:char="F0A8"/>
      </w:r>
      <w:r>
        <w:rPr>
          <w:noProof/>
        </w:rPr>
        <w:t xml:space="preserve"> tijelima javnog prava;</w:t>
      </w:r>
    </w:p>
    <w:p>
      <w:pPr>
        <w:pStyle w:val="Text1"/>
        <w:rPr>
          <w:noProof/>
        </w:rPr>
      </w:pPr>
      <w:r>
        <w:rPr>
          <w:noProof/>
        </w:rPr>
        <w:sym w:font="Wingdings" w:char="F0A8"/>
      </w:r>
      <w:r>
        <w:rPr>
          <w:noProof/>
        </w:rPr>
        <w:t xml:space="preserve"> tijelima uređenima privatnim pravom koja pružaju javne usluge u mjeri u kojoj daju odgovarajuća financijska jamstva;</w:t>
      </w:r>
    </w:p>
    <w:p>
      <w:pPr>
        <w:pStyle w:val="Text1"/>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Text1"/>
        <w:rPr>
          <w:noProof/>
        </w:rPr>
      </w:pPr>
      <w:r>
        <w:rPr>
          <w:noProof/>
        </w:rPr>
        <w:sym w:font="Wingdings" w:char="F0A8"/>
      </w:r>
      <w:r>
        <w:rPr>
          <w:noProof/>
        </w:rPr>
        <w:t xml:space="preserve"> osobama kojima je povjerena provedba određenih djelovanja u području ZVSP-a u skladu s glavom V. UEU-a i koje su navedene u odgovarajućem temeljnom aktu.</w:t>
      </w:r>
    </w:p>
    <w:p>
      <w:pPr>
        <w:tabs>
          <w:tab w:val="num" w:pos="1134"/>
        </w:tabs>
        <w:ind w:left="1134" w:hanging="283"/>
        <w:rPr>
          <w:i/>
          <w:noProof/>
          <w:sz w:val="18"/>
          <w:u w:val="single"/>
        </w:rPr>
      </w:pPr>
      <w:r>
        <w:rPr>
          <w:i/>
          <w:noProof/>
          <w:sz w:val="18"/>
        </w:rPr>
        <w:t>Ako je označeno više načina upravljanja, pojedinosti navesti u odjeljku „Napomene”.</w:t>
      </w:r>
    </w:p>
    <w:p>
      <w:pPr>
        <w:rPr>
          <w:noProof/>
        </w:rPr>
      </w:pPr>
      <w:r>
        <w:rPr>
          <w:noProof/>
        </w:rPr>
        <w:t xml:space="preserve">Napomene </w:t>
      </w:r>
    </w:p>
    <w:p>
      <w:pPr>
        <w:pBdr>
          <w:top w:val="single" w:sz="4" w:space="1" w:color="auto"/>
          <w:left w:val="single" w:sz="4" w:space="4" w:color="auto"/>
          <w:bottom w:val="single" w:sz="4" w:space="1" w:color="auto"/>
          <w:right w:val="single" w:sz="4" w:space="4" w:color="auto"/>
        </w:pBdr>
        <w:rPr>
          <w:noProof/>
        </w:rPr>
      </w:pPr>
      <w:r>
        <w:rPr>
          <w:noProof/>
        </w:rPr>
        <w:t xml:space="preserve">Komisija je vlasnik HFR-a u skladu sa sporazumom Euratoma i Nizozemske od 25. srpnja 1961. (99-godišnji najam). Za rad HFR-a odgovoran je nizozemski NRG koji je nositelj dozvole za rad koja mu omogućuje rad/iskorištavanje na temelju neovisnog i održivog pravnog mehanizma. Dodatni istraživački program, kojim upravlja JRC, izvor je dodatnog prihoda namijenjenog za istraživanja koja provode države članice koja financiraju program. </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r>
        <w:t>2.</w:t>
      </w:r>
      <w:r>
        <w:tab/>
      </w:r>
      <w:r>
        <w:rPr>
          <w:noProof/>
        </w:rPr>
        <w:t xml:space="preserve">MJERE UPRAVLJANJA </w:t>
      </w:r>
    </w:p>
    <w:p>
      <w:pPr>
        <w:pStyle w:val="ManualHeading2"/>
        <w:rPr>
          <w:noProof/>
        </w:rPr>
      </w:pPr>
      <w:r>
        <w:t>2.1.</w:t>
      </w:r>
      <w:r>
        <w:tab/>
      </w:r>
      <w:r>
        <w:rPr>
          <w:noProof/>
        </w:rPr>
        <w:t xml:space="preserve">Pravila nadzora i izvješćivanja </w:t>
      </w:r>
    </w:p>
    <w:p>
      <w:pPr>
        <w:ind w:left="850"/>
        <w:rPr>
          <w:i/>
          <w:noProof/>
          <w:sz w:val="20"/>
        </w:rPr>
      </w:pPr>
      <w:r>
        <w:rPr>
          <w:i/>
          <w:noProof/>
          <w:sz w:val="20"/>
        </w:rPr>
        <w:t>Navesti učestalost i uvjete.</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Komisijine se obveze sastoje od upravljanja dodatnim istraživačkim programom i godišnjeg izvješćivanja o:</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i. tehničkom stanju rada reaktora;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ii. znanstvenoj primjeni reaktora;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iii. stanju proračuna reaktora s obzirom na financijski prihod od financijskog prihoda iz država članica; i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iv. izvršenim plaćanjima.</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Program je obuhvaćen JRC-ovim ciklusom planiranja i godišnjim planom upravljanja. Zbog toga će praćenje navedenih ciljeva biti uvršteno u godišnje izvješće o radu JRC-a.</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Usto, JRC će izraditi završno izvješće. Bit će posvećeno dodatnom istraživačkom programu, a sadržavat će sljedeće elemente: </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tehničko izvješće s podacima o radu HFR-a;</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sažet opis glavnih znanstvenih postignuća;</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stanje aktivnosti održavanja;</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 stanje proračuna s obzirom na prihod od država članica i iskorištavanje sredstava iz proračuna dodatnog istraživačkog programa (uključujući pričuve za razgradnju, troškove upravljanja itd.). </w:t>
      </w:r>
    </w:p>
    <w:p>
      <w:pPr>
        <w:pStyle w:val="ManualHeading2"/>
        <w:rPr>
          <w:noProof/>
          <w:szCs w:val="24"/>
        </w:rPr>
      </w:pPr>
      <w:r>
        <w:t>2.2.</w:t>
      </w:r>
      <w:r>
        <w:tab/>
      </w:r>
      <w:r>
        <w:rPr>
          <w:noProof/>
        </w:rPr>
        <w:t xml:space="preserve">Sustavi upravljanja i kontrole </w:t>
      </w:r>
    </w:p>
    <w:p>
      <w:pPr>
        <w:pStyle w:val="ManualHeading3"/>
        <w:rPr>
          <w:noProof/>
        </w:rPr>
      </w:pPr>
      <w:r>
        <w:t>2.2.1.</w:t>
      </w:r>
      <w:r>
        <w:tab/>
      </w:r>
      <w:r>
        <w:rPr>
          <w:noProof/>
        </w:rPr>
        <w:t>Obrazloženje načina upravljanja, mehanizama provedbe financiranja, načina plaćanja i predložene strategije kontrole</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Program je nastavak prethodnog dodatnog istraživačkog programa. Tijekom pripreme države članice koje su sudionice programa provele su internu procjenu rizika sudjelovanja u njemu. </w:t>
      </w:r>
    </w:p>
    <w:p>
      <w:pPr>
        <w:pStyle w:val="ManualHeading3"/>
        <w:rPr>
          <w:noProof/>
          <w:szCs w:val="24"/>
        </w:rPr>
      </w:pPr>
      <w:r>
        <w:t>2.2.2.</w:t>
      </w:r>
      <w:r>
        <w:tab/>
      </w:r>
      <w:r>
        <w:rPr>
          <w:noProof/>
        </w:rPr>
        <w:t>Informacije o utvrđenim rizicima i sustavima unutarnje kontrole uspostavljenima radi smanjivanja tih rizika</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Izvješćivat će se o upravljanju dodatnim istraživačkim programom, a pritom će se obuhvatiti tehnička, znanstvena i proračunska pitanja (uključujući pričuvu za razgradnju itd.).</w:t>
      </w:r>
    </w:p>
    <w:p>
      <w:pPr>
        <w:pStyle w:val="ManualHeading3"/>
        <w:rPr>
          <w:noProof/>
        </w:rPr>
      </w:pPr>
      <w:r>
        <w:t>2.2.3.</w:t>
      </w:r>
      <w:r>
        <w:tab/>
      </w:r>
      <w:r>
        <w:rPr>
          <w:noProof/>
        </w:rPr>
        <w:t xml:space="preserve">Procjena i obrazloženje troškovne učinkovitosti kontrola (omjer troškova kontrole i vrijednosti povezanih sredstava kojima se upravlja”) i procjena očekivanih razina rizika od pogreške (pri plaćanju i pri zaključenju) </w:t>
      </w:r>
    </w:p>
    <w:p>
      <w:pPr>
        <w:pBdr>
          <w:top w:val="single" w:sz="4" w:space="1" w:color="auto"/>
          <w:left w:val="single" w:sz="4" w:space="4" w:color="auto"/>
          <w:bottom w:val="single" w:sz="4" w:space="1" w:color="auto"/>
          <w:right w:val="single" w:sz="4" w:space="4" w:color="auto"/>
        </w:pBdr>
        <w:ind w:left="850"/>
        <w:rPr>
          <w:noProof/>
        </w:rPr>
      </w:pPr>
      <w:r>
        <w:rPr>
          <w:noProof/>
        </w:rPr>
        <w:t xml:space="preserve">Nije primjenjivo </w:t>
      </w:r>
    </w:p>
    <w:p>
      <w:pPr>
        <w:pStyle w:val="ManualHeading2"/>
        <w:rPr>
          <w:noProof/>
          <w:szCs w:val="24"/>
        </w:rPr>
      </w:pPr>
      <w:r>
        <w:t>2.3.</w:t>
      </w:r>
      <w:r>
        <w:tab/>
      </w:r>
      <w:r>
        <w:rPr>
          <w:noProof/>
        </w:rPr>
        <w:t xml:space="preserve">Mjere za sprečavanje prijevara i nepravilnosti </w:t>
      </w:r>
    </w:p>
    <w:p>
      <w:pPr>
        <w:ind w:left="850"/>
        <w:rPr>
          <w:i/>
          <w:noProof/>
          <w:sz w:val="20"/>
        </w:rPr>
      </w:pPr>
      <w:r>
        <w:rPr>
          <w:i/>
          <w:noProof/>
          <w:sz w:val="20"/>
        </w:rPr>
        <w:t>Navesti postojeće ili predviđene mjere za sprečavanje i zaštitu, npr. iz strategije za borbu protiv prijevara.</w:t>
      </w:r>
    </w:p>
    <w:p>
      <w:pPr>
        <w:pBdr>
          <w:top w:val="single" w:sz="4" w:space="1" w:color="auto"/>
          <w:left w:val="single" w:sz="4" w:space="4" w:color="auto"/>
          <w:bottom w:val="single" w:sz="4" w:space="1" w:color="auto"/>
          <w:right w:val="single" w:sz="4" w:space="4" w:color="auto"/>
        </w:pBdr>
        <w:ind w:left="850"/>
        <w:rPr>
          <w:noProof/>
        </w:rPr>
      </w:pPr>
      <w:r>
        <w:rPr>
          <w:noProof/>
        </w:rPr>
        <w:t xml:space="preserve">Reviziju i unutarnju kontrolu navedenog izvješćivanja koje obuhvaćaju tehničke i proračunske aspekte provode službenici JRC-a. </w:t>
      </w:r>
    </w:p>
    <w:p>
      <w:pPr>
        <w:pBdr>
          <w:top w:val="single" w:sz="4" w:space="1" w:color="auto"/>
          <w:left w:val="single" w:sz="4" w:space="4" w:color="auto"/>
          <w:bottom w:val="single" w:sz="4" w:space="1" w:color="auto"/>
          <w:right w:val="single" w:sz="4" w:space="4" w:color="auto"/>
        </w:pBdr>
        <w:ind w:left="850"/>
        <w:rPr>
          <w:noProof/>
        </w:rPr>
      </w:pPr>
      <w:r>
        <w:rPr>
          <w:noProof/>
        </w:rPr>
        <w:t>Zakonodavstvom će se osigurati da revizije i provjere na licu mjesta mogu provesti službe Komisije, uključujući OLAF, koristeći standardne odredbe koje preporuča OLAF.</w:t>
      </w:r>
    </w:p>
    <w:p>
      <w:pPr>
        <w:pBdr>
          <w:top w:val="single" w:sz="4" w:space="1" w:color="auto"/>
          <w:left w:val="single" w:sz="4" w:space="4" w:color="auto"/>
          <w:bottom w:val="single" w:sz="4" w:space="1" w:color="auto"/>
          <w:right w:val="single" w:sz="4" w:space="4" w:color="auto"/>
        </w:pBdr>
        <w:ind w:left="850"/>
        <w:rPr>
          <w:noProof/>
        </w:rPr>
      </w:pPr>
      <w:r>
        <w:rPr>
          <w:noProof/>
        </w:rPr>
        <w:t>JRC-ova strategija za borbu protiv prijevara ažurirana je u prosincu 2017. tako da se uzme u obzir najnovija OLAF-ova metodologija i na taj način doprinese ažuriranju Komisijine strategije za borbu protiv prijevara.</w:t>
      </w:r>
    </w:p>
    <w:p>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Cirkulaciju fisibilnih materijala nadziru Euratom i Međunarodna agencija za atomsku energiju (IAEA).</w:t>
      </w:r>
    </w:p>
    <w:p>
      <w:pPr>
        <w:pBdr>
          <w:top w:val="single" w:sz="4" w:space="1" w:color="auto"/>
          <w:left w:val="single" w:sz="4" w:space="4" w:color="auto"/>
          <w:bottom w:val="single" w:sz="4" w:space="1" w:color="auto"/>
          <w:right w:val="single" w:sz="4" w:space="4" w:color="auto"/>
        </w:pBdr>
        <w:ind w:left="850"/>
        <w:rPr>
          <w:noProof/>
        </w:rPr>
        <w:sectPr>
          <w:pgSz w:w="11907" w:h="16840" w:code="9"/>
          <w:pgMar w:top="1134" w:right="1418" w:bottom="1134" w:left="1418" w:header="709" w:footer="709" w:gutter="0"/>
          <w:cols w:space="708"/>
          <w:docGrid w:linePitch="360"/>
        </w:sectPr>
      </w:pPr>
    </w:p>
    <w:p>
      <w:pPr>
        <w:pStyle w:val="ManualHeading1"/>
        <w:rPr>
          <w:noProof/>
          <w:szCs w:val="24"/>
        </w:rPr>
      </w:pPr>
      <w:r>
        <w:t>3.</w:t>
      </w:r>
      <w:r>
        <w:tab/>
      </w:r>
      <w:r>
        <w:rPr>
          <w:noProof/>
        </w:rPr>
        <w:t xml:space="preserve">PROCIJENJENI FINANCIJSKI UČINAK PRIJEDLOGA/INICIJATIVE </w:t>
      </w:r>
    </w:p>
    <w:p>
      <w:pPr>
        <w:pStyle w:val="ManualHeading2"/>
        <w:rPr>
          <w:noProof/>
        </w:rPr>
      </w:pPr>
      <w:r>
        <w:t>3.1.</w:t>
      </w:r>
      <w:r>
        <w:tab/>
      </w:r>
      <w:r>
        <w:rPr>
          <w:noProof/>
        </w:rPr>
        <w:t xml:space="preserve">Naslovi višegodišnjeg financijskog okvira i proračunske linije rashoda na koje prijedlog/inicijativa ima učinak </w:t>
      </w:r>
    </w:p>
    <w:p>
      <w:pPr>
        <w:tabs>
          <w:tab w:val="num" w:pos="1134"/>
        </w:tabs>
        <w:ind w:left="1134" w:hanging="283"/>
        <w:rPr>
          <w:noProof/>
        </w:rPr>
      </w:pPr>
      <w:r>
        <w:rPr>
          <w:noProof/>
        </w:rPr>
        <w:t xml:space="preserve">Postojeće proračunske linije </w:t>
      </w:r>
    </w:p>
    <w:p>
      <w:pPr>
        <w:ind w:left="850"/>
        <w:rPr>
          <w:i/>
          <w:noProof/>
        </w:rPr>
      </w:pPr>
      <w:r>
        <w:rPr>
          <w:i/>
          <w:noProof/>
          <w:u w:val="single"/>
        </w:rPr>
        <w:t>Prema redoslijedu</w:t>
      </w:r>
      <w:r>
        <w:rPr>
          <w:i/>
          <w:noProof/>
        </w:rPr>
        <w:t xml:space="preserve"> naslova višegodišnjeg financijskog okvira i proračunskih linija.</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gridCol w:w="116"/>
      </w:tblGrid>
      <w:tr>
        <w:trPr>
          <w:gridAfter w:val="1"/>
          <w:wAfter w:w="116" w:type="dxa"/>
        </w:trPr>
        <w:tc>
          <w:tcPr>
            <w:tcW w:w="1080" w:type="dxa"/>
            <w:vMerge w:val="restart"/>
            <w:vAlign w:val="center"/>
          </w:tcPr>
          <w:p>
            <w:pPr>
              <w:spacing w:before="60" w:after="60"/>
              <w:jc w:val="center"/>
              <w:rPr>
                <w:noProof/>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 xml:space="preserve">Vrsta </w:t>
            </w:r>
            <w:r>
              <w:rPr>
                <w:noProof/>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rPr>
          <w:gridAfter w:val="1"/>
          <w:wAfter w:w="116" w:type="dxa"/>
        </w:trPr>
        <w:tc>
          <w:tcPr>
            <w:tcW w:w="1080" w:type="dxa"/>
            <w:vMerge/>
            <w:vAlign w:val="center"/>
          </w:tcPr>
          <w:p>
            <w:pPr>
              <w:jc w:val="center"/>
              <w:rPr>
                <w:noProof/>
              </w:rPr>
            </w:pPr>
          </w:p>
        </w:tc>
        <w:tc>
          <w:tcPr>
            <w:tcW w:w="3960" w:type="dxa"/>
            <w:vAlign w:val="center"/>
          </w:tcPr>
          <w:p>
            <w:pPr>
              <w:rPr>
                <w:noProof/>
              </w:rPr>
            </w:pPr>
            <w:r>
              <w:rPr>
                <w:noProof/>
                <w:sz w:val="20"/>
              </w:rPr>
              <w:t xml:space="preserve">Broj </w:t>
            </w:r>
            <w:r>
              <w:rPr>
                <w:noProof/>
              </w:rPr>
              <w:br/>
            </w:r>
          </w:p>
        </w:tc>
        <w:tc>
          <w:tcPr>
            <w:tcW w:w="1080" w:type="dxa"/>
            <w:vAlign w:val="center"/>
          </w:tcPr>
          <w:p>
            <w:pPr>
              <w:jc w:val="center"/>
              <w:rPr>
                <w:noProof/>
              </w:rPr>
            </w:pPr>
            <w:r>
              <w:rPr>
                <w:noProof/>
                <w:sz w:val="18"/>
              </w:rPr>
              <w:t>Dif./nedif.</w:t>
            </w:r>
            <w:r>
              <w:rPr>
                <w:rStyle w:val="FootnoteReference"/>
                <w:noProof/>
              </w:rPr>
              <w:footnoteReference w:id="8"/>
            </w:r>
          </w:p>
        </w:tc>
        <w:tc>
          <w:tcPr>
            <w:tcW w:w="956" w:type="dxa"/>
            <w:vAlign w:val="center"/>
          </w:tcPr>
          <w:p>
            <w:pPr>
              <w:jc w:val="center"/>
              <w:rPr>
                <w:noProof/>
              </w:rPr>
            </w:pPr>
            <w:r>
              <w:rPr>
                <w:noProof/>
                <w:sz w:val="18"/>
              </w:rPr>
              <w:t>zemalja EFTA-e</w:t>
            </w:r>
            <w:r>
              <w:rPr>
                <w:rStyle w:val="FootnoteReference"/>
                <w:noProof/>
              </w:rPr>
              <w:footnoteReference w:id="9"/>
            </w:r>
          </w:p>
          <w:p>
            <w:pPr>
              <w:spacing w:after="0"/>
              <w:jc w:val="center"/>
              <w:rPr>
                <w:b/>
                <w:noProof/>
                <w:sz w:val="18"/>
              </w:rPr>
            </w:pPr>
          </w:p>
        </w:tc>
        <w:tc>
          <w:tcPr>
            <w:tcW w:w="1080" w:type="dxa"/>
            <w:vAlign w:val="center"/>
          </w:tcPr>
          <w:p>
            <w:pPr>
              <w:jc w:val="center"/>
              <w:rPr>
                <w:noProof/>
              </w:rPr>
            </w:pPr>
            <w:r>
              <w:rPr>
                <w:noProof/>
                <w:sz w:val="18"/>
              </w:rPr>
              <w:t>zemalja kandidatkinja</w:t>
            </w:r>
            <w:r>
              <w:rPr>
                <w:rStyle w:val="FootnoteReference"/>
                <w:noProof/>
              </w:rPr>
              <w:footnoteReference w:id="10"/>
            </w:r>
          </w:p>
          <w:p>
            <w:pPr>
              <w:spacing w:after="0"/>
              <w:jc w:val="center"/>
              <w:rPr>
                <w:noProof/>
                <w:sz w:val="18"/>
              </w:rPr>
            </w:pPr>
          </w:p>
        </w:tc>
        <w:tc>
          <w:tcPr>
            <w:tcW w:w="956"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rFonts w:eastAsia="Times New Roman"/>
                <w:noProof/>
                <w:szCs w:val="24"/>
              </w:rPr>
            </w:pPr>
            <w:r>
              <w:rPr>
                <w:noProof/>
                <w:color w:val="0000FF"/>
                <w:sz w:val="20"/>
                <w:szCs w:val="20"/>
              </w:rPr>
              <w:t>1a</w:t>
            </w:r>
          </w:p>
        </w:tc>
        <w:tc>
          <w:tcPr>
            <w:tcW w:w="3960" w:type="dxa"/>
            <w:vAlign w:val="center"/>
          </w:tcPr>
          <w:p>
            <w:pPr>
              <w:spacing w:before="60"/>
              <w:rPr>
                <w:rFonts w:eastAsia="Times New Roman"/>
                <w:noProof/>
                <w:sz w:val="20"/>
                <w:szCs w:val="20"/>
              </w:rPr>
            </w:pPr>
            <w:r>
              <w:rPr>
                <w:noProof/>
                <w:sz w:val="20"/>
                <w:szCs w:val="20"/>
              </w:rPr>
              <w:t xml:space="preserve">Članak 10 04 04 – Rad reaktora s visokim protokom (HFR) </w:t>
            </w:r>
          </w:p>
          <w:p>
            <w:pPr>
              <w:spacing w:after="60"/>
              <w:rPr>
                <w:rFonts w:eastAsia="Times New Roman"/>
                <w:noProof/>
                <w:color w:val="0000FF"/>
                <w:sz w:val="20"/>
                <w:szCs w:val="20"/>
              </w:rPr>
            </w:pPr>
            <w:r>
              <w:rPr>
                <w:noProof/>
                <w:sz w:val="20"/>
                <w:szCs w:val="20"/>
              </w:rPr>
              <w:t>Stavka 10 04 04 01 – Rad reaktora s visokim protokom (HFR) – Dodatni program za HFR</w:t>
            </w:r>
          </w:p>
        </w:tc>
        <w:tc>
          <w:tcPr>
            <w:tcW w:w="1080" w:type="dxa"/>
            <w:vAlign w:val="center"/>
          </w:tcPr>
          <w:p>
            <w:pPr>
              <w:jc w:val="center"/>
              <w:rPr>
                <w:rFonts w:eastAsia="Times New Roman"/>
                <w:noProof/>
                <w:szCs w:val="24"/>
              </w:rPr>
            </w:pPr>
            <w:r>
              <w:rPr>
                <w:noProof/>
                <w:color w:val="0000FF"/>
                <w:sz w:val="20"/>
                <w:szCs w:val="20"/>
              </w:rPr>
              <w:t>Dif.</w:t>
            </w:r>
          </w:p>
        </w:tc>
        <w:tc>
          <w:tcPr>
            <w:tcW w:w="956" w:type="dxa"/>
            <w:vAlign w:val="center"/>
          </w:tcPr>
          <w:p>
            <w:pPr>
              <w:jc w:val="center"/>
              <w:rPr>
                <w:rFonts w:eastAsia="Times New Roman"/>
                <w:noProof/>
                <w:color w:val="0000FF"/>
                <w:sz w:val="18"/>
                <w:szCs w:val="18"/>
              </w:rPr>
            </w:pPr>
            <w:r>
              <w:rPr>
                <w:noProof/>
                <w:color w:val="0000FF"/>
                <w:sz w:val="18"/>
                <w:szCs w:val="18"/>
              </w:rPr>
              <w:t>NE</w:t>
            </w:r>
          </w:p>
        </w:tc>
        <w:tc>
          <w:tcPr>
            <w:tcW w:w="1080" w:type="dxa"/>
            <w:vAlign w:val="center"/>
          </w:tcPr>
          <w:p>
            <w:pPr>
              <w:jc w:val="center"/>
              <w:rPr>
                <w:rFonts w:eastAsia="Times New Roman"/>
                <w:noProof/>
                <w:color w:val="0000FF"/>
                <w:sz w:val="18"/>
                <w:szCs w:val="18"/>
              </w:rPr>
            </w:pPr>
            <w:r>
              <w:rPr>
                <w:noProof/>
                <w:color w:val="0000FF"/>
                <w:sz w:val="18"/>
                <w:szCs w:val="18"/>
              </w:rPr>
              <w:t>NE</w:t>
            </w:r>
          </w:p>
        </w:tc>
        <w:tc>
          <w:tcPr>
            <w:tcW w:w="956" w:type="dxa"/>
            <w:vAlign w:val="center"/>
          </w:tcPr>
          <w:p>
            <w:pPr>
              <w:jc w:val="center"/>
              <w:rPr>
                <w:rFonts w:eastAsia="Times New Roman"/>
                <w:noProof/>
                <w:color w:val="0000FF"/>
                <w:sz w:val="18"/>
                <w:szCs w:val="18"/>
              </w:rPr>
            </w:pPr>
            <w:r>
              <w:rPr>
                <w:noProof/>
                <w:color w:val="0000FF"/>
                <w:sz w:val="18"/>
                <w:szCs w:val="18"/>
              </w:rPr>
              <w:t>NE</w:t>
            </w:r>
          </w:p>
        </w:tc>
        <w:tc>
          <w:tcPr>
            <w:tcW w:w="1564" w:type="dxa"/>
            <w:gridSpan w:val="2"/>
            <w:vAlign w:val="center"/>
          </w:tcPr>
          <w:p>
            <w:pPr>
              <w:jc w:val="center"/>
              <w:rPr>
                <w:rFonts w:eastAsia="Times New Roman"/>
                <w:noProof/>
                <w:color w:val="0000FF"/>
                <w:sz w:val="18"/>
                <w:szCs w:val="18"/>
              </w:rPr>
            </w:pPr>
            <w:r>
              <w:rPr>
                <w:noProof/>
                <w:color w:val="0000FF"/>
                <w:sz w:val="18"/>
                <w:szCs w:val="18"/>
              </w:rPr>
              <w:t>DA</w:t>
            </w:r>
          </w:p>
        </w:tc>
      </w:tr>
    </w:tbl>
    <w:p>
      <w:pPr>
        <w:tabs>
          <w:tab w:val="num" w:pos="1134"/>
        </w:tabs>
        <w:ind w:left="1134" w:hanging="283"/>
        <w:rPr>
          <w:noProof/>
        </w:rPr>
      </w:pPr>
      <w:r>
        <w:rPr>
          <w:noProof/>
        </w:rPr>
        <w:t>Zatražene nove proračunske linije – nije primjenjivo</w:t>
      </w:r>
    </w:p>
    <w:p>
      <w:pPr>
        <w:ind w:left="850"/>
        <w:rPr>
          <w:i/>
          <w:noProof/>
          <w:sz w:val="20"/>
        </w:rPr>
      </w:pPr>
      <w:r>
        <w:rPr>
          <w:i/>
          <w:noProof/>
          <w:u w:val="single"/>
        </w:rPr>
        <w:t>Prema redoslijedu</w:t>
      </w:r>
      <w:r>
        <w:rPr>
          <w:i/>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Vrsta</w:t>
            </w:r>
            <w:r>
              <w:rPr>
                <w:noProof/>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Broj </w:t>
            </w:r>
            <w:r>
              <w:rPr>
                <w:noProof/>
              </w:rPr>
              <w:br/>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zemalja EFTA-e</w:t>
            </w:r>
          </w:p>
        </w:tc>
        <w:tc>
          <w:tcPr>
            <w:tcW w:w="1080" w:type="dxa"/>
            <w:vAlign w:val="center"/>
          </w:tcPr>
          <w:p>
            <w:pPr>
              <w:jc w:val="center"/>
              <w:rPr>
                <w:noProof/>
                <w:sz w:val="18"/>
              </w:rPr>
            </w:pPr>
            <w:r>
              <w:rPr>
                <w:noProof/>
                <w:sz w:val="18"/>
              </w:rPr>
              <w:t>zemalja kandidatkinja</w:t>
            </w:r>
          </w:p>
        </w:tc>
        <w:tc>
          <w:tcPr>
            <w:tcW w:w="956"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sz w:val="20"/>
                <w:szCs w:val="20"/>
              </w:rPr>
            </w:pPr>
            <w:r>
              <w:rPr>
                <w:noProof/>
                <w:sz w:val="20"/>
                <w:szCs w:val="20"/>
              </w:rPr>
              <w:t>DA/NE</w:t>
            </w:r>
          </w:p>
        </w:tc>
        <w:tc>
          <w:tcPr>
            <w:tcW w:w="1080" w:type="dxa"/>
            <w:vAlign w:val="center"/>
          </w:tcPr>
          <w:p>
            <w:pPr>
              <w:jc w:val="center"/>
              <w:rPr>
                <w:noProof/>
                <w:color w:val="0000FF"/>
                <w:sz w:val="20"/>
                <w:szCs w:val="20"/>
              </w:rPr>
            </w:pPr>
            <w:r>
              <w:rPr>
                <w:noProof/>
                <w:sz w:val="20"/>
                <w:szCs w:val="20"/>
              </w:rPr>
              <w:t>DA/NE</w:t>
            </w:r>
          </w:p>
        </w:tc>
        <w:tc>
          <w:tcPr>
            <w:tcW w:w="956" w:type="dxa"/>
            <w:vAlign w:val="center"/>
          </w:tcPr>
          <w:p>
            <w:pPr>
              <w:jc w:val="center"/>
              <w:rPr>
                <w:noProof/>
                <w:color w:val="0000FF"/>
                <w:sz w:val="20"/>
                <w:szCs w:val="20"/>
              </w:rPr>
            </w:pPr>
            <w:r>
              <w:rPr>
                <w:noProof/>
                <w:sz w:val="20"/>
                <w:szCs w:val="20"/>
              </w:rPr>
              <w:t>DA/NE</w:t>
            </w:r>
          </w:p>
        </w:tc>
        <w:tc>
          <w:tcPr>
            <w:tcW w:w="1448" w:type="dxa"/>
            <w:vAlign w:val="center"/>
          </w:tcPr>
          <w:p>
            <w:pPr>
              <w:jc w:val="center"/>
              <w:rPr>
                <w:noProof/>
                <w:sz w:val="20"/>
                <w:szCs w:val="20"/>
              </w:rPr>
            </w:pPr>
            <w:r>
              <w:rPr>
                <w:noProof/>
                <w:sz w:val="20"/>
                <w:szCs w:val="20"/>
              </w:rPr>
              <w:t>DA/NE</w:t>
            </w: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r>
        <w:t>3.2.</w:t>
      </w:r>
      <w:r>
        <w:tab/>
      </w:r>
      <w:r>
        <w:rPr>
          <w:noProof/>
        </w:rPr>
        <w:t xml:space="preserve">Procijenjeni financijski učinak prijedloga na odobrena sredstva </w:t>
      </w:r>
    </w:p>
    <w:p>
      <w:pPr>
        <w:pStyle w:val="ManualHeading3"/>
        <w:rPr>
          <w:noProof/>
        </w:rPr>
      </w:pPr>
      <w:r>
        <w:t>3.2.1.</w:t>
      </w:r>
      <w:r>
        <w:tab/>
      </w:r>
      <w:r>
        <w:rPr>
          <w:noProof/>
        </w:rPr>
        <w:t xml:space="preserve">Sažetak procijenjenog učinka na odobrena sredstva za poslovanje </w:t>
      </w:r>
    </w:p>
    <w:p>
      <w:pPr>
        <w:pStyle w:val="Text1"/>
        <w:rPr>
          <w:noProof/>
        </w:rPr>
      </w:pPr>
      <w:r>
        <w:rPr>
          <w:noProof/>
        </w:rPr>
        <w:sym w:font="Wingdings" w:char="F078"/>
      </w:r>
      <w:r>
        <w:rPr>
          <w:noProof/>
        </w:rPr>
        <w:tab/>
        <w:t xml:space="preserve">Za prijedlog/inicijativu nisu potrebna odobrena sredstva za poslovanje. </w:t>
      </w:r>
    </w:p>
    <w:p>
      <w:pPr>
        <w:pStyle w:val="Text1"/>
        <w:rPr>
          <w:noProof/>
        </w:rPr>
      </w:pPr>
      <w:r>
        <w:rPr>
          <w:noProof/>
        </w:rPr>
        <w:sym w:font="Wingdings" w:char="F0A8"/>
      </w:r>
      <w:r>
        <w:rPr>
          <w:noProof/>
        </w:rPr>
        <w:tab/>
        <w:t>Za prijedlog/inicijativu potrebna su sljedeća odobrena sredstva za poslovanje:</w:t>
      </w:r>
    </w:p>
    <w:p>
      <w:pPr>
        <w:jc w:val="right"/>
        <w:rPr>
          <w:noProof/>
          <w:sz w:val="18"/>
          <w:szCs w:val="18"/>
        </w:rPr>
      </w:pPr>
      <w:r>
        <w:rPr>
          <w:noProof/>
          <w:sz w:val="18"/>
          <w:szCs w:val="18"/>
        </w:rPr>
        <w:t>U milijunima EUR (do trećeg decimalnog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 xml:space="preserve">Naslov višegodišnjeg financijskog </w:t>
            </w:r>
            <w:r>
              <w:rPr>
                <w:noProof/>
              </w:rPr>
              <w:br/>
            </w:r>
            <w:r>
              <w:rPr>
                <w:b/>
                <w:noProof/>
              </w:rPr>
              <w:t xml:space="preserve">okvira </w:t>
            </w:r>
          </w:p>
        </w:tc>
        <w:tc>
          <w:tcPr>
            <w:tcW w:w="1080" w:type="dxa"/>
            <w:vAlign w:val="center"/>
          </w:tcPr>
          <w:p>
            <w:pPr>
              <w:spacing w:before="60" w:after="60"/>
              <w:jc w:val="center"/>
              <w:rPr>
                <w:noProof/>
              </w:rPr>
            </w:pPr>
            <w:r>
              <w:rPr>
                <w:noProof/>
              </w:rPr>
              <w:t>1a</w:t>
            </w:r>
          </w:p>
        </w:tc>
        <w:tc>
          <w:tcPr>
            <w:tcW w:w="7817" w:type="dxa"/>
            <w:vAlign w:val="center"/>
          </w:tcPr>
          <w:p>
            <w:pPr>
              <w:spacing w:before="60" w:after="60"/>
              <w:rPr>
                <w:noProof/>
              </w:rPr>
            </w:pPr>
            <w:r>
              <w:rPr>
                <w:noProof/>
              </w:rPr>
              <w:t>Konkurentnost za rast i radna mjesta</w:t>
            </w:r>
          </w:p>
        </w:tc>
      </w:tr>
    </w:tbl>
    <w:p>
      <w:pPr>
        <w:jc w:val="center"/>
        <w:rPr>
          <w:noProof/>
          <w:sz w:val="16"/>
        </w:rPr>
      </w:pPr>
    </w:p>
    <w:tbl>
      <w:tblPr>
        <w:tblW w:w="12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794"/>
        <w:gridCol w:w="992"/>
        <w:gridCol w:w="851"/>
        <w:gridCol w:w="850"/>
        <w:gridCol w:w="992"/>
        <w:gridCol w:w="993"/>
        <w:gridCol w:w="1701"/>
      </w:tblGrid>
      <w:tr>
        <w:tc>
          <w:tcPr>
            <w:tcW w:w="3960" w:type="dxa"/>
            <w:vAlign w:val="center"/>
          </w:tcPr>
          <w:p>
            <w:pPr>
              <w:jc w:val="center"/>
              <w:rPr>
                <w:noProof/>
              </w:rPr>
            </w:pPr>
            <w:r>
              <w:rPr>
                <w:noProof/>
              </w:rPr>
              <w:t>GU: JRC</w:t>
            </w:r>
          </w:p>
        </w:tc>
        <w:tc>
          <w:tcPr>
            <w:tcW w:w="1560" w:type="dxa"/>
            <w:gridSpan w:val="2"/>
          </w:tcPr>
          <w:p>
            <w:pPr>
              <w:rPr>
                <w:noProof/>
                <w:sz w:val="20"/>
              </w:rPr>
            </w:pPr>
          </w:p>
        </w:tc>
        <w:tc>
          <w:tcPr>
            <w:tcW w:w="794" w:type="dxa"/>
          </w:tcPr>
          <w:p>
            <w:pPr>
              <w:jc w:val="center"/>
              <w:rPr>
                <w:noProof/>
                <w:sz w:val="20"/>
              </w:rPr>
            </w:pPr>
          </w:p>
        </w:tc>
        <w:tc>
          <w:tcPr>
            <w:tcW w:w="992" w:type="dxa"/>
            <w:vAlign w:val="center"/>
          </w:tcPr>
          <w:p>
            <w:pPr>
              <w:jc w:val="center"/>
              <w:rPr>
                <w:noProof/>
                <w:sz w:val="20"/>
              </w:rPr>
            </w:pPr>
            <w:r>
              <w:rPr>
                <w:noProof/>
                <w:sz w:val="20"/>
              </w:rPr>
              <w:t>Godina</w:t>
            </w:r>
            <w:r>
              <w:rPr>
                <w:noProof/>
              </w:rPr>
              <w:br/>
            </w:r>
            <w:r>
              <w:rPr>
                <w:b/>
                <w:noProof/>
                <w:sz w:val="20"/>
              </w:rPr>
              <w:t>2020.</w:t>
            </w:r>
            <w:r>
              <w:rPr>
                <w:rStyle w:val="FootnoteReference"/>
                <w:noProof/>
              </w:rPr>
              <w:footnoteReference w:id="11"/>
            </w:r>
          </w:p>
        </w:tc>
        <w:tc>
          <w:tcPr>
            <w:tcW w:w="851" w:type="dxa"/>
            <w:vAlign w:val="center"/>
          </w:tcPr>
          <w:p>
            <w:pPr>
              <w:jc w:val="center"/>
              <w:rPr>
                <w:noProof/>
                <w:sz w:val="20"/>
              </w:rPr>
            </w:pPr>
            <w:r>
              <w:rPr>
                <w:noProof/>
                <w:sz w:val="20"/>
              </w:rPr>
              <w:t>Godina</w:t>
            </w:r>
            <w:r>
              <w:rPr>
                <w:noProof/>
              </w:rPr>
              <w:br/>
            </w:r>
            <w:r>
              <w:rPr>
                <w:b/>
                <w:noProof/>
                <w:sz w:val="20"/>
              </w:rPr>
              <w:t>2021.</w:t>
            </w:r>
          </w:p>
        </w:tc>
        <w:tc>
          <w:tcPr>
            <w:tcW w:w="850" w:type="dxa"/>
            <w:vAlign w:val="center"/>
          </w:tcPr>
          <w:p>
            <w:pPr>
              <w:jc w:val="center"/>
              <w:rPr>
                <w:noProof/>
                <w:sz w:val="20"/>
              </w:rPr>
            </w:pPr>
            <w:r>
              <w:rPr>
                <w:noProof/>
                <w:sz w:val="20"/>
              </w:rPr>
              <w:t>Godina</w:t>
            </w:r>
            <w:r>
              <w:rPr>
                <w:noProof/>
              </w:rPr>
              <w:br/>
            </w:r>
            <w:r>
              <w:rPr>
                <w:b/>
                <w:noProof/>
                <w:sz w:val="20"/>
              </w:rPr>
              <w:t>2022.</w:t>
            </w:r>
          </w:p>
        </w:tc>
        <w:tc>
          <w:tcPr>
            <w:tcW w:w="992" w:type="dxa"/>
            <w:vAlign w:val="center"/>
          </w:tcPr>
          <w:p>
            <w:pPr>
              <w:jc w:val="center"/>
              <w:rPr>
                <w:noProof/>
                <w:sz w:val="20"/>
              </w:rPr>
            </w:pPr>
            <w:r>
              <w:rPr>
                <w:noProof/>
                <w:sz w:val="20"/>
              </w:rPr>
              <w:t>Godina</w:t>
            </w:r>
            <w:r>
              <w:rPr>
                <w:noProof/>
              </w:rPr>
              <w:br/>
            </w:r>
            <w:r>
              <w:rPr>
                <w:b/>
                <w:noProof/>
                <w:sz w:val="20"/>
              </w:rPr>
              <w:t>2023.</w:t>
            </w:r>
          </w:p>
        </w:tc>
        <w:tc>
          <w:tcPr>
            <w:tcW w:w="993" w:type="dxa"/>
            <w:vAlign w:val="center"/>
          </w:tcPr>
          <w:p>
            <w:pPr>
              <w:jc w:val="center"/>
              <w:rPr>
                <w:b/>
                <w:noProof/>
                <w:sz w:val="20"/>
              </w:rPr>
            </w:pPr>
            <w:r>
              <w:rPr>
                <w:noProof/>
                <w:sz w:val="20"/>
              </w:rPr>
              <w:t>Godina</w:t>
            </w:r>
            <w:r>
              <w:rPr>
                <w:noProof/>
              </w:rPr>
              <w:br/>
            </w:r>
            <w:r>
              <w:rPr>
                <w:b/>
                <w:noProof/>
                <w:sz w:val="20"/>
              </w:rPr>
              <w:t>&gt;-2023.</w:t>
            </w:r>
          </w:p>
        </w:tc>
        <w:tc>
          <w:tcPr>
            <w:tcW w:w="1701" w:type="dxa"/>
            <w:vAlign w:val="center"/>
          </w:tcPr>
          <w:p>
            <w:pPr>
              <w:jc w:val="center"/>
              <w:rPr>
                <w:b/>
                <w:noProof/>
                <w:sz w:val="20"/>
              </w:rPr>
            </w:pPr>
            <w:r>
              <w:rPr>
                <w:b/>
                <w:noProof/>
                <w:sz w:val="20"/>
              </w:rPr>
              <w:t>UKUPNO</w:t>
            </w:r>
          </w:p>
        </w:tc>
      </w:tr>
      <w:tr>
        <w:trPr>
          <w:trHeight w:val="213"/>
        </w:trPr>
        <w:tc>
          <w:tcPr>
            <w:tcW w:w="6314" w:type="dxa"/>
            <w:gridSpan w:val="4"/>
            <w:vAlign w:val="center"/>
          </w:tcPr>
          <w:p>
            <w:pPr>
              <w:spacing w:before="20" w:after="20"/>
              <w:rPr>
                <w:noProof/>
                <w:sz w:val="21"/>
              </w:rPr>
            </w:pPr>
            <w:r>
              <w:rPr>
                <w:noProof/>
                <w:sz w:val="21"/>
              </w:rPr>
              <w:sym w:font="Wingdings" w:char="F09F"/>
            </w:r>
            <w:r>
              <w:rPr>
                <w:noProof/>
                <w:sz w:val="21"/>
              </w:rPr>
              <w:t xml:space="preserve">Odobrena sredstva za poslovanje </w:t>
            </w:r>
          </w:p>
        </w:tc>
        <w:tc>
          <w:tcPr>
            <w:tcW w:w="992" w:type="dxa"/>
            <w:vAlign w:val="center"/>
          </w:tcPr>
          <w:p>
            <w:pPr>
              <w:rPr>
                <w:noProof/>
                <w:sz w:val="20"/>
              </w:rPr>
            </w:pPr>
          </w:p>
        </w:tc>
        <w:tc>
          <w:tcPr>
            <w:tcW w:w="851" w:type="dxa"/>
            <w:vAlign w:val="center"/>
          </w:tcPr>
          <w:p>
            <w:pPr>
              <w:rPr>
                <w:noProof/>
                <w:sz w:val="20"/>
              </w:rPr>
            </w:pPr>
          </w:p>
        </w:tc>
        <w:tc>
          <w:tcPr>
            <w:tcW w:w="850" w:type="dxa"/>
            <w:vAlign w:val="center"/>
          </w:tcPr>
          <w:p>
            <w:pPr>
              <w:rPr>
                <w:noProof/>
                <w:sz w:val="20"/>
              </w:rPr>
            </w:pPr>
          </w:p>
        </w:tc>
        <w:tc>
          <w:tcPr>
            <w:tcW w:w="992" w:type="dxa"/>
            <w:vAlign w:val="center"/>
          </w:tcPr>
          <w:p>
            <w:pPr>
              <w:rPr>
                <w:noProof/>
                <w:sz w:val="20"/>
              </w:rPr>
            </w:pPr>
          </w:p>
        </w:tc>
        <w:tc>
          <w:tcPr>
            <w:tcW w:w="993" w:type="dxa"/>
          </w:tcPr>
          <w:p>
            <w:pPr>
              <w:rPr>
                <w:b/>
                <w:noProof/>
                <w:sz w:val="20"/>
              </w:rPr>
            </w:pPr>
          </w:p>
        </w:tc>
        <w:tc>
          <w:tcPr>
            <w:tcW w:w="1701" w:type="dxa"/>
            <w:vAlign w:val="center"/>
          </w:tcPr>
          <w:p>
            <w:pPr>
              <w:rPr>
                <w:b/>
                <w:noProof/>
                <w:sz w:val="20"/>
              </w:rPr>
            </w:pPr>
          </w:p>
        </w:tc>
      </w:tr>
      <w:tr>
        <w:trPr>
          <w:trHeight w:val="501"/>
        </w:trPr>
        <w:tc>
          <w:tcPr>
            <w:tcW w:w="3960" w:type="dxa"/>
            <w:vMerge w:val="restart"/>
            <w:vAlign w:val="center"/>
          </w:tcPr>
          <w:p>
            <w:pPr>
              <w:rPr>
                <w:noProof/>
              </w:rPr>
            </w:pPr>
            <w:r>
              <w:rPr>
                <w:noProof/>
                <w:sz w:val="20"/>
              </w:rPr>
              <w:t>Proračunska linija</w:t>
            </w:r>
            <w:r>
              <w:rPr>
                <w:rStyle w:val="FootnoteReference"/>
                <w:noProof/>
              </w:rPr>
              <w:footnoteReference w:id="12"/>
            </w:r>
            <w:r>
              <w:rPr>
                <w:noProof/>
                <w:sz w:val="20"/>
              </w:rPr>
              <w:t xml:space="preserve"> 10 04 04 01</w:t>
            </w:r>
          </w:p>
        </w:tc>
        <w:tc>
          <w:tcPr>
            <w:tcW w:w="1440" w:type="dxa"/>
            <w:vAlign w:val="center"/>
          </w:tcPr>
          <w:p>
            <w:pPr>
              <w:spacing w:before="20" w:after="20"/>
              <w:rPr>
                <w:noProof/>
                <w:sz w:val="18"/>
              </w:rPr>
            </w:pPr>
            <w:r>
              <w:rPr>
                <w:noProof/>
                <w:sz w:val="18"/>
              </w:rPr>
              <w:t>Obveze</w:t>
            </w:r>
          </w:p>
        </w:tc>
        <w:tc>
          <w:tcPr>
            <w:tcW w:w="914" w:type="dxa"/>
            <w:gridSpan w:val="2"/>
            <w:vAlign w:val="center"/>
          </w:tcPr>
          <w:p>
            <w:pPr>
              <w:spacing w:before="20" w:after="20"/>
              <w:jc w:val="center"/>
              <w:rPr>
                <w:noProof/>
                <w:sz w:val="14"/>
              </w:rPr>
            </w:pPr>
            <w:r>
              <w:rPr>
                <w:noProof/>
                <w:sz w:val="14"/>
              </w:rPr>
              <w:t>(1a)</w:t>
            </w:r>
          </w:p>
        </w:tc>
        <w:tc>
          <w:tcPr>
            <w:tcW w:w="992" w:type="dxa"/>
            <w:vAlign w:val="center"/>
          </w:tcPr>
          <w:p>
            <w:pPr>
              <w:spacing w:before="20" w:after="20"/>
              <w:jc w:val="center"/>
              <w:rPr>
                <w:noProof/>
                <w:sz w:val="20"/>
              </w:rPr>
            </w:pPr>
            <w:r>
              <w:rPr>
                <w:noProof/>
                <w:sz w:val="20"/>
                <w:szCs w:val="20"/>
              </w:rPr>
              <w:t>p.m.</w:t>
            </w:r>
          </w:p>
        </w:tc>
        <w:tc>
          <w:tcPr>
            <w:tcW w:w="851" w:type="dxa"/>
            <w:vAlign w:val="center"/>
          </w:tcPr>
          <w:p>
            <w:pPr>
              <w:spacing w:before="20" w:after="20"/>
              <w:jc w:val="center"/>
              <w:rPr>
                <w:noProof/>
                <w:sz w:val="20"/>
              </w:rPr>
            </w:pPr>
            <w:r>
              <w:rPr>
                <w:noProof/>
                <w:sz w:val="20"/>
                <w:szCs w:val="20"/>
              </w:rPr>
              <w:t>p.m.</w:t>
            </w:r>
          </w:p>
        </w:tc>
        <w:tc>
          <w:tcPr>
            <w:tcW w:w="850" w:type="dxa"/>
            <w:vAlign w:val="center"/>
          </w:tcPr>
          <w:p>
            <w:pPr>
              <w:spacing w:before="20" w:after="20"/>
              <w:jc w:val="center"/>
              <w:rPr>
                <w:noProof/>
                <w:sz w:val="20"/>
              </w:rPr>
            </w:pPr>
            <w:r>
              <w:rPr>
                <w:noProof/>
                <w:sz w:val="20"/>
                <w:szCs w:val="20"/>
              </w:rPr>
              <w:t>p.m.</w:t>
            </w:r>
          </w:p>
        </w:tc>
        <w:tc>
          <w:tcPr>
            <w:tcW w:w="992" w:type="dxa"/>
            <w:vAlign w:val="center"/>
          </w:tcPr>
          <w:p>
            <w:pPr>
              <w:spacing w:before="20" w:after="20"/>
              <w:jc w:val="center"/>
              <w:rPr>
                <w:noProof/>
                <w:sz w:val="20"/>
              </w:rPr>
            </w:pPr>
            <w:r>
              <w:rPr>
                <w:noProof/>
                <w:sz w:val="20"/>
                <w:szCs w:val="20"/>
              </w:rPr>
              <w:t>p.m.</w:t>
            </w:r>
          </w:p>
        </w:tc>
        <w:tc>
          <w:tcPr>
            <w:tcW w:w="993" w:type="dxa"/>
            <w:vAlign w:val="center"/>
          </w:tcPr>
          <w:p>
            <w:pPr>
              <w:spacing w:before="20" w:after="20"/>
              <w:jc w:val="center"/>
              <w:rPr>
                <w:b/>
                <w:noProof/>
                <w:sz w:val="20"/>
              </w:rPr>
            </w:pPr>
          </w:p>
        </w:tc>
        <w:tc>
          <w:tcPr>
            <w:tcW w:w="1701" w:type="dxa"/>
            <w:vAlign w:val="center"/>
          </w:tcPr>
          <w:p>
            <w:pPr>
              <w:spacing w:before="20" w:after="20"/>
              <w:jc w:val="center"/>
              <w:rPr>
                <w:b/>
                <w:noProof/>
                <w:sz w:val="20"/>
              </w:rPr>
            </w:pPr>
            <w:r>
              <w:rPr>
                <w:b/>
                <w:noProof/>
                <w:sz w:val="20"/>
              </w:rPr>
              <w:t>p.m.</w:t>
            </w:r>
          </w:p>
        </w:tc>
      </w:tr>
      <w:tr>
        <w:trPr>
          <w:trHeight w:val="423"/>
        </w:trPr>
        <w:tc>
          <w:tcPr>
            <w:tcW w:w="39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914" w:type="dxa"/>
            <w:gridSpan w:val="2"/>
            <w:vAlign w:val="center"/>
          </w:tcPr>
          <w:p>
            <w:pPr>
              <w:spacing w:before="20" w:after="20"/>
              <w:jc w:val="center"/>
              <w:rPr>
                <w:noProof/>
                <w:sz w:val="14"/>
              </w:rPr>
            </w:pPr>
            <w:r>
              <w:rPr>
                <w:noProof/>
                <w:sz w:val="14"/>
              </w:rPr>
              <w:t>(2a)</w:t>
            </w:r>
          </w:p>
        </w:tc>
        <w:tc>
          <w:tcPr>
            <w:tcW w:w="992" w:type="dxa"/>
            <w:vAlign w:val="center"/>
          </w:tcPr>
          <w:p>
            <w:pPr>
              <w:spacing w:before="20" w:after="20"/>
              <w:jc w:val="center"/>
              <w:rPr>
                <w:noProof/>
                <w:sz w:val="20"/>
              </w:rPr>
            </w:pPr>
            <w:r>
              <w:rPr>
                <w:noProof/>
                <w:sz w:val="20"/>
                <w:szCs w:val="20"/>
              </w:rPr>
              <w:t>p.m.</w:t>
            </w:r>
          </w:p>
        </w:tc>
        <w:tc>
          <w:tcPr>
            <w:tcW w:w="851" w:type="dxa"/>
            <w:vAlign w:val="center"/>
          </w:tcPr>
          <w:p>
            <w:pPr>
              <w:spacing w:before="20" w:after="20"/>
              <w:jc w:val="center"/>
              <w:rPr>
                <w:noProof/>
                <w:sz w:val="20"/>
              </w:rPr>
            </w:pPr>
            <w:r>
              <w:rPr>
                <w:noProof/>
                <w:sz w:val="20"/>
                <w:szCs w:val="20"/>
              </w:rPr>
              <w:t>p.m.</w:t>
            </w:r>
          </w:p>
        </w:tc>
        <w:tc>
          <w:tcPr>
            <w:tcW w:w="850" w:type="dxa"/>
            <w:vAlign w:val="center"/>
          </w:tcPr>
          <w:p>
            <w:pPr>
              <w:spacing w:before="20" w:after="20"/>
              <w:jc w:val="center"/>
              <w:rPr>
                <w:noProof/>
                <w:sz w:val="20"/>
              </w:rPr>
            </w:pPr>
            <w:r>
              <w:rPr>
                <w:noProof/>
                <w:sz w:val="20"/>
                <w:szCs w:val="20"/>
              </w:rPr>
              <w:t>p.m.</w:t>
            </w:r>
          </w:p>
        </w:tc>
        <w:tc>
          <w:tcPr>
            <w:tcW w:w="992" w:type="dxa"/>
            <w:vAlign w:val="center"/>
          </w:tcPr>
          <w:p>
            <w:pPr>
              <w:spacing w:before="20" w:after="20"/>
              <w:jc w:val="center"/>
              <w:rPr>
                <w:noProof/>
                <w:sz w:val="20"/>
              </w:rPr>
            </w:pPr>
            <w:r>
              <w:rPr>
                <w:noProof/>
                <w:sz w:val="20"/>
                <w:szCs w:val="20"/>
              </w:rPr>
              <w:t>p.m.</w:t>
            </w:r>
          </w:p>
        </w:tc>
        <w:tc>
          <w:tcPr>
            <w:tcW w:w="993" w:type="dxa"/>
            <w:vAlign w:val="center"/>
          </w:tcPr>
          <w:p>
            <w:pPr>
              <w:spacing w:before="20" w:after="20"/>
              <w:jc w:val="center"/>
              <w:rPr>
                <w:noProof/>
              </w:rPr>
            </w:pPr>
            <w:r>
              <w:rPr>
                <w:noProof/>
                <w:sz w:val="20"/>
                <w:szCs w:val="20"/>
              </w:rPr>
              <w:t>p.m.</w:t>
            </w:r>
          </w:p>
        </w:tc>
        <w:tc>
          <w:tcPr>
            <w:tcW w:w="1701" w:type="dxa"/>
            <w:vAlign w:val="center"/>
          </w:tcPr>
          <w:p>
            <w:pPr>
              <w:spacing w:before="20" w:after="20"/>
              <w:jc w:val="center"/>
              <w:rPr>
                <w:b/>
                <w:noProof/>
                <w:sz w:val="20"/>
              </w:rPr>
            </w:pPr>
            <w:r>
              <w:rPr>
                <w:b/>
                <w:noProof/>
                <w:sz w:val="20"/>
              </w:rPr>
              <w:t>p.m.</w:t>
            </w:r>
          </w:p>
        </w:tc>
      </w:tr>
      <w:tr>
        <w:trPr>
          <w:trHeight w:val="231"/>
        </w:trPr>
        <w:tc>
          <w:tcPr>
            <w:tcW w:w="6314" w:type="dxa"/>
            <w:gridSpan w:val="4"/>
            <w:vAlign w:val="center"/>
          </w:tcPr>
          <w:p>
            <w:pPr>
              <w:spacing w:before="20" w:after="20"/>
              <w:rPr>
                <w:noProof/>
              </w:rPr>
            </w:pPr>
            <w:r>
              <w:rPr>
                <w:noProof/>
                <w:sz w:val="21"/>
              </w:rPr>
              <w:t>Administrativna odobrena sredstva koja se financiraju iz omotnice za posebne programe</w:t>
            </w:r>
            <w:r>
              <w:rPr>
                <w:rStyle w:val="FootnoteReference"/>
                <w:noProof/>
              </w:rPr>
              <w:footnoteReference w:id="13"/>
            </w:r>
            <w:r>
              <w:rPr>
                <w:noProof/>
                <w:sz w:val="21"/>
              </w:rPr>
              <w:t xml:space="preserve"> </w:t>
            </w:r>
          </w:p>
          <w:p>
            <w:pPr>
              <w:spacing w:after="0"/>
              <w:rPr>
                <w:noProof/>
              </w:rPr>
            </w:pPr>
          </w:p>
        </w:tc>
        <w:tc>
          <w:tcPr>
            <w:tcW w:w="992" w:type="dxa"/>
            <w:vAlign w:val="center"/>
          </w:tcPr>
          <w:p>
            <w:pPr>
              <w:jc w:val="center"/>
              <w:rPr>
                <w:b/>
                <w:noProof/>
                <w:sz w:val="20"/>
              </w:rPr>
            </w:pPr>
          </w:p>
        </w:tc>
        <w:tc>
          <w:tcPr>
            <w:tcW w:w="851" w:type="dxa"/>
            <w:vAlign w:val="center"/>
          </w:tcPr>
          <w:p>
            <w:pPr>
              <w:jc w:val="center"/>
              <w:rPr>
                <w:b/>
                <w:noProof/>
                <w:sz w:val="20"/>
              </w:rPr>
            </w:pPr>
          </w:p>
        </w:tc>
        <w:tc>
          <w:tcPr>
            <w:tcW w:w="850" w:type="dxa"/>
            <w:vAlign w:val="center"/>
          </w:tcPr>
          <w:p>
            <w:pPr>
              <w:jc w:val="center"/>
              <w:rPr>
                <w:b/>
                <w:noProof/>
                <w:sz w:val="20"/>
              </w:rPr>
            </w:pPr>
          </w:p>
        </w:tc>
        <w:tc>
          <w:tcPr>
            <w:tcW w:w="992" w:type="dxa"/>
            <w:vAlign w:val="center"/>
          </w:tcPr>
          <w:p>
            <w:pPr>
              <w:jc w:val="center"/>
              <w:rPr>
                <w:b/>
                <w:noProof/>
                <w:sz w:val="20"/>
              </w:rPr>
            </w:pPr>
          </w:p>
        </w:tc>
        <w:tc>
          <w:tcPr>
            <w:tcW w:w="993" w:type="dxa"/>
          </w:tcPr>
          <w:p>
            <w:pPr>
              <w:jc w:val="center"/>
              <w:rPr>
                <w:b/>
                <w:noProof/>
                <w:sz w:val="20"/>
              </w:rPr>
            </w:pPr>
          </w:p>
        </w:tc>
        <w:tc>
          <w:tcPr>
            <w:tcW w:w="1701" w:type="dxa"/>
            <w:vAlign w:val="center"/>
          </w:tcPr>
          <w:p>
            <w:pPr>
              <w:jc w:val="center"/>
              <w:rPr>
                <w:b/>
                <w:noProof/>
                <w:sz w:val="20"/>
              </w:rPr>
            </w:pPr>
          </w:p>
        </w:tc>
      </w:tr>
      <w:tr>
        <w:trPr>
          <w:trHeight w:val="319"/>
        </w:trPr>
        <w:tc>
          <w:tcPr>
            <w:tcW w:w="3960" w:type="dxa"/>
            <w:vAlign w:val="center"/>
          </w:tcPr>
          <w:p>
            <w:pPr>
              <w:spacing w:before="60" w:after="60"/>
              <w:rPr>
                <w:noProof/>
              </w:rPr>
            </w:pPr>
            <w:r>
              <w:rPr>
                <w:noProof/>
                <w:sz w:val="20"/>
              </w:rPr>
              <w:t>Proračunska linija</w:t>
            </w:r>
          </w:p>
        </w:tc>
        <w:tc>
          <w:tcPr>
            <w:tcW w:w="1440" w:type="dxa"/>
            <w:vAlign w:val="center"/>
          </w:tcPr>
          <w:p>
            <w:pPr>
              <w:spacing w:before="40" w:after="40"/>
              <w:jc w:val="right"/>
              <w:rPr>
                <w:noProof/>
                <w:sz w:val="18"/>
              </w:rPr>
            </w:pPr>
          </w:p>
        </w:tc>
        <w:tc>
          <w:tcPr>
            <w:tcW w:w="914" w:type="dxa"/>
            <w:gridSpan w:val="2"/>
            <w:vAlign w:val="center"/>
          </w:tcPr>
          <w:p>
            <w:pPr>
              <w:spacing w:before="40" w:after="40"/>
              <w:jc w:val="center"/>
              <w:rPr>
                <w:noProof/>
                <w:sz w:val="14"/>
              </w:rPr>
            </w:pPr>
            <w:r>
              <w:rPr>
                <w:noProof/>
                <w:sz w:val="14"/>
              </w:rPr>
              <w:t>(3)</w:t>
            </w:r>
          </w:p>
        </w:tc>
        <w:tc>
          <w:tcPr>
            <w:tcW w:w="992" w:type="dxa"/>
            <w:vAlign w:val="center"/>
          </w:tcPr>
          <w:p>
            <w:pPr>
              <w:spacing w:before="40" w:after="40"/>
              <w:jc w:val="center"/>
              <w:rPr>
                <w:b/>
                <w:noProof/>
                <w:sz w:val="20"/>
              </w:rPr>
            </w:pPr>
            <w:r>
              <w:rPr>
                <w:noProof/>
                <w:sz w:val="20"/>
                <w:szCs w:val="20"/>
              </w:rPr>
              <w:t>p.m.</w:t>
            </w:r>
          </w:p>
        </w:tc>
        <w:tc>
          <w:tcPr>
            <w:tcW w:w="851" w:type="dxa"/>
            <w:vAlign w:val="center"/>
          </w:tcPr>
          <w:p>
            <w:pPr>
              <w:spacing w:before="40" w:after="40"/>
              <w:jc w:val="center"/>
              <w:rPr>
                <w:b/>
                <w:noProof/>
                <w:sz w:val="20"/>
              </w:rPr>
            </w:pPr>
            <w:r>
              <w:rPr>
                <w:noProof/>
                <w:sz w:val="20"/>
                <w:szCs w:val="20"/>
              </w:rPr>
              <w:t>p.m.</w:t>
            </w:r>
          </w:p>
        </w:tc>
        <w:tc>
          <w:tcPr>
            <w:tcW w:w="850" w:type="dxa"/>
            <w:vAlign w:val="center"/>
          </w:tcPr>
          <w:p>
            <w:pPr>
              <w:spacing w:before="40" w:after="40"/>
              <w:jc w:val="center"/>
              <w:rPr>
                <w:b/>
                <w:noProof/>
                <w:sz w:val="20"/>
              </w:rPr>
            </w:pPr>
            <w:r>
              <w:rPr>
                <w:noProof/>
                <w:sz w:val="20"/>
                <w:szCs w:val="20"/>
              </w:rPr>
              <w:t>p.m.</w:t>
            </w:r>
          </w:p>
        </w:tc>
        <w:tc>
          <w:tcPr>
            <w:tcW w:w="992" w:type="dxa"/>
            <w:vAlign w:val="center"/>
          </w:tcPr>
          <w:p>
            <w:pPr>
              <w:spacing w:before="40" w:after="40"/>
              <w:jc w:val="center"/>
              <w:rPr>
                <w:b/>
                <w:noProof/>
                <w:sz w:val="20"/>
              </w:rPr>
            </w:pPr>
            <w:r>
              <w:rPr>
                <w:noProof/>
                <w:sz w:val="20"/>
                <w:szCs w:val="20"/>
              </w:rPr>
              <w:t>p.m.</w:t>
            </w:r>
          </w:p>
        </w:tc>
        <w:tc>
          <w:tcPr>
            <w:tcW w:w="993" w:type="dxa"/>
            <w:vAlign w:val="center"/>
          </w:tcPr>
          <w:p>
            <w:pPr>
              <w:spacing w:before="40" w:after="40"/>
              <w:jc w:val="center"/>
              <w:rPr>
                <w:b/>
                <w:noProof/>
                <w:sz w:val="20"/>
              </w:rPr>
            </w:pPr>
          </w:p>
        </w:tc>
        <w:tc>
          <w:tcPr>
            <w:tcW w:w="1701" w:type="dxa"/>
            <w:vAlign w:val="center"/>
          </w:tcPr>
          <w:p>
            <w:pPr>
              <w:spacing w:before="40" w:after="40"/>
              <w:jc w:val="center"/>
              <w:rPr>
                <w:b/>
                <w:noProof/>
                <w:sz w:val="20"/>
              </w:rPr>
            </w:pPr>
            <w:r>
              <w:rPr>
                <w:b/>
                <w:noProof/>
                <w:sz w:val="20"/>
              </w:rPr>
              <w:t>p.m.</w:t>
            </w:r>
          </w:p>
        </w:tc>
      </w:tr>
      <w:tr>
        <w:tc>
          <w:tcPr>
            <w:tcW w:w="3960" w:type="dxa"/>
            <w:vMerge w:val="restart"/>
            <w:vAlign w:val="center"/>
          </w:tcPr>
          <w:p>
            <w:pPr>
              <w:jc w:val="center"/>
              <w:rPr>
                <w:b/>
                <w:noProof/>
              </w:rPr>
            </w:pPr>
            <w:r>
              <w:rPr>
                <w:b/>
                <w:noProof/>
              </w:rPr>
              <w:t>UKUPNA odobrena sredstva</w:t>
            </w:r>
            <w:r>
              <w:rPr>
                <w:noProof/>
              </w:rPr>
              <w:br/>
            </w:r>
            <w:r>
              <w:rPr>
                <w:b/>
                <w:noProof/>
              </w:rPr>
              <w:t>za GU</w:t>
            </w:r>
            <w:r>
              <w:rPr>
                <w:noProof/>
              </w:rPr>
              <w:t xml:space="preserve"> JRC</w:t>
            </w:r>
          </w:p>
        </w:tc>
        <w:tc>
          <w:tcPr>
            <w:tcW w:w="1440" w:type="dxa"/>
            <w:vAlign w:val="center"/>
          </w:tcPr>
          <w:p>
            <w:pPr>
              <w:rPr>
                <w:noProof/>
                <w:sz w:val="18"/>
              </w:rPr>
            </w:pPr>
            <w:r>
              <w:rPr>
                <w:noProof/>
                <w:sz w:val="18"/>
              </w:rPr>
              <w:t>Obveze</w:t>
            </w:r>
          </w:p>
        </w:tc>
        <w:tc>
          <w:tcPr>
            <w:tcW w:w="914" w:type="dxa"/>
            <w:gridSpan w:val="2"/>
            <w:vAlign w:val="center"/>
          </w:tcPr>
          <w:p>
            <w:pPr>
              <w:jc w:val="center"/>
              <w:rPr>
                <w:noProof/>
                <w:sz w:val="14"/>
              </w:rPr>
            </w:pPr>
            <w:r>
              <w:rPr>
                <w:noProof/>
                <w:sz w:val="14"/>
              </w:rPr>
              <w:t>= 1a + 1b +3</w:t>
            </w:r>
          </w:p>
        </w:tc>
        <w:tc>
          <w:tcPr>
            <w:tcW w:w="992" w:type="dxa"/>
            <w:vAlign w:val="center"/>
          </w:tcPr>
          <w:p>
            <w:pPr>
              <w:spacing w:before="20" w:after="20"/>
              <w:jc w:val="center"/>
              <w:rPr>
                <w:noProof/>
                <w:sz w:val="20"/>
              </w:rPr>
            </w:pPr>
            <w:r>
              <w:rPr>
                <w:noProof/>
                <w:sz w:val="20"/>
                <w:szCs w:val="20"/>
              </w:rPr>
              <w:t>p.m.</w:t>
            </w:r>
          </w:p>
        </w:tc>
        <w:tc>
          <w:tcPr>
            <w:tcW w:w="851" w:type="dxa"/>
            <w:vAlign w:val="center"/>
          </w:tcPr>
          <w:p>
            <w:pPr>
              <w:spacing w:before="20" w:after="20"/>
              <w:jc w:val="center"/>
              <w:rPr>
                <w:noProof/>
                <w:sz w:val="20"/>
              </w:rPr>
            </w:pPr>
            <w:r>
              <w:rPr>
                <w:noProof/>
                <w:sz w:val="20"/>
                <w:szCs w:val="20"/>
              </w:rPr>
              <w:t>p.m.</w:t>
            </w:r>
          </w:p>
        </w:tc>
        <w:tc>
          <w:tcPr>
            <w:tcW w:w="850" w:type="dxa"/>
            <w:vAlign w:val="center"/>
          </w:tcPr>
          <w:p>
            <w:pPr>
              <w:spacing w:before="20" w:after="20"/>
              <w:jc w:val="center"/>
              <w:rPr>
                <w:noProof/>
                <w:sz w:val="20"/>
              </w:rPr>
            </w:pPr>
            <w:r>
              <w:rPr>
                <w:noProof/>
                <w:sz w:val="20"/>
                <w:szCs w:val="20"/>
              </w:rPr>
              <w:t>p.m.</w:t>
            </w:r>
          </w:p>
        </w:tc>
        <w:tc>
          <w:tcPr>
            <w:tcW w:w="992" w:type="dxa"/>
            <w:vAlign w:val="center"/>
          </w:tcPr>
          <w:p>
            <w:pPr>
              <w:spacing w:before="20" w:after="20"/>
              <w:jc w:val="center"/>
              <w:rPr>
                <w:noProof/>
                <w:sz w:val="20"/>
              </w:rPr>
            </w:pPr>
            <w:r>
              <w:rPr>
                <w:noProof/>
                <w:sz w:val="20"/>
                <w:szCs w:val="20"/>
              </w:rPr>
              <w:t>p.m.</w:t>
            </w:r>
          </w:p>
        </w:tc>
        <w:tc>
          <w:tcPr>
            <w:tcW w:w="993" w:type="dxa"/>
            <w:vAlign w:val="center"/>
          </w:tcPr>
          <w:p>
            <w:pPr>
              <w:spacing w:before="20" w:after="20"/>
              <w:jc w:val="center"/>
              <w:rPr>
                <w:b/>
                <w:noProof/>
                <w:sz w:val="20"/>
              </w:rPr>
            </w:pPr>
            <w:r>
              <w:rPr>
                <w:noProof/>
                <w:sz w:val="20"/>
                <w:szCs w:val="20"/>
              </w:rPr>
              <w:t>.</w:t>
            </w:r>
          </w:p>
        </w:tc>
        <w:tc>
          <w:tcPr>
            <w:tcW w:w="1701" w:type="dxa"/>
            <w:vAlign w:val="center"/>
          </w:tcPr>
          <w:p>
            <w:pPr>
              <w:spacing w:before="20" w:after="20"/>
              <w:jc w:val="center"/>
              <w:rPr>
                <w:b/>
                <w:noProof/>
                <w:sz w:val="20"/>
              </w:rPr>
            </w:pPr>
            <w:r>
              <w:rPr>
                <w:b/>
                <w:noProof/>
                <w:sz w:val="20"/>
              </w:rPr>
              <w:t>p.m.</w:t>
            </w:r>
          </w:p>
        </w:tc>
      </w:tr>
      <w:tr>
        <w:tc>
          <w:tcPr>
            <w:tcW w:w="3960" w:type="dxa"/>
            <w:vMerge/>
          </w:tcPr>
          <w:p>
            <w:pPr>
              <w:rPr>
                <w:noProof/>
                <w:sz w:val="20"/>
              </w:rPr>
            </w:pPr>
          </w:p>
        </w:tc>
        <w:tc>
          <w:tcPr>
            <w:tcW w:w="1440" w:type="dxa"/>
            <w:vAlign w:val="center"/>
          </w:tcPr>
          <w:p>
            <w:pPr>
              <w:rPr>
                <w:noProof/>
                <w:sz w:val="18"/>
              </w:rPr>
            </w:pPr>
            <w:r>
              <w:rPr>
                <w:noProof/>
                <w:sz w:val="18"/>
              </w:rPr>
              <w:t>Plaćanja</w:t>
            </w:r>
          </w:p>
        </w:tc>
        <w:tc>
          <w:tcPr>
            <w:tcW w:w="914" w:type="dxa"/>
            <w:gridSpan w:val="2"/>
            <w:vAlign w:val="center"/>
          </w:tcPr>
          <w:p>
            <w:pPr>
              <w:jc w:val="center"/>
              <w:rPr>
                <w:noProof/>
                <w:sz w:val="14"/>
              </w:rPr>
            </w:pPr>
            <w:r>
              <w:rPr>
                <w:noProof/>
                <w:sz w:val="14"/>
              </w:rPr>
              <w:t>= 2a + 2b</w:t>
            </w:r>
          </w:p>
          <w:p>
            <w:pPr>
              <w:jc w:val="center"/>
              <w:rPr>
                <w:noProof/>
                <w:sz w:val="14"/>
              </w:rPr>
            </w:pPr>
            <w:r>
              <w:rPr>
                <w:noProof/>
                <w:sz w:val="14"/>
              </w:rPr>
              <w:t>+3</w:t>
            </w:r>
          </w:p>
        </w:tc>
        <w:tc>
          <w:tcPr>
            <w:tcW w:w="992" w:type="dxa"/>
            <w:vAlign w:val="center"/>
          </w:tcPr>
          <w:p>
            <w:pPr>
              <w:spacing w:before="20" w:after="20"/>
              <w:jc w:val="center"/>
              <w:rPr>
                <w:noProof/>
                <w:sz w:val="20"/>
              </w:rPr>
            </w:pPr>
            <w:r>
              <w:rPr>
                <w:noProof/>
                <w:sz w:val="20"/>
                <w:szCs w:val="20"/>
              </w:rPr>
              <w:t>p.m.</w:t>
            </w:r>
          </w:p>
        </w:tc>
        <w:tc>
          <w:tcPr>
            <w:tcW w:w="851" w:type="dxa"/>
            <w:vAlign w:val="center"/>
          </w:tcPr>
          <w:p>
            <w:pPr>
              <w:spacing w:before="20" w:after="20"/>
              <w:jc w:val="center"/>
              <w:rPr>
                <w:noProof/>
                <w:sz w:val="20"/>
              </w:rPr>
            </w:pPr>
            <w:r>
              <w:rPr>
                <w:noProof/>
                <w:sz w:val="20"/>
                <w:szCs w:val="20"/>
              </w:rPr>
              <w:t>p.m.</w:t>
            </w:r>
          </w:p>
        </w:tc>
        <w:tc>
          <w:tcPr>
            <w:tcW w:w="850" w:type="dxa"/>
            <w:vAlign w:val="center"/>
          </w:tcPr>
          <w:p>
            <w:pPr>
              <w:spacing w:before="20" w:after="20"/>
              <w:jc w:val="center"/>
              <w:rPr>
                <w:noProof/>
                <w:sz w:val="20"/>
              </w:rPr>
            </w:pPr>
            <w:r>
              <w:rPr>
                <w:noProof/>
                <w:sz w:val="20"/>
                <w:szCs w:val="20"/>
              </w:rPr>
              <w:t>p.m.</w:t>
            </w:r>
          </w:p>
        </w:tc>
        <w:tc>
          <w:tcPr>
            <w:tcW w:w="992" w:type="dxa"/>
            <w:vAlign w:val="center"/>
          </w:tcPr>
          <w:p>
            <w:pPr>
              <w:spacing w:before="20" w:after="20"/>
              <w:jc w:val="center"/>
              <w:rPr>
                <w:noProof/>
                <w:sz w:val="20"/>
              </w:rPr>
            </w:pPr>
            <w:r>
              <w:rPr>
                <w:noProof/>
                <w:sz w:val="20"/>
                <w:szCs w:val="20"/>
              </w:rPr>
              <w:t>p.m.</w:t>
            </w:r>
          </w:p>
        </w:tc>
        <w:tc>
          <w:tcPr>
            <w:tcW w:w="993" w:type="dxa"/>
            <w:vAlign w:val="center"/>
          </w:tcPr>
          <w:p>
            <w:pPr>
              <w:spacing w:before="20" w:after="20"/>
              <w:jc w:val="center"/>
              <w:rPr>
                <w:b/>
                <w:noProof/>
                <w:sz w:val="20"/>
              </w:rPr>
            </w:pPr>
            <w:r>
              <w:rPr>
                <w:noProof/>
                <w:sz w:val="20"/>
                <w:szCs w:val="20"/>
              </w:rPr>
              <w:t>p.m</w:t>
            </w:r>
          </w:p>
        </w:tc>
        <w:tc>
          <w:tcPr>
            <w:tcW w:w="1701" w:type="dxa"/>
            <w:vAlign w:val="center"/>
          </w:tcPr>
          <w:p>
            <w:pPr>
              <w:spacing w:before="20" w:after="20"/>
              <w:jc w:val="center"/>
              <w:rPr>
                <w:b/>
                <w:noProof/>
                <w:sz w:val="20"/>
              </w:rPr>
            </w:pPr>
            <w:r>
              <w:rPr>
                <w:b/>
                <w:noProof/>
                <w:sz w:val="20"/>
              </w:rPr>
              <w:t>p.m.</w:t>
            </w: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914"/>
        <w:gridCol w:w="850"/>
        <w:gridCol w:w="993"/>
        <w:gridCol w:w="850"/>
        <w:gridCol w:w="992"/>
        <w:gridCol w:w="992"/>
        <w:gridCol w:w="170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UKUPNA odobrena sredstva za poslovanje </w:t>
            </w:r>
          </w:p>
        </w:tc>
        <w:tc>
          <w:tcPr>
            <w:tcW w:w="1440" w:type="dxa"/>
            <w:vAlign w:val="center"/>
          </w:tcPr>
          <w:p>
            <w:pPr>
              <w:spacing w:beforeLines="20" w:before="48" w:afterLines="20" w:after="48"/>
              <w:rPr>
                <w:noProof/>
                <w:sz w:val="18"/>
              </w:rPr>
            </w:pPr>
            <w:r>
              <w:rPr>
                <w:noProof/>
                <w:sz w:val="18"/>
              </w:rPr>
              <w:t>Obveze</w:t>
            </w:r>
          </w:p>
        </w:tc>
        <w:tc>
          <w:tcPr>
            <w:tcW w:w="914" w:type="dxa"/>
            <w:vAlign w:val="center"/>
          </w:tcPr>
          <w:p>
            <w:pPr>
              <w:spacing w:beforeLines="20" w:before="48" w:afterLines="20" w:after="48"/>
              <w:jc w:val="center"/>
              <w:rPr>
                <w:noProof/>
                <w:sz w:val="14"/>
              </w:rPr>
            </w:pPr>
            <w:r>
              <w:rPr>
                <w:noProof/>
                <w:sz w:val="14"/>
              </w:rPr>
              <w:t>(4)</w:t>
            </w:r>
          </w:p>
        </w:tc>
        <w:tc>
          <w:tcPr>
            <w:tcW w:w="850" w:type="dxa"/>
            <w:vAlign w:val="center"/>
          </w:tcPr>
          <w:p>
            <w:pPr>
              <w:spacing w:before="20" w:after="20"/>
              <w:jc w:val="right"/>
              <w:rPr>
                <w:noProof/>
                <w:sz w:val="20"/>
              </w:rPr>
            </w:pPr>
            <w:r>
              <w:rPr>
                <w:noProof/>
                <w:sz w:val="20"/>
                <w:szCs w:val="20"/>
              </w:rPr>
              <w:t>p.m.</w:t>
            </w:r>
          </w:p>
        </w:tc>
        <w:tc>
          <w:tcPr>
            <w:tcW w:w="993" w:type="dxa"/>
            <w:vAlign w:val="center"/>
          </w:tcPr>
          <w:p>
            <w:pPr>
              <w:spacing w:before="20" w:after="20"/>
              <w:jc w:val="right"/>
              <w:rPr>
                <w:noProof/>
                <w:sz w:val="20"/>
              </w:rPr>
            </w:pPr>
            <w:r>
              <w:rPr>
                <w:noProof/>
                <w:sz w:val="20"/>
                <w:szCs w:val="20"/>
              </w:rPr>
              <w:t>p.m.</w:t>
            </w:r>
          </w:p>
        </w:tc>
        <w:tc>
          <w:tcPr>
            <w:tcW w:w="850" w:type="dxa"/>
            <w:vAlign w:val="center"/>
          </w:tcPr>
          <w:p>
            <w:pPr>
              <w:spacing w:before="20" w:after="20"/>
              <w:jc w:val="right"/>
              <w:rPr>
                <w:noProof/>
                <w:sz w:val="20"/>
              </w:rPr>
            </w:pPr>
            <w:r>
              <w:rPr>
                <w:noProof/>
                <w:sz w:val="20"/>
                <w:szCs w:val="20"/>
              </w:rPr>
              <w:t>p.m.</w:t>
            </w:r>
          </w:p>
        </w:tc>
        <w:tc>
          <w:tcPr>
            <w:tcW w:w="992" w:type="dxa"/>
          </w:tcPr>
          <w:p>
            <w:pPr>
              <w:spacing w:before="20" w:after="20"/>
              <w:jc w:val="right"/>
              <w:rPr>
                <w:rFonts w:eastAsia="Times New Roman"/>
                <w:noProof/>
                <w:sz w:val="20"/>
                <w:szCs w:val="20"/>
              </w:rPr>
            </w:pPr>
            <w:r>
              <w:rPr>
                <w:noProof/>
                <w:sz w:val="20"/>
                <w:szCs w:val="20"/>
              </w:rPr>
              <w:t>p.m.</w:t>
            </w:r>
          </w:p>
        </w:tc>
        <w:tc>
          <w:tcPr>
            <w:tcW w:w="992" w:type="dxa"/>
            <w:vAlign w:val="center"/>
          </w:tcPr>
          <w:p>
            <w:pPr>
              <w:spacing w:before="20" w:after="20"/>
              <w:jc w:val="right"/>
              <w:rPr>
                <w:noProof/>
                <w:sz w:val="20"/>
              </w:rPr>
            </w:pPr>
          </w:p>
        </w:tc>
        <w:tc>
          <w:tcPr>
            <w:tcW w:w="1702" w:type="dxa"/>
            <w:vAlign w:val="center"/>
          </w:tcPr>
          <w:p>
            <w:pPr>
              <w:spacing w:before="20" w:after="20"/>
              <w:jc w:val="center"/>
              <w:rPr>
                <w:b/>
                <w:noProof/>
                <w:sz w:val="20"/>
              </w:rPr>
            </w:pPr>
            <w:r>
              <w:rPr>
                <w:b/>
                <w:noProof/>
                <w:sz w:val="20"/>
                <w:szCs w:val="20"/>
              </w:rPr>
              <w:t>p.m.</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Plaćanja</w:t>
            </w:r>
          </w:p>
        </w:tc>
        <w:tc>
          <w:tcPr>
            <w:tcW w:w="914" w:type="dxa"/>
            <w:vAlign w:val="center"/>
          </w:tcPr>
          <w:p>
            <w:pPr>
              <w:spacing w:beforeLines="20" w:before="48" w:afterLines="20" w:after="48"/>
              <w:jc w:val="center"/>
              <w:rPr>
                <w:noProof/>
                <w:sz w:val="14"/>
              </w:rPr>
            </w:pPr>
            <w:r>
              <w:rPr>
                <w:noProof/>
                <w:sz w:val="14"/>
              </w:rPr>
              <w:t>(5)</w:t>
            </w:r>
          </w:p>
        </w:tc>
        <w:tc>
          <w:tcPr>
            <w:tcW w:w="850" w:type="dxa"/>
            <w:vAlign w:val="center"/>
          </w:tcPr>
          <w:p>
            <w:pPr>
              <w:spacing w:before="20" w:after="20"/>
              <w:jc w:val="right"/>
              <w:rPr>
                <w:noProof/>
                <w:sz w:val="20"/>
              </w:rPr>
            </w:pPr>
            <w:r>
              <w:rPr>
                <w:noProof/>
                <w:sz w:val="20"/>
                <w:szCs w:val="20"/>
              </w:rPr>
              <w:t>p.m.</w:t>
            </w:r>
          </w:p>
        </w:tc>
        <w:tc>
          <w:tcPr>
            <w:tcW w:w="993" w:type="dxa"/>
            <w:vAlign w:val="center"/>
          </w:tcPr>
          <w:p>
            <w:pPr>
              <w:spacing w:before="20" w:after="20"/>
              <w:jc w:val="right"/>
              <w:rPr>
                <w:noProof/>
                <w:sz w:val="20"/>
              </w:rPr>
            </w:pPr>
            <w:r>
              <w:rPr>
                <w:noProof/>
                <w:sz w:val="20"/>
                <w:szCs w:val="20"/>
              </w:rPr>
              <w:t>p.m.</w:t>
            </w:r>
          </w:p>
        </w:tc>
        <w:tc>
          <w:tcPr>
            <w:tcW w:w="850" w:type="dxa"/>
            <w:vAlign w:val="center"/>
          </w:tcPr>
          <w:p>
            <w:pPr>
              <w:spacing w:before="20" w:after="20"/>
              <w:jc w:val="right"/>
              <w:rPr>
                <w:noProof/>
                <w:sz w:val="20"/>
              </w:rPr>
            </w:pPr>
            <w:r>
              <w:rPr>
                <w:noProof/>
                <w:sz w:val="20"/>
                <w:szCs w:val="20"/>
              </w:rPr>
              <w:t>p.m.</w:t>
            </w:r>
          </w:p>
        </w:tc>
        <w:tc>
          <w:tcPr>
            <w:tcW w:w="992" w:type="dxa"/>
          </w:tcPr>
          <w:p>
            <w:pPr>
              <w:spacing w:before="20" w:after="20"/>
              <w:jc w:val="right"/>
              <w:rPr>
                <w:rFonts w:eastAsia="Times New Roman"/>
                <w:noProof/>
                <w:sz w:val="20"/>
                <w:szCs w:val="20"/>
              </w:rPr>
            </w:pPr>
            <w:r>
              <w:rPr>
                <w:noProof/>
                <w:sz w:val="20"/>
                <w:szCs w:val="20"/>
              </w:rPr>
              <w:t>p.m.</w:t>
            </w:r>
          </w:p>
        </w:tc>
        <w:tc>
          <w:tcPr>
            <w:tcW w:w="992" w:type="dxa"/>
            <w:vAlign w:val="center"/>
          </w:tcPr>
          <w:p>
            <w:pPr>
              <w:spacing w:before="20" w:after="20"/>
              <w:jc w:val="right"/>
              <w:rPr>
                <w:noProof/>
                <w:sz w:val="20"/>
              </w:rPr>
            </w:pPr>
            <w:r>
              <w:rPr>
                <w:noProof/>
                <w:sz w:val="20"/>
                <w:szCs w:val="20"/>
              </w:rPr>
              <w:t>p.m.</w:t>
            </w:r>
          </w:p>
        </w:tc>
        <w:tc>
          <w:tcPr>
            <w:tcW w:w="1702" w:type="dxa"/>
            <w:vAlign w:val="center"/>
          </w:tcPr>
          <w:p>
            <w:pPr>
              <w:spacing w:before="20" w:after="20"/>
              <w:jc w:val="center"/>
              <w:rPr>
                <w:b/>
                <w:noProof/>
                <w:sz w:val="20"/>
              </w:rPr>
            </w:pPr>
            <w:r>
              <w:rPr>
                <w:b/>
                <w:noProof/>
                <w:sz w:val="20"/>
                <w:szCs w:val="20"/>
              </w:rPr>
              <w:t>p.m.</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UKUPNA administrativna odobrena sredstva koja se financiraju iz omotnice za posebne programe </w:t>
            </w:r>
          </w:p>
        </w:tc>
        <w:tc>
          <w:tcPr>
            <w:tcW w:w="914" w:type="dxa"/>
            <w:vAlign w:val="center"/>
          </w:tcPr>
          <w:p>
            <w:pPr>
              <w:spacing w:beforeLines="20" w:before="48" w:afterLines="20" w:after="48"/>
              <w:jc w:val="center"/>
              <w:rPr>
                <w:noProof/>
                <w:sz w:val="14"/>
              </w:rPr>
            </w:pPr>
            <w:r>
              <w:rPr>
                <w:noProof/>
                <w:sz w:val="14"/>
              </w:rPr>
              <w:t>(6)</w:t>
            </w:r>
          </w:p>
        </w:tc>
        <w:tc>
          <w:tcPr>
            <w:tcW w:w="850" w:type="dxa"/>
            <w:vAlign w:val="center"/>
          </w:tcPr>
          <w:p>
            <w:pPr>
              <w:spacing w:before="20" w:after="20"/>
              <w:jc w:val="right"/>
              <w:rPr>
                <w:noProof/>
                <w:sz w:val="20"/>
              </w:rPr>
            </w:pPr>
            <w:r>
              <w:rPr>
                <w:noProof/>
                <w:sz w:val="20"/>
              </w:rPr>
              <w:t>p.m.</w:t>
            </w:r>
          </w:p>
        </w:tc>
        <w:tc>
          <w:tcPr>
            <w:tcW w:w="993" w:type="dxa"/>
            <w:vAlign w:val="center"/>
          </w:tcPr>
          <w:p>
            <w:pPr>
              <w:spacing w:before="20" w:after="20"/>
              <w:jc w:val="right"/>
              <w:rPr>
                <w:b/>
                <w:noProof/>
                <w:sz w:val="20"/>
              </w:rPr>
            </w:pPr>
            <w:r>
              <w:rPr>
                <w:noProof/>
                <w:sz w:val="20"/>
                <w:szCs w:val="20"/>
              </w:rPr>
              <w:t>p.m.</w:t>
            </w:r>
          </w:p>
        </w:tc>
        <w:tc>
          <w:tcPr>
            <w:tcW w:w="850" w:type="dxa"/>
            <w:vAlign w:val="center"/>
          </w:tcPr>
          <w:p>
            <w:pPr>
              <w:spacing w:before="20" w:after="20"/>
              <w:jc w:val="right"/>
              <w:rPr>
                <w:b/>
                <w:noProof/>
                <w:sz w:val="20"/>
              </w:rPr>
            </w:pPr>
            <w:r>
              <w:rPr>
                <w:noProof/>
                <w:sz w:val="20"/>
                <w:szCs w:val="20"/>
              </w:rPr>
              <w:t>p.m.</w:t>
            </w:r>
          </w:p>
        </w:tc>
        <w:tc>
          <w:tcPr>
            <w:tcW w:w="992" w:type="dxa"/>
          </w:tcPr>
          <w:p>
            <w:pPr>
              <w:spacing w:before="20" w:after="20"/>
              <w:jc w:val="right"/>
              <w:rPr>
                <w:rFonts w:eastAsia="Times New Roman"/>
                <w:noProof/>
                <w:sz w:val="20"/>
                <w:szCs w:val="20"/>
              </w:rPr>
            </w:pPr>
            <w:r>
              <w:rPr>
                <w:noProof/>
                <w:sz w:val="20"/>
                <w:szCs w:val="20"/>
              </w:rPr>
              <w:t>p.m.</w:t>
            </w:r>
          </w:p>
        </w:tc>
        <w:tc>
          <w:tcPr>
            <w:tcW w:w="992" w:type="dxa"/>
            <w:vAlign w:val="center"/>
          </w:tcPr>
          <w:p>
            <w:pPr>
              <w:spacing w:before="20" w:after="20"/>
              <w:jc w:val="right"/>
              <w:rPr>
                <w:b/>
                <w:noProof/>
                <w:sz w:val="20"/>
              </w:rPr>
            </w:pPr>
            <w:r>
              <w:rPr>
                <w:noProof/>
                <w:sz w:val="20"/>
                <w:szCs w:val="20"/>
              </w:rPr>
              <w:t xml:space="preserve"> </w:t>
            </w:r>
          </w:p>
        </w:tc>
        <w:tc>
          <w:tcPr>
            <w:tcW w:w="1702" w:type="dxa"/>
            <w:vAlign w:val="center"/>
          </w:tcPr>
          <w:p>
            <w:pPr>
              <w:spacing w:before="20" w:after="20"/>
              <w:jc w:val="center"/>
              <w:rPr>
                <w:b/>
                <w:noProof/>
                <w:sz w:val="20"/>
              </w:rPr>
            </w:pPr>
            <w:r>
              <w:rPr>
                <w:b/>
                <w:noProof/>
                <w:sz w:val="20"/>
                <w:szCs w:val="20"/>
              </w:rPr>
              <w:t>p.m.</w:t>
            </w:r>
          </w:p>
        </w:tc>
      </w:tr>
      <w:tr>
        <w:tc>
          <w:tcPr>
            <w:tcW w:w="3960" w:type="dxa"/>
            <w:vMerge w:val="restart"/>
            <w:shd w:val="thinDiagStripe" w:color="C0C0C0" w:fill="auto"/>
            <w:vAlign w:val="center"/>
          </w:tcPr>
          <w:p>
            <w:pPr>
              <w:jc w:val="center"/>
              <w:rPr>
                <w:b/>
                <w:noProof/>
              </w:rPr>
            </w:pPr>
            <w:r>
              <w:rPr>
                <w:b/>
                <w:noProof/>
              </w:rPr>
              <w:t xml:space="preserve">UKUPNA odobrena sredstva </w:t>
            </w:r>
            <w:r>
              <w:rPr>
                <w:noProof/>
              </w:rPr>
              <w:br/>
            </w:r>
            <w:r>
              <w:rPr>
                <w:b/>
                <w:noProof/>
              </w:rPr>
              <w:t>iz NASLOVA 1a</w:t>
            </w:r>
          </w:p>
          <w:p>
            <w:pPr>
              <w:jc w:val="center"/>
              <w:rPr>
                <w:b/>
                <w:noProof/>
              </w:rPr>
            </w:pPr>
            <w:r>
              <w:rPr>
                <w:noProof/>
              </w:rPr>
              <w:t>višegodišnjeg financijskog okvira</w:t>
            </w:r>
          </w:p>
        </w:tc>
        <w:tc>
          <w:tcPr>
            <w:tcW w:w="1440" w:type="dxa"/>
            <w:vAlign w:val="center"/>
          </w:tcPr>
          <w:p>
            <w:pPr>
              <w:rPr>
                <w:noProof/>
                <w:sz w:val="18"/>
              </w:rPr>
            </w:pPr>
            <w:r>
              <w:rPr>
                <w:noProof/>
                <w:sz w:val="18"/>
              </w:rPr>
              <w:t>Obveze</w:t>
            </w:r>
          </w:p>
        </w:tc>
        <w:tc>
          <w:tcPr>
            <w:tcW w:w="914" w:type="dxa"/>
            <w:vAlign w:val="center"/>
          </w:tcPr>
          <w:p>
            <w:pPr>
              <w:jc w:val="center"/>
              <w:rPr>
                <w:noProof/>
                <w:sz w:val="14"/>
              </w:rPr>
            </w:pPr>
            <w:r>
              <w:rPr>
                <w:noProof/>
                <w:sz w:val="14"/>
              </w:rPr>
              <w:t>= 4 + 6</w:t>
            </w:r>
          </w:p>
        </w:tc>
        <w:tc>
          <w:tcPr>
            <w:tcW w:w="850" w:type="dxa"/>
            <w:vAlign w:val="center"/>
          </w:tcPr>
          <w:p>
            <w:pPr>
              <w:spacing w:before="20" w:after="20"/>
              <w:jc w:val="right"/>
              <w:rPr>
                <w:noProof/>
                <w:sz w:val="20"/>
              </w:rPr>
            </w:pPr>
            <w:r>
              <w:rPr>
                <w:noProof/>
                <w:sz w:val="20"/>
                <w:szCs w:val="20"/>
              </w:rPr>
              <w:t>p.m.</w:t>
            </w:r>
          </w:p>
        </w:tc>
        <w:tc>
          <w:tcPr>
            <w:tcW w:w="993" w:type="dxa"/>
            <w:vAlign w:val="center"/>
          </w:tcPr>
          <w:p>
            <w:pPr>
              <w:spacing w:before="20" w:after="20"/>
              <w:jc w:val="right"/>
              <w:rPr>
                <w:noProof/>
                <w:sz w:val="20"/>
              </w:rPr>
            </w:pPr>
            <w:r>
              <w:rPr>
                <w:noProof/>
                <w:sz w:val="20"/>
                <w:szCs w:val="20"/>
              </w:rPr>
              <w:t>p.m.</w:t>
            </w:r>
          </w:p>
        </w:tc>
        <w:tc>
          <w:tcPr>
            <w:tcW w:w="850" w:type="dxa"/>
            <w:vAlign w:val="center"/>
          </w:tcPr>
          <w:p>
            <w:pPr>
              <w:spacing w:before="20" w:after="20"/>
              <w:jc w:val="right"/>
              <w:rPr>
                <w:noProof/>
                <w:sz w:val="20"/>
              </w:rPr>
            </w:pPr>
            <w:r>
              <w:rPr>
                <w:noProof/>
                <w:sz w:val="20"/>
                <w:szCs w:val="20"/>
              </w:rPr>
              <w:t>p.m.</w:t>
            </w:r>
          </w:p>
        </w:tc>
        <w:tc>
          <w:tcPr>
            <w:tcW w:w="992" w:type="dxa"/>
          </w:tcPr>
          <w:p>
            <w:pPr>
              <w:spacing w:before="20" w:after="20"/>
              <w:jc w:val="right"/>
              <w:rPr>
                <w:rFonts w:eastAsia="Times New Roman"/>
                <w:noProof/>
                <w:sz w:val="20"/>
                <w:szCs w:val="20"/>
              </w:rPr>
            </w:pPr>
            <w:r>
              <w:rPr>
                <w:noProof/>
                <w:sz w:val="20"/>
                <w:szCs w:val="20"/>
              </w:rPr>
              <w:t>p.m.</w:t>
            </w:r>
          </w:p>
        </w:tc>
        <w:tc>
          <w:tcPr>
            <w:tcW w:w="992" w:type="dxa"/>
            <w:vAlign w:val="center"/>
          </w:tcPr>
          <w:p>
            <w:pPr>
              <w:spacing w:before="20" w:after="20"/>
              <w:jc w:val="right"/>
              <w:rPr>
                <w:noProof/>
                <w:sz w:val="20"/>
              </w:rPr>
            </w:pPr>
            <w:r>
              <w:rPr>
                <w:noProof/>
                <w:sz w:val="20"/>
                <w:szCs w:val="20"/>
              </w:rPr>
              <w:t xml:space="preserve"> </w:t>
            </w:r>
          </w:p>
        </w:tc>
        <w:tc>
          <w:tcPr>
            <w:tcW w:w="1702" w:type="dxa"/>
            <w:vAlign w:val="center"/>
          </w:tcPr>
          <w:p>
            <w:pPr>
              <w:spacing w:before="20" w:after="20"/>
              <w:jc w:val="center"/>
              <w:rPr>
                <w:b/>
                <w:noProof/>
                <w:sz w:val="20"/>
              </w:rPr>
            </w:pPr>
            <w:r>
              <w:rPr>
                <w:b/>
                <w:noProof/>
                <w:sz w:val="20"/>
                <w:szCs w:val="20"/>
              </w:rPr>
              <w:t>p.m.</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Plaćanja</w:t>
            </w:r>
          </w:p>
        </w:tc>
        <w:tc>
          <w:tcPr>
            <w:tcW w:w="914" w:type="dxa"/>
            <w:vAlign w:val="center"/>
          </w:tcPr>
          <w:p>
            <w:pPr>
              <w:jc w:val="center"/>
              <w:rPr>
                <w:noProof/>
                <w:sz w:val="14"/>
              </w:rPr>
            </w:pPr>
            <w:r>
              <w:rPr>
                <w:noProof/>
                <w:sz w:val="14"/>
              </w:rPr>
              <w:t>= 5 + 6</w:t>
            </w:r>
          </w:p>
        </w:tc>
        <w:tc>
          <w:tcPr>
            <w:tcW w:w="850" w:type="dxa"/>
            <w:vAlign w:val="center"/>
          </w:tcPr>
          <w:p>
            <w:pPr>
              <w:spacing w:before="20" w:after="20"/>
              <w:jc w:val="right"/>
              <w:rPr>
                <w:noProof/>
                <w:sz w:val="20"/>
              </w:rPr>
            </w:pPr>
            <w:r>
              <w:rPr>
                <w:noProof/>
                <w:sz w:val="20"/>
                <w:szCs w:val="20"/>
              </w:rPr>
              <w:t>p.m.</w:t>
            </w:r>
          </w:p>
        </w:tc>
        <w:tc>
          <w:tcPr>
            <w:tcW w:w="993" w:type="dxa"/>
            <w:vAlign w:val="center"/>
          </w:tcPr>
          <w:p>
            <w:pPr>
              <w:spacing w:before="20" w:after="20"/>
              <w:jc w:val="right"/>
              <w:rPr>
                <w:noProof/>
                <w:sz w:val="20"/>
              </w:rPr>
            </w:pPr>
            <w:r>
              <w:rPr>
                <w:noProof/>
                <w:sz w:val="20"/>
                <w:szCs w:val="20"/>
              </w:rPr>
              <w:t>p.m.</w:t>
            </w:r>
          </w:p>
        </w:tc>
        <w:tc>
          <w:tcPr>
            <w:tcW w:w="850" w:type="dxa"/>
            <w:vAlign w:val="center"/>
          </w:tcPr>
          <w:p>
            <w:pPr>
              <w:spacing w:before="20" w:after="20"/>
              <w:jc w:val="right"/>
              <w:rPr>
                <w:noProof/>
                <w:sz w:val="20"/>
              </w:rPr>
            </w:pPr>
            <w:r>
              <w:rPr>
                <w:noProof/>
                <w:sz w:val="20"/>
                <w:szCs w:val="20"/>
              </w:rPr>
              <w:t>p.m.</w:t>
            </w:r>
          </w:p>
        </w:tc>
        <w:tc>
          <w:tcPr>
            <w:tcW w:w="992" w:type="dxa"/>
          </w:tcPr>
          <w:p>
            <w:pPr>
              <w:spacing w:before="20" w:after="20"/>
              <w:jc w:val="right"/>
              <w:rPr>
                <w:rFonts w:eastAsia="Times New Roman"/>
                <w:noProof/>
                <w:sz w:val="20"/>
                <w:szCs w:val="20"/>
              </w:rPr>
            </w:pPr>
            <w:r>
              <w:rPr>
                <w:noProof/>
                <w:sz w:val="20"/>
                <w:szCs w:val="20"/>
              </w:rPr>
              <w:t>p.m.</w:t>
            </w:r>
          </w:p>
        </w:tc>
        <w:tc>
          <w:tcPr>
            <w:tcW w:w="992" w:type="dxa"/>
            <w:vAlign w:val="center"/>
          </w:tcPr>
          <w:p>
            <w:pPr>
              <w:spacing w:before="20" w:after="20"/>
              <w:jc w:val="right"/>
              <w:rPr>
                <w:noProof/>
                <w:sz w:val="20"/>
              </w:rPr>
            </w:pPr>
            <w:r>
              <w:rPr>
                <w:noProof/>
                <w:sz w:val="20"/>
                <w:szCs w:val="20"/>
              </w:rPr>
              <w:t>p.m.</w:t>
            </w:r>
          </w:p>
        </w:tc>
        <w:tc>
          <w:tcPr>
            <w:tcW w:w="1702" w:type="dxa"/>
            <w:vAlign w:val="center"/>
          </w:tcPr>
          <w:p>
            <w:pPr>
              <w:spacing w:before="20" w:after="20"/>
              <w:jc w:val="center"/>
              <w:rPr>
                <w:b/>
                <w:noProof/>
                <w:sz w:val="20"/>
              </w:rPr>
            </w:pPr>
            <w:r>
              <w:rPr>
                <w:b/>
                <w:noProof/>
                <w:sz w:val="20"/>
                <w:szCs w:val="20"/>
              </w:rPr>
              <w:t>p.m.</w:t>
            </w:r>
          </w:p>
        </w:tc>
      </w:tr>
    </w:tbl>
    <w:p>
      <w:pPr>
        <w:spacing w:after="40"/>
        <w:rPr>
          <w:b/>
          <w:noProof/>
          <w:u w:val="single"/>
        </w:rPr>
      </w:pPr>
      <w:r>
        <w:rPr>
          <w:b/>
          <w:noProof/>
          <w:u w:val="single"/>
        </w:rPr>
        <w:t>Ako prijedlog/inicijativa utječe na više od jednog naslova za poslovanje, ponovite prethodni odjeljak: nije primjenjivo</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914"/>
        <w:gridCol w:w="60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UKUPNA odobrena sredstva za poslovanje (svi naslovi za poslovanje)</w:t>
            </w:r>
          </w:p>
        </w:tc>
        <w:tc>
          <w:tcPr>
            <w:tcW w:w="1440" w:type="dxa"/>
            <w:tcBorders>
              <w:top w:val="single" w:sz="4" w:space="0" w:color="auto"/>
            </w:tcBorders>
            <w:vAlign w:val="center"/>
          </w:tcPr>
          <w:p>
            <w:pPr>
              <w:spacing w:beforeLines="20" w:before="48" w:afterLines="20" w:after="48"/>
              <w:rPr>
                <w:noProof/>
                <w:sz w:val="18"/>
              </w:rPr>
            </w:pPr>
            <w:r>
              <w:rPr>
                <w:noProof/>
                <w:sz w:val="18"/>
              </w:rPr>
              <w:t>Obveze</w:t>
            </w:r>
          </w:p>
        </w:tc>
        <w:tc>
          <w:tcPr>
            <w:tcW w:w="914" w:type="dxa"/>
            <w:tcBorders>
              <w:top w:val="single" w:sz="4" w:space="0" w:color="auto"/>
            </w:tcBorders>
            <w:vAlign w:val="center"/>
          </w:tcPr>
          <w:p>
            <w:pPr>
              <w:spacing w:beforeLines="20" w:before="48" w:afterLines="20" w:after="48"/>
              <w:jc w:val="center"/>
              <w:rPr>
                <w:noProof/>
                <w:sz w:val="14"/>
              </w:rPr>
            </w:pPr>
            <w:r>
              <w:rPr>
                <w:noProof/>
                <w:sz w:val="14"/>
              </w:rPr>
              <w:t>(4)</w:t>
            </w:r>
          </w:p>
        </w:tc>
        <w:tc>
          <w:tcPr>
            <w:tcW w:w="60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Plaćanja</w:t>
            </w:r>
          </w:p>
        </w:tc>
        <w:tc>
          <w:tcPr>
            <w:tcW w:w="914" w:type="dxa"/>
            <w:vAlign w:val="center"/>
          </w:tcPr>
          <w:p>
            <w:pPr>
              <w:spacing w:beforeLines="20" w:before="48" w:afterLines="20" w:after="48"/>
              <w:jc w:val="center"/>
              <w:rPr>
                <w:noProof/>
                <w:sz w:val="14"/>
              </w:rPr>
            </w:pPr>
            <w:r>
              <w:rPr>
                <w:noProof/>
                <w:sz w:val="14"/>
              </w:rPr>
              <w:t>(5)</w:t>
            </w:r>
          </w:p>
        </w:tc>
        <w:tc>
          <w:tcPr>
            <w:tcW w:w="60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UKUPNA administrativna odobrena sredstva koja se financiraju iz omotnice za posebne programe (svi naslovi za poslovanje)</w:t>
            </w:r>
          </w:p>
        </w:tc>
        <w:tc>
          <w:tcPr>
            <w:tcW w:w="914" w:type="dxa"/>
            <w:vAlign w:val="center"/>
          </w:tcPr>
          <w:p>
            <w:pPr>
              <w:rPr>
                <w:noProof/>
              </w:rPr>
            </w:pPr>
          </w:p>
          <w:p>
            <w:pPr>
              <w:spacing w:beforeLines="20" w:before="48" w:afterLines="20" w:after="48"/>
              <w:jc w:val="center"/>
              <w:rPr>
                <w:noProof/>
                <w:sz w:val="14"/>
              </w:rPr>
            </w:pPr>
            <w:r>
              <w:rPr>
                <w:noProof/>
                <w:sz w:val="14"/>
              </w:rPr>
              <w:t>(6)</w:t>
            </w:r>
          </w:p>
        </w:tc>
        <w:tc>
          <w:tcPr>
            <w:tcW w:w="60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rPr>
              <w:t xml:space="preserve">UKUPNA odobrena sredstva </w:t>
            </w:r>
            <w:r>
              <w:rPr>
                <w:noProof/>
              </w:rPr>
              <w:br/>
            </w:r>
            <w:r>
              <w:rPr>
                <w:b/>
                <w:noProof/>
              </w:rPr>
              <w:t>iz NASLOVA 1 – 4</w:t>
            </w:r>
            <w:r>
              <w:rPr>
                <w:noProof/>
              </w:rPr>
              <w:br/>
              <w:t>višegodišnjeg financijskog okvira</w:t>
            </w:r>
            <w:r>
              <w:rPr>
                <w:noProof/>
              </w:rPr>
              <w:br/>
            </w:r>
            <w:r>
              <w:rPr>
                <w:noProof/>
                <w:sz w:val="20"/>
              </w:rPr>
              <w:t>(referentni iznos)</w:t>
            </w:r>
          </w:p>
        </w:tc>
        <w:tc>
          <w:tcPr>
            <w:tcW w:w="1440" w:type="dxa"/>
            <w:vAlign w:val="center"/>
          </w:tcPr>
          <w:p>
            <w:pPr>
              <w:rPr>
                <w:noProof/>
                <w:sz w:val="18"/>
              </w:rPr>
            </w:pPr>
            <w:r>
              <w:rPr>
                <w:noProof/>
                <w:sz w:val="18"/>
              </w:rPr>
              <w:t>Obveze</w:t>
            </w:r>
          </w:p>
        </w:tc>
        <w:tc>
          <w:tcPr>
            <w:tcW w:w="914" w:type="dxa"/>
            <w:vAlign w:val="center"/>
          </w:tcPr>
          <w:p>
            <w:pPr>
              <w:jc w:val="center"/>
              <w:rPr>
                <w:noProof/>
                <w:sz w:val="14"/>
              </w:rPr>
            </w:pPr>
            <w:r>
              <w:rPr>
                <w:noProof/>
                <w:sz w:val="14"/>
              </w:rPr>
              <w:t>= 4 + 6</w:t>
            </w:r>
          </w:p>
        </w:tc>
        <w:tc>
          <w:tcPr>
            <w:tcW w:w="60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Plaćanja</w:t>
            </w:r>
          </w:p>
        </w:tc>
        <w:tc>
          <w:tcPr>
            <w:tcW w:w="914" w:type="dxa"/>
            <w:tcBorders>
              <w:bottom w:val="single" w:sz="4" w:space="0" w:color="auto"/>
            </w:tcBorders>
            <w:vAlign w:val="center"/>
          </w:tcPr>
          <w:p>
            <w:pPr>
              <w:jc w:val="center"/>
              <w:rPr>
                <w:noProof/>
                <w:sz w:val="14"/>
              </w:rPr>
            </w:pPr>
            <w:r>
              <w:rPr>
                <w:noProof/>
                <w:sz w:val="14"/>
              </w:rPr>
              <w:t>= 5 + 6</w:t>
            </w:r>
          </w:p>
        </w:tc>
        <w:tc>
          <w:tcPr>
            <w:tcW w:w="60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b/>
                <w:noProof/>
                <w:sz w:val="20"/>
              </w:rPr>
            </w:pPr>
          </w:p>
        </w:tc>
        <w:tc>
          <w:tcPr>
            <w:tcW w:w="1777" w:type="dxa"/>
            <w:tcBorders>
              <w:bottom w:val="single" w:sz="4" w:space="0" w:color="auto"/>
              <w:right w:val="single" w:sz="4" w:space="0" w:color="auto"/>
            </w:tcBorders>
            <w:vAlign w:val="center"/>
          </w:tcPr>
          <w:p>
            <w:pPr>
              <w:spacing w:before="20" w:after="20"/>
              <w:jc w:val="right"/>
              <w:rPr>
                <w:b/>
                <w:noProof/>
                <w:sz w:val="20"/>
              </w:rPr>
            </w:pPr>
          </w:p>
        </w:tc>
      </w:tr>
    </w:tbl>
    <w:p>
      <w:pPr>
        <w:rPr>
          <w:noProof/>
        </w:rPr>
      </w:pPr>
    </w:p>
    <w:p>
      <w:pPr>
        <w:spacing w:after="0"/>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Naslov višegodišnjeg financijskog </w:t>
            </w:r>
            <w:r>
              <w:rPr>
                <w:noProof/>
              </w:rPr>
              <w:br/>
            </w:r>
            <w:r>
              <w:rPr>
                <w:b/>
                <w:noProof/>
              </w:rPr>
              <w:t xml:space="preserve">okvira </w:t>
            </w:r>
          </w:p>
        </w:tc>
        <w:tc>
          <w:tcPr>
            <w:tcW w:w="1080" w:type="dxa"/>
            <w:shd w:val="thinDiagStripe" w:color="C0C0C0" w:fill="auto"/>
            <w:vAlign w:val="center"/>
          </w:tcPr>
          <w:p>
            <w:pPr>
              <w:spacing w:before="60" w:after="60"/>
              <w:jc w:val="center"/>
              <w:rPr>
                <w:noProof/>
              </w:rPr>
            </w:pPr>
            <w:r>
              <w:rPr>
                <w:b/>
                <w:noProof/>
              </w:rPr>
              <w:t>5.</w:t>
            </w:r>
          </w:p>
        </w:tc>
        <w:tc>
          <w:tcPr>
            <w:tcW w:w="7817" w:type="dxa"/>
            <w:vAlign w:val="center"/>
          </w:tcPr>
          <w:p>
            <w:pPr>
              <w:spacing w:before="60" w:after="60"/>
              <w:rPr>
                <w:noProof/>
              </w:rPr>
            </w:pPr>
            <w:r>
              <w:rPr>
                <w:noProof/>
              </w:rPr>
              <w:t>„Administrativni rashodi”</w:t>
            </w:r>
          </w:p>
        </w:tc>
      </w:tr>
    </w:tbl>
    <w:p>
      <w:pPr>
        <w:rPr>
          <w:noProof/>
          <w:sz w:val="20"/>
        </w:rPr>
      </w:pPr>
      <w:r>
        <w:rPr>
          <w:noProof/>
        </w:rPr>
        <w:t xml:space="preserve">U ovaj se dio unose „administrativni proračunski podaci”, koji se najprije unose u </w:t>
      </w:r>
      <w:hyperlink r:id="rId13" w:history="1">
        <w:r>
          <w:rPr>
            <w:noProof/>
            <w:color w:val="0000FF"/>
            <w:u w:val="single"/>
          </w:rPr>
          <w:t>prilog zakonodavnom financijskom izvještaju</w:t>
        </w:r>
      </w:hyperlink>
      <w:r>
        <w:rPr>
          <w:noProof/>
        </w:rPr>
        <w:t xml:space="preserve"> (Prilog V. internim pravilima), koji se učitava u sustav DECIDE za potrebe savjetovanja među službama.</w:t>
      </w:r>
    </w:p>
    <w:p>
      <w:pPr>
        <w:jc w:val="right"/>
        <w:rPr>
          <w:noProof/>
          <w:sz w:val="20"/>
        </w:rPr>
      </w:pPr>
      <w:r>
        <w:rPr>
          <w:noProof/>
          <w:sz w:val="20"/>
        </w:rPr>
        <w:t>U milijunima EUR (do trećeg decimalnog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rPr>
              <w:br/>
            </w:r>
            <w:r>
              <w:rPr>
                <w:b/>
                <w:noProof/>
                <w:sz w:val="20"/>
              </w:rPr>
              <w:t>N</w:t>
            </w:r>
          </w:p>
        </w:tc>
        <w:tc>
          <w:tcPr>
            <w:tcW w:w="868" w:type="dxa"/>
            <w:vAlign w:val="center"/>
          </w:tcPr>
          <w:p>
            <w:pPr>
              <w:jc w:val="center"/>
              <w:rPr>
                <w:noProof/>
                <w:sz w:val="20"/>
              </w:rPr>
            </w:pPr>
            <w:r>
              <w:rPr>
                <w:noProof/>
                <w:sz w:val="20"/>
              </w:rPr>
              <w:t>Godina</w:t>
            </w:r>
            <w:r>
              <w:rPr>
                <w:noProof/>
              </w:rPr>
              <w:br/>
            </w:r>
            <w:r>
              <w:rPr>
                <w:b/>
                <w:noProof/>
                <w:sz w:val="20"/>
              </w:rPr>
              <w:t>N+1</w:t>
            </w:r>
          </w:p>
        </w:tc>
        <w:tc>
          <w:tcPr>
            <w:tcW w:w="868" w:type="dxa"/>
            <w:vAlign w:val="center"/>
          </w:tcPr>
          <w:p>
            <w:pPr>
              <w:jc w:val="center"/>
              <w:rPr>
                <w:noProof/>
                <w:sz w:val="20"/>
              </w:rPr>
            </w:pPr>
            <w:r>
              <w:rPr>
                <w:noProof/>
                <w:sz w:val="20"/>
              </w:rPr>
              <w:t>Godina</w:t>
            </w:r>
            <w:r>
              <w:rPr>
                <w:noProof/>
              </w:rPr>
              <w:br/>
            </w:r>
            <w:r>
              <w:rPr>
                <w:b/>
                <w:noProof/>
                <w:sz w:val="20"/>
              </w:rPr>
              <w:t>N+2</w:t>
            </w:r>
          </w:p>
        </w:tc>
        <w:tc>
          <w:tcPr>
            <w:tcW w:w="868" w:type="dxa"/>
            <w:vAlign w:val="center"/>
          </w:tcPr>
          <w:p>
            <w:pPr>
              <w:jc w:val="center"/>
              <w:rPr>
                <w:noProof/>
                <w:sz w:val="20"/>
              </w:rPr>
            </w:pPr>
            <w:r>
              <w:rPr>
                <w:noProof/>
                <w:sz w:val="20"/>
              </w:rPr>
              <w:t>Godina</w:t>
            </w:r>
            <w:r>
              <w:rPr>
                <w:noProof/>
              </w:rPr>
              <w:br/>
            </w:r>
            <w:r>
              <w:rPr>
                <w:b/>
                <w:noProof/>
                <w:sz w:val="20"/>
              </w:rPr>
              <w:t>N+3</w:t>
            </w:r>
          </w:p>
        </w:tc>
        <w:tc>
          <w:tcPr>
            <w:tcW w:w="2604" w:type="dxa"/>
            <w:gridSpan w:val="3"/>
            <w:vAlign w:val="center"/>
          </w:tcPr>
          <w:p>
            <w:pPr>
              <w:jc w:val="center"/>
              <w:rPr>
                <w:b/>
                <w:noProof/>
                <w:sz w:val="18"/>
              </w:rPr>
            </w:pPr>
            <w:r>
              <w:rPr>
                <w:noProof/>
                <w:sz w:val="18"/>
              </w:rPr>
              <w:t xml:space="preserve">Unijeti onoliko godina koliko je potrebno za prikaz trajanja učinka (vidjeti točku 1.6.) </w:t>
            </w:r>
          </w:p>
        </w:tc>
        <w:tc>
          <w:tcPr>
            <w:tcW w:w="1777" w:type="dxa"/>
            <w:vAlign w:val="center"/>
          </w:tcPr>
          <w:p>
            <w:pPr>
              <w:jc w:val="center"/>
              <w:rPr>
                <w:b/>
                <w:noProof/>
                <w:sz w:val="20"/>
              </w:rPr>
            </w:pPr>
            <w:r>
              <w:rPr>
                <w:b/>
                <w:noProof/>
                <w:sz w:val="20"/>
              </w:rPr>
              <w:t>UKUPNO</w:t>
            </w:r>
          </w:p>
        </w:tc>
      </w:tr>
      <w:tr>
        <w:trPr>
          <w:gridAfter w:val="10"/>
          <w:wAfter w:w="9947" w:type="dxa"/>
        </w:trPr>
        <w:tc>
          <w:tcPr>
            <w:tcW w:w="3960" w:type="dxa"/>
            <w:vAlign w:val="center"/>
          </w:tcPr>
          <w:p>
            <w:pPr>
              <w:spacing w:before="60" w:after="60"/>
              <w:jc w:val="center"/>
              <w:rPr>
                <w:noProof/>
              </w:rPr>
            </w:pPr>
            <w:r>
              <w:rPr>
                <w:noProof/>
              </w:rPr>
              <w:t>GU: &lt;…….&gt;</w:t>
            </w:r>
          </w:p>
        </w:tc>
      </w:tr>
      <w:tr>
        <w:trPr>
          <w:trHeight w:val="313"/>
        </w:trPr>
        <w:tc>
          <w:tcPr>
            <w:tcW w:w="6054" w:type="dxa"/>
            <w:gridSpan w:val="3"/>
            <w:vAlign w:val="center"/>
          </w:tcPr>
          <w:p>
            <w:pPr>
              <w:spacing w:before="20" w:after="20"/>
              <w:rPr>
                <w:noProof/>
              </w:rPr>
            </w:pPr>
            <w:r>
              <w:rPr>
                <w:noProof/>
              </w:rPr>
              <w:sym w:font="Wingdings" w:char="F09F"/>
            </w:r>
            <w:r>
              <w:rPr>
                <w:noProof/>
              </w:rPr>
              <w:t xml:space="preserve"> Ljudski resursi </w:t>
            </w:r>
          </w:p>
        </w:tc>
        <w:tc>
          <w:tcPr>
            <w:tcW w:w="868" w:type="dxa"/>
            <w:vAlign w:val="center"/>
          </w:tcPr>
          <w:p>
            <w:pPr>
              <w:spacing w:before="20" w:after="20"/>
              <w:jc w:val="center"/>
              <w:rPr>
                <w:noProof/>
                <w:sz w:val="20"/>
              </w:rPr>
            </w:pPr>
            <w:r>
              <w:rPr>
                <w:noProof/>
                <w:sz w:val="20"/>
              </w:rPr>
              <w:t>nije primjenjivo</w:t>
            </w:r>
          </w:p>
        </w:tc>
        <w:tc>
          <w:tcPr>
            <w:tcW w:w="868" w:type="dxa"/>
            <w:vAlign w:val="center"/>
          </w:tcPr>
          <w:p>
            <w:pPr>
              <w:spacing w:before="20" w:after="20"/>
              <w:jc w:val="center"/>
              <w:rPr>
                <w:noProof/>
                <w:sz w:val="20"/>
              </w:rPr>
            </w:pPr>
            <w:r>
              <w:rPr>
                <w:noProof/>
                <w:sz w:val="20"/>
              </w:rPr>
              <w:t>nije primjenjivo</w:t>
            </w:r>
          </w:p>
        </w:tc>
        <w:tc>
          <w:tcPr>
            <w:tcW w:w="868" w:type="dxa"/>
            <w:vAlign w:val="center"/>
          </w:tcPr>
          <w:p>
            <w:pPr>
              <w:spacing w:before="20" w:after="20"/>
              <w:jc w:val="center"/>
              <w:rPr>
                <w:noProof/>
                <w:sz w:val="20"/>
              </w:rPr>
            </w:pPr>
            <w:r>
              <w:rPr>
                <w:noProof/>
                <w:sz w:val="20"/>
              </w:rPr>
              <w:t>nije primjenjivo</w:t>
            </w:r>
          </w:p>
        </w:tc>
        <w:tc>
          <w:tcPr>
            <w:tcW w:w="868" w:type="dxa"/>
            <w:vAlign w:val="center"/>
          </w:tcPr>
          <w:p>
            <w:pPr>
              <w:spacing w:before="20" w:after="20"/>
              <w:jc w:val="center"/>
              <w:rPr>
                <w:noProof/>
                <w:sz w:val="20"/>
              </w:rPr>
            </w:pPr>
            <w:r>
              <w:rPr>
                <w:noProof/>
                <w:sz w:val="20"/>
              </w:rPr>
              <w:t>nije primjenjivo</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r>
              <w:rPr>
                <w:noProof/>
                <w:sz w:val="20"/>
              </w:rPr>
              <w:t>nije primjenjivo</w:t>
            </w:r>
          </w:p>
        </w:tc>
      </w:tr>
      <w:tr>
        <w:trPr>
          <w:trHeight w:val="351"/>
        </w:trPr>
        <w:tc>
          <w:tcPr>
            <w:tcW w:w="6054" w:type="dxa"/>
            <w:gridSpan w:val="3"/>
            <w:vAlign w:val="center"/>
          </w:tcPr>
          <w:p>
            <w:pPr>
              <w:spacing w:before="20" w:after="20"/>
              <w:rPr>
                <w:noProof/>
              </w:rPr>
            </w:pPr>
            <w:r>
              <w:rPr>
                <w:noProof/>
              </w:rPr>
              <w:sym w:font="Wingdings" w:char="F09F"/>
            </w:r>
            <w:r>
              <w:rPr>
                <w:noProof/>
              </w:rPr>
              <w:t xml:space="preserve"> Ostali administrativni rashodi </w:t>
            </w:r>
          </w:p>
        </w:tc>
        <w:tc>
          <w:tcPr>
            <w:tcW w:w="868" w:type="dxa"/>
            <w:vAlign w:val="center"/>
          </w:tcPr>
          <w:p>
            <w:pPr>
              <w:spacing w:before="20" w:after="20"/>
              <w:jc w:val="center"/>
              <w:rPr>
                <w:b/>
                <w:noProof/>
                <w:sz w:val="20"/>
              </w:rPr>
            </w:pPr>
            <w:r>
              <w:rPr>
                <w:noProof/>
                <w:sz w:val="20"/>
              </w:rPr>
              <w:t>nije primjenjivo</w:t>
            </w:r>
          </w:p>
        </w:tc>
        <w:tc>
          <w:tcPr>
            <w:tcW w:w="868" w:type="dxa"/>
            <w:vAlign w:val="center"/>
          </w:tcPr>
          <w:p>
            <w:pPr>
              <w:spacing w:before="20" w:after="20"/>
              <w:jc w:val="center"/>
              <w:rPr>
                <w:b/>
                <w:noProof/>
                <w:sz w:val="20"/>
              </w:rPr>
            </w:pPr>
            <w:r>
              <w:rPr>
                <w:noProof/>
                <w:sz w:val="20"/>
              </w:rPr>
              <w:t>nije primjenjivo</w:t>
            </w:r>
          </w:p>
        </w:tc>
        <w:tc>
          <w:tcPr>
            <w:tcW w:w="868" w:type="dxa"/>
            <w:vAlign w:val="center"/>
          </w:tcPr>
          <w:p>
            <w:pPr>
              <w:spacing w:before="20" w:after="20"/>
              <w:jc w:val="center"/>
              <w:rPr>
                <w:b/>
                <w:noProof/>
                <w:sz w:val="20"/>
              </w:rPr>
            </w:pPr>
            <w:r>
              <w:rPr>
                <w:noProof/>
                <w:sz w:val="20"/>
              </w:rPr>
              <w:t>nije primjenjivo</w:t>
            </w:r>
          </w:p>
        </w:tc>
        <w:tc>
          <w:tcPr>
            <w:tcW w:w="868" w:type="dxa"/>
            <w:vAlign w:val="center"/>
          </w:tcPr>
          <w:p>
            <w:pPr>
              <w:spacing w:before="20" w:after="20"/>
              <w:jc w:val="center"/>
              <w:rPr>
                <w:b/>
                <w:noProof/>
                <w:sz w:val="20"/>
              </w:rPr>
            </w:pPr>
            <w:r>
              <w:rPr>
                <w:noProof/>
                <w:sz w:val="20"/>
              </w:rPr>
              <w:t>nije primjenjivo</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20"/>
              </w:rPr>
              <w:t>nije primjenjivo</w:t>
            </w:r>
          </w:p>
        </w:tc>
      </w:tr>
      <w:tr>
        <w:tc>
          <w:tcPr>
            <w:tcW w:w="3960" w:type="dxa"/>
            <w:vAlign w:val="center"/>
          </w:tcPr>
          <w:p>
            <w:pPr>
              <w:jc w:val="center"/>
              <w:rPr>
                <w:b/>
                <w:noProof/>
              </w:rPr>
            </w:pPr>
            <w:r>
              <w:rPr>
                <w:b/>
                <w:noProof/>
              </w:rPr>
              <w:t>GLAVNA UPRAVA</w:t>
            </w:r>
            <w:r>
              <w:rPr>
                <w:noProof/>
              </w:rPr>
              <w:t xml:space="preserve"> &lt;…….&gt; UKUPNO</w:t>
            </w:r>
          </w:p>
        </w:tc>
        <w:tc>
          <w:tcPr>
            <w:tcW w:w="2094" w:type="dxa"/>
            <w:gridSpan w:val="2"/>
            <w:vAlign w:val="center"/>
          </w:tcPr>
          <w:p>
            <w:pPr>
              <w:rPr>
                <w:noProof/>
                <w:sz w:val="14"/>
              </w:rPr>
            </w:pPr>
            <w:r>
              <w:rPr>
                <w:noProof/>
                <w:sz w:val="18"/>
              </w:rPr>
              <w:t xml:space="preserve">Odobrena sredstva </w:t>
            </w:r>
          </w:p>
        </w:tc>
        <w:tc>
          <w:tcPr>
            <w:tcW w:w="868" w:type="dxa"/>
            <w:vAlign w:val="center"/>
          </w:tcPr>
          <w:p>
            <w:pPr>
              <w:spacing w:before="60" w:after="60"/>
              <w:jc w:val="center"/>
              <w:rPr>
                <w:noProof/>
                <w:sz w:val="20"/>
              </w:rPr>
            </w:pPr>
            <w:r>
              <w:rPr>
                <w:noProof/>
                <w:sz w:val="20"/>
              </w:rPr>
              <w:t>nije primjenjivo</w:t>
            </w:r>
          </w:p>
        </w:tc>
        <w:tc>
          <w:tcPr>
            <w:tcW w:w="868" w:type="dxa"/>
            <w:vAlign w:val="center"/>
          </w:tcPr>
          <w:p>
            <w:pPr>
              <w:spacing w:before="20" w:after="20"/>
              <w:jc w:val="center"/>
              <w:rPr>
                <w:noProof/>
                <w:sz w:val="20"/>
              </w:rPr>
            </w:pPr>
            <w:r>
              <w:rPr>
                <w:noProof/>
                <w:sz w:val="20"/>
              </w:rPr>
              <w:t>nije primjenjivo</w:t>
            </w:r>
          </w:p>
        </w:tc>
        <w:tc>
          <w:tcPr>
            <w:tcW w:w="868" w:type="dxa"/>
            <w:vAlign w:val="center"/>
          </w:tcPr>
          <w:p>
            <w:pPr>
              <w:spacing w:before="20" w:after="20"/>
              <w:jc w:val="center"/>
              <w:rPr>
                <w:noProof/>
                <w:sz w:val="20"/>
              </w:rPr>
            </w:pPr>
            <w:r>
              <w:rPr>
                <w:noProof/>
                <w:sz w:val="20"/>
              </w:rPr>
              <w:t>nije primjenjivo</w:t>
            </w:r>
          </w:p>
        </w:tc>
        <w:tc>
          <w:tcPr>
            <w:tcW w:w="868" w:type="dxa"/>
            <w:vAlign w:val="center"/>
          </w:tcPr>
          <w:p>
            <w:pPr>
              <w:spacing w:before="20" w:after="20"/>
              <w:jc w:val="center"/>
              <w:rPr>
                <w:noProof/>
                <w:sz w:val="20"/>
              </w:rPr>
            </w:pPr>
            <w:r>
              <w:rPr>
                <w:noProof/>
                <w:sz w:val="20"/>
              </w:rPr>
              <w:t>nije primjenjivo</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20"/>
              </w:rPr>
              <w:t>nije primjenjivo</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rPr>
              <w:t>UKUPNA odobrena sredstva</w:t>
            </w:r>
            <w:r>
              <w:rPr>
                <w:noProof/>
              </w:rPr>
              <w:br/>
            </w:r>
            <w:r>
              <w:rPr>
                <w:b/>
                <w:noProof/>
              </w:rPr>
              <w:t>iz NASLOVA 5</w:t>
            </w:r>
            <w:r>
              <w:rPr>
                <w:noProof/>
              </w:rPr>
              <w:br/>
              <w:t>višegodišnjeg financijskog okvira</w:t>
            </w:r>
            <w:r>
              <w:rPr>
                <w:b/>
                <w:noProof/>
              </w:rPr>
              <w:t xml:space="preserve"> </w:t>
            </w:r>
          </w:p>
        </w:tc>
        <w:tc>
          <w:tcPr>
            <w:tcW w:w="2094" w:type="dxa"/>
            <w:vAlign w:val="center"/>
          </w:tcPr>
          <w:p>
            <w:pPr>
              <w:spacing w:before="40" w:after="40"/>
              <w:rPr>
                <w:noProof/>
              </w:rPr>
            </w:pPr>
            <w:r>
              <w:rPr>
                <w:noProof/>
                <w:sz w:val="18"/>
              </w:rPr>
              <w:t>(ukupne obveze = ukupna plaćanja)</w:t>
            </w:r>
          </w:p>
        </w:tc>
        <w:tc>
          <w:tcPr>
            <w:tcW w:w="868" w:type="dxa"/>
            <w:vAlign w:val="center"/>
          </w:tcPr>
          <w:p>
            <w:pPr>
              <w:spacing w:before="20" w:after="20"/>
              <w:jc w:val="center"/>
              <w:rPr>
                <w:noProof/>
                <w:sz w:val="20"/>
              </w:rPr>
            </w:pPr>
            <w:r>
              <w:rPr>
                <w:noProof/>
                <w:sz w:val="20"/>
              </w:rPr>
              <w:t>nije primjenjivo</w:t>
            </w:r>
          </w:p>
        </w:tc>
        <w:tc>
          <w:tcPr>
            <w:tcW w:w="868" w:type="dxa"/>
            <w:vAlign w:val="center"/>
          </w:tcPr>
          <w:p>
            <w:pPr>
              <w:spacing w:before="20" w:after="20"/>
              <w:jc w:val="center"/>
              <w:rPr>
                <w:noProof/>
                <w:sz w:val="20"/>
              </w:rPr>
            </w:pPr>
            <w:r>
              <w:rPr>
                <w:noProof/>
                <w:sz w:val="20"/>
              </w:rPr>
              <w:t>nije primjenjivo</w:t>
            </w:r>
          </w:p>
        </w:tc>
        <w:tc>
          <w:tcPr>
            <w:tcW w:w="868" w:type="dxa"/>
            <w:vAlign w:val="center"/>
          </w:tcPr>
          <w:p>
            <w:pPr>
              <w:spacing w:before="20" w:after="20"/>
              <w:jc w:val="center"/>
              <w:rPr>
                <w:noProof/>
                <w:sz w:val="20"/>
              </w:rPr>
            </w:pPr>
            <w:r>
              <w:rPr>
                <w:noProof/>
                <w:sz w:val="20"/>
              </w:rPr>
              <w:t>nije primjenjivo</w:t>
            </w:r>
          </w:p>
        </w:tc>
        <w:tc>
          <w:tcPr>
            <w:tcW w:w="868" w:type="dxa"/>
            <w:vAlign w:val="center"/>
          </w:tcPr>
          <w:p>
            <w:pPr>
              <w:spacing w:before="20" w:after="20"/>
              <w:jc w:val="center"/>
              <w:rPr>
                <w:noProof/>
                <w:sz w:val="20"/>
              </w:rPr>
            </w:pPr>
            <w:r>
              <w:rPr>
                <w:noProof/>
                <w:sz w:val="20"/>
              </w:rPr>
              <w:t>nije primjenjivo</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r>
              <w:rPr>
                <w:noProof/>
                <w:sz w:val="20"/>
              </w:rPr>
              <w:t>nije primjenjivo</w:t>
            </w:r>
          </w:p>
        </w:tc>
      </w:tr>
    </w:tbl>
    <w:p>
      <w:pPr>
        <w:jc w:val="right"/>
        <w:rPr>
          <w:noProof/>
          <w:sz w:val="20"/>
        </w:rPr>
      </w:pPr>
      <w:r>
        <w:rPr>
          <w:noProof/>
          <w:sz w:val="20"/>
        </w:rPr>
        <w:t>U milijunima EUR (do trećeg decimalnog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rPr>
              <w:br/>
            </w:r>
            <w:r>
              <w:rPr>
                <w:b/>
                <w:noProof/>
                <w:sz w:val="20"/>
              </w:rPr>
              <w:t>N</w:t>
            </w:r>
            <w:r>
              <w:rPr>
                <w:rStyle w:val="FootnoteReference"/>
                <w:noProof/>
              </w:rPr>
              <w:footnoteReference w:id="14"/>
            </w:r>
          </w:p>
        </w:tc>
        <w:tc>
          <w:tcPr>
            <w:tcW w:w="868" w:type="dxa"/>
            <w:vAlign w:val="center"/>
          </w:tcPr>
          <w:p>
            <w:pPr>
              <w:jc w:val="center"/>
              <w:rPr>
                <w:noProof/>
                <w:sz w:val="20"/>
              </w:rPr>
            </w:pPr>
            <w:r>
              <w:rPr>
                <w:noProof/>
                <w:sz w:val="20"/>
              </w:rPr>
              <w:t>Godina</w:t>
            </w:r>
            <w:r>
              <w:rPr>
                <w:noProof/>
              </w:rPr>
              <w:br/>
            </w:r>
            <w:r>
              <w:rPr>
                <w:b/>
                <w:noProof/>
                <w:sz w:val="20"/>
              </w:rPr>
              <w:t>N+1</w:t>
            </w:r>
          </w:p>
        </w:tc>
        <w:tc>
          <w:tcPr>
            <w:tcW w:w="868" w:type="dxa"/>
            <w:vAlign w:val="center"/>
          </w:tcPr>
          <w:p>
            <w:pPr>
              <w:jc w:val="center"/>
              <w:rPr>
                <w:noProof/>
                <w:sz w:val="20"/>
              </w:rPr>
            </w:pPr>
            <w:r>
              <w:rPr>
                <w:noProof/>
                <w:sz w:val="20"/>
              </w:rPr>
              <w:t>Godina</w:t>
            </w:r>
            <w:r>
              <w:rPr>
                <w:noProof/>
              </w:rPr>
              <w:br/>
            </w:r>
            <w:r>
              <w:rPr>
                <w:b/>
                <w:noProof/>
                <w:sz w:val="20"/>
              </w:rPr>
              <w:t>N+2</w:t>
            </w:r>
          </w:p>
        </w:tc>
        <w:tc>
          <w:tcPr>
            <w:tcW w:w="868" w:type="dxa"/>
            <w:vAlign w:val="center"/>
          </w:tcPr>
          <w:p>
            <w:pPr>
              <w:jc w:val="center"/>
              <w:rPr>
                <w:noProof/>
                <w:sz w:val="20"/>
              </w:rPr>
            </w:pPr>
            <w:r>
              <w:rPr>
                <w:noProof/>
                <w:sz w:val="20"/>
              </w:rPr>
              <w:t>Godina</w:t>
            </w:r>
            <w:r>
              <w:rPr>
                <w:noProof/>
              </w:rPr>
              <w:br/>
            </w:r>
            <w:r>
              <w:rPr>
                <w:b/>
                <w:noProof/>
                <w:sz w:val="20"/>
              </w:rPr>
              <w:t>N+3</w:t>
            </w:r>
          </w:p>
        </w:tc>
        <w:tc>
          <w:tcPr>
            <w:tcW w:w="2604" w:type="dxa"/>
            <w:gridSpan w:val="3"/>
            <w:vAlign w:val="center"/>
          </w:tcPr>
          <w:p>
            <w:pPr>
              <w:jc w:val="center"/>
              <w:rPr>
                <w:b/>
                <w:noProof/>
                <w:sz w:val="18"/>
              </w:rPr>
            </w:pPr>
            <w:r>
              <w:rPr>
                <w:noProof/>
                <w:sz w:val="18"/>
              </w:rPr>
              <w:t>Unijeti onoliko godina koliko je potrebno za prikaz trajanja učinka (vidjeti točku 1.6.)</w:t>
            </w:r>
          </w:p>
        </w:tc>
        <w:tc>
          <w:tcPr>
            <w:tcW w:w="1777" w:type="dxa"/>
            <w:vAlign w:val="center"/>
          </w:tcPr>
          <w:p>
            <w:pPr>
              <w:jc w:val="center"/>
              <w:rPr>
                <w:b/>
                <w:noProof/>
                <w:sz w:val="20"/>
              </w:rPr>
            </w:pPr>
            <w:r>
              <w:rPr>
                <w:b/>
                <w:noProof/>
                <w:sz w:val="20"/>
              </w:rPr>
              <w:t>UKUPNO</w:t>
            </w:r>
          </w:p>
        </w:tc>
      </w:tr>
      <w:tr>
        <w:tc>
          <w:tcPr>
            <w:tcW w:w="3960" w:type="dxa"/>
            <w:vMerge w:val="restart"/>
            <w:shd w:val="clear" w:color="auto" w:fill="C0C0C0"/>
            <w:vAlign w:val="center"/>
          </w:tcPr>
          <w:p>
            <w:pPr>
              <w:jc w:val="center"/>
              <w:rPr>
                <w:b/>
                <w:noProof/>
              </w:rPr>
            </w:pPr>
            <w:r>
              <w:rPr>
                <w:b/>
                <w:noProof/>
              </w:rPr>
              <w:t xml:space="preserve">UKUPNA odobrena sredstva </w:t>
            </w:r>
            <w:r>
              <w:rPr>
                <w:noProof/>
              </w:rPr>
              <w:br/>
            </w:r>
            <w:r>
              <w:rPr>
                <w:b/>
                <w:noProof/>
              </w:rPr>
              <w:t>iz NASLOVA 1 – 5</w:t>
            </w:r>
            <w:r>
              <w:rPr>
                <w:noProof/>
              </w:rPr>
              <w:br/>
              <w:t>višegodišnjeg financijskog okvira</w:t>
            </w:r>
            <w:r>
              <w:rPr>
                <w:b/>
                <w:noProof/>
              </w:rPr>
              <w:t xml:space="preserve"> </w:t>
            </w:r>
          </w:p>
        </w:tc>
        <w:tc>
          <w:tcPr>
            <w:tcW w:w="2094" w:type="dxa"/>
            <w:gridSpan w:val="2"/>
            <w:vAlign w:val="center"/>
          </w:tcPr>
          <w:p>
            <w:pPr>
              <w:rPr>
                <w:noProof/>
                <w:sz w:val="14"/>
              </w:rPr>
            </w:pPr>
            <w:r>
              <w:rPr>
                <w:noProof/>
                <w:sz w:val="18"/>
              </w:rPr>
              <w:t>Obveze</w:t>
            </w:r>
          </w:p>
        </w:tc>
        <w:tc>
          <w:tcPr>
            <w:tcW w:w="868" w:type="dxa"/>
            <w:vAlign w:val="center"/>
          </w:tcPr>
          <w:p>
            <w:pPr>
              <w:spacing w:before="60" w:after="60"/>
              <w:jc w:val="center"/>
              <w:rPr>
                <w:noProof/>
                <w:sz w:val="20"/>
              </w:rPr>
            </w:pPr>
            <w:r>
              <w:rPr>
                <w:noProof/>
                <w:sz w:val="20"/>
              </w:rPr>
              <w:t>p.m.</w:t>
            </w:r>
          </w:p>
        </w:tc>
        <w:tc>
          <w:tcPr>
            <w:tcW w:w="868" w:type="dxa"/>
            <w:vAlign w:val="center"/>
          </w:tcPr>
          <w:p>
            <w:pPr>
              <w:spacing w:before="60" w:after="60"/>
              <w:jc w:val="center"/>
              <w:rPr>
                <w:noProof/>
                <w:sz w:val="20"/>
              </w:rPr>
            </w:pPr>
            <w:r>
              <w:rPr>
                <w:noProof/>
                <w:sz w:val="20"/>
              </w:rPr>
              <w:t>p.m.</w:t>
            </w:r>
          </w:p>
        </w:tc>
        <w:tc>
          <w:tcPr>
            <w:tcW w:w="868" w:type="dxa"/>
            <w:vAlign w:val="center"/>
          </w:tcPr>
          <w:p>
            <w:pPr>
              <w:spacing w:before="60" w:after="60"/>
              <w:jc w:val="center"/>
              <w:rPr>
                <w:noProof/>
                <w:sz w:val="20"/>
              </w:rPr>
            </w:pPr>
            <w:r>
              <w:rPr>
                <w:noProof/>
                <w:sz w:val="20"/>
              </w:rPr>
              <w:t>p.m.</w:t>
            </w:r>
          </w:p>
        </w:tc>
        <w:tc>
          <w:tcPr>
            <w:tcW w:w="868" w:type="dxa"/>
            <w:vAlign w:val="center"/>
          </w:tcPr>
          <w:p>
            <w:pPr>
              <w:spacing w:before="60" w:after="60"/>
              <w:jc w:val="center"/>
              <w:rPr>
                <w:noProof/>
                <w:sz w:val="20"/>
              </w:rPr>
            </w:pPr>
            <w:r>
              <w:rPr>
                <w:noProof/>
                <w:sz w:val="20"/>
              </w:rPr>
              <w:t>p.m.</w:t>
            </w:r>
          </w:p>
        </w:tc>
        <w:tc>
          <w:tcPr>
            <w:tcW w:w="868" w:type="dxa"/>
            <w:vAlign w:val="center"/>
          </w:tcPr>
          <w:p>
            <w:pPr>
              <w:spacing w:before="60" w:after="60"/>
              <w:jc w:val="center"/>
              <w:rPr>
                <w:noProof/>
                <w:sz w:val="20"/>
              </w:rPr>
            </w:pPr>
          </w:p>
        </w:tc>
        <w:tc>
          <w:tcPr>
            <w:tcW w:w="868" w:type="dxa"/>
            <w:vAlign w:val="center"/>
          </w:tcPr>
          <w:p>
            <w:pPr>
              <w:spacing w:before="60" w:after="60"/>
              <w:jc w:val="center"/>
              <w:rPr>
                <w:noProof/>
                <w:sz w:val="20"/>
              </w:rPr>
            </w:pPr>
          </w:p>
        </w:tc>
        <w:tc>
          <w:tcPr>
            <w:tcW w:w="868" w:type="dxa"/>
            <w:vAlign w:val="center"/>
          </w:tcPr>
          <w:p>
            <w:pPr>
              <w:spacing w:before="60" w:after="60"/>
              <w:jc w:val="center"/>
              <w:rPr>
                <w:b/>
                <w:noProof/>
                <w:sz w:val="20"/>
              </w:rPr>
            </w:pPr>
          </w:p>
        </w:tc>
        <w:tc>
          <w:tcPr>
            <w:tcW w:w="1777" w:type="dxa"/>
            <w:vAlign w:val="center"/>
          </w:tcPr>
          <w:p>
            <w:pPr>
              <w:spacing w:before="60" w:after="60"/>
              <w:jc w:val="center"/>
              <w:rPr>
                <w:b/>
                <w:noProof/>
                <w:sz w:val="20"/>
              </w:rPr>
            </w:pPr>
            <w:r>
              <w:rPr>
                <w:noProof/>
                <w:sz w:val="20"/>
              </w:rPr>
              <w:t>p.m.</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Plaćanja</w:t>
            </w:r>
          </w:p>
        </w:tc>
        <w:tc>
          <w:tcPr>
            <w:tcW w:w="868" w:type="dxa"/>
            <w:vAlign w:val="center"/>
          </w:tcPr>
          <w:p>
            <w:pPr>
              <w:spacing w:before="60" w:after="60"/>
              <w:jc w:val="center"/>
              <w:rPr>
                <w:noProof/>
                <w:sz w:val="20"/>
              </w:rPr>
            </w:pPr>
            <w:r>
              <w:rPr>
                <w:noProof/>
                <w:sz w:val="20"/>
              </w:rPr>
              <w:t>p.m.</w:t>
            </w:r>
          </w:p>
        </w:tc>
        <w:tc>
          <w:tcPr>
            <w:tcW w:w="868" w:type="dxa"/>
            <w:vAlign w:val="center"/>
          </w:tcPr>
          <w:p>
            <w:pPr>
              <w:spacing w:before="60" w:after="60"/>
              <w:jc w:val="center"/>
              <w:rPr>
                <w:noProof/>
                <w:sz w:val="20"/>
              </w:rPr>
            </w:pPr>
            <w:r>
              <w:rPr>
                <w:noProof/>
                <w:sz w:val="20"/>
              </w:rPr>
              <w:t>p.m.</w:t>
            </w:r>
          </w:p>
        </w:tc>
        <w:tc>
          <w:tcPr>
            <w:tcW w:w="868" w:type="dxa"/>
            <w:vAlign w:val="center"/>
          </w:tcPr>
          <w:p>
            <w:pPr>
              <w:spacing w:before="60" w:after="60"/>
              <w:jc w:val="center"/>
              <w:rPr>
                <w:noProof/>
                <w:sz w:val="20"/>
              </w:rPr>
            </w:pPr>
            <w:r>
              <w:rPr>
                <w:noProof/>
                <w:sz w:val="20"/>
              </w:rPr>
              <w:t>p.m.</w:t>
            </w:r>
          </w:p>
        </w:tc>
        <w:tc>
          <w:tcPr>
            <w:tcW w:w="868" w:type="dxa"/>
            <w:vAlign w:val="center"/>
          </w:tcPr>
          <w:p>
            <w:pPr>
              <w:spacing w:before="60" w:after="60"/>
              <w:jc w:val="center"/>
              <w:rPr>
                <w:noProof/>
                <w:sz w:val="20"/>
              </w:rPr>
            </w:pPr>
            <w:r>
              <w:rPr>
                <w:noProof/>
                <w:sz w:val="20"/>
              </w:rPr>
              <w:t>p.m.</w:t>
            </w:r>
          </w:p>
        </w:tc>
        <w:tc>
          <w:tcPr>
            <w:tcW w:w="868" w:type="dxa"/>
            <w:vAlign w:val="center"/>
          </w:tcPr>
          <w:p>
            <w:pPr>
              <w:spacing w:before="60" w:after="60"/>
              <w:jc w:val="center"/>
              <w:rPr>
                <w:noProof/>
                <w:sz w:val="20"/>
              </w:rPr>
            </w:pPr>
          </w:p>
        </w:tc>
        <w:tc>
          <w:tcPr>
            <w:tcW w:w="868" w:type="dxa"/>
            <w:vAlign w:val="center"/>
          </w:tcPr>
          <w:p>
            <w:pPr>
              <w:spacing w:before="60" w:after="60"/>
              <w:jc w:val="center"/>
              <w:rPr>
                <w:noProof/>
                <w:sz w:val="20"/>
              </w:rPr>
            </w:pPr>
          </w:p>
        </w:tc>
        <w:tc>
          <w:tcPr>
            <w:tcW w:w="868" w:type="dxa"/>
            <w:vAlign w:val="center"/>
          </w:tcPr>
          <w:p>
            <w:pPr>
              <w:spacing w:before="60" w:after="60"/>
              <w:jc w:val="center"/>
              <w:rPr>
                <w:b/>
                <w:noProof/>
                <w:sz w:val="20"/>
              </w:rPr>
            </w:pPr>
          </w:p>
        </w:tc>
        <w:tc>
          <w:tcPr>
            <w:tcW w:w="1777" w:type="dxa"/>
            <w:vAlign w:val="center"/>
          </w:tcPr>
          <w:p>
            <w:pPr>
              <w:spacing w:before="60" w:after="60"/>
              <w:jc w:val="center"/>
              <w:rPr>
                <w:b/>
                <w:noProof/>
                <w:sz w:val="20"/>
              </w:rPr>
            </w:pPr>
            <w:r>
              <w:rPr>
                <w:noProof/>
                <w:sz w:val="20"/>
              </w:rPr>
              <w:t>p.m.</w:t>
            </w:r>
          </w:p>
        </w:tc>
      </w:tr>
    </w:tbl>
    <w:p>
      <w:pPr>
        <w:rPr>
          <w:noProof/>
        </w:rPr>
      </w:pPr>
    </w:p>
    <w:p>
      <w:pPr>
        <w:pStyle w:val="ManualHeading3"/>
        <w:rPr>
          <w:noProof/>
          <w:szCs w:val="24"/>
        </w:rPr>
      </w:pPr>
      <w:r>
        <w:t>3.2.2.</w:t>
      </w:r>
      <w:r>
        <w:tab/>
      </w:r>
      <w:r>
        <w:rPr>
          <w:noProof/>
        </w:rPr>
        <w:t xml:space="preserve">Procijenjeni rezultati financirani odobrenim sredstvima za poslovanje </w:t>
      </w:r>
    </w:p>
    <w:p>
      <w:pPr>
        <w:jc w:val="right"/>
        <w:rPr>
          <w:noProof/>
          <w:sz w:val="20"/>
        </w:rPr>
      </w:pPr>
      <w:r>
        <w:rPr>
          <w:noProof/>
          <w:sz w:val="20"/>
        </w:rPr>
        <w:t>Odobrena sredstva za preuzimanje obveza u milijunima EUR (do trećeg decimalnog mjesta)</w:t>
      </w:r>
    </w:p>
    <w:tbl>
      <w:tblPr>
        <w:tblW w:w="11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217"/>
        <w:gridCol w:w="850"/>
        <w:gridCol w:w="709"/>
        <w:gridCol w:w="709"/>
        <w:gridCol w:w="708"/>
        <w:gridCol w:w="851"/>
        <w:gridCol w:w="709"/>
        <w:gridCol w:w="850"/>
        <w:gridCol w:w="851"/>
        <w:gridCol w:w="850"/>
        <w:gridCol w:w="851"/>
        <w:gridCol w:w="992"/>
      </w:tblGrid>
      <w:tr>
        <w:trPr>
          <w:jc w:val="center"/>
        </w:trPr>
        <w:tc>
          <w:tcPr>
            <w:tcW w:w="1423" w:type="dxa"/>
            <w:vMerge w:val="restart"/>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p>
          <w:p>
            <w:pPr>
              <w:ind w:right="-29"/>
              <w:jc w:val="center"/>
              <w:rPr>
                <w:noProof/>
                <w:sz w:val="18"/>
                <w:szCs w:val="18"/>
              </w:rPr>
            </w:pPr>
            <w:r>
              <w:rPr>
                <w:noProof/>
                <w:sz w:val="18"/>
              </w:rPr>
              <w:sym w:font="Wingdings" w:char="F0F2"/>
            </w:r>
          </w:p>
        </w:tc>
        <w:tc>
          <w:tcPr>
            <w:tcW w:w="1217" w:type="dxa"/>
            <w:vAlign w:val="center"/>
          </w:tcPr>
          <w:p>
            <w:pPr>
              <w:ind w:right="-29"/>
              <w:jc w:val="center"/>
              <w:rPr>
                <w:noProof/>
                <w:sz w:val="18"/>
                <w:szCs w:val="18"/>
              </w:rPr>
            </w:pPr>
          </w:p>
        </w:tc>
        <w:tc>
          <w:tcPr>
            <w:tcW w:w="850" w:type="dxa"/>
            <w:vAlign w:val="center"/>
          </w:tcPr>
          <w:p>
            <w:pPr>
              <w:ind w:right="-29"/>
              <w:jc w:val="center"/>
              <w:rPr>
                <w:noProof/>
                <w:sz w:val="18"/>
                <w:szCs w:val="18"/>
              </w:rPr>
            </w:pPr>
          </w:p>
        </w:tc>
        <w:tc>
          <w:tcPr>
            <w:tcW w:w="1418" w:type="dxa"/>
            <w:gridSpan w:val="2"/>
            <w:tcBorders>
              <w:left w:val="nil"/>
            </w:tcBorders>
            <w:vAlign w:val="center"/>
          </w:tcPr>
          <w:p>
            <w:pPr>
              <w:ind w:right="-29"/>
              <w:jc w:val="center"/>
              <w:rPr>
                <w:noProof/>
                <w:sz w:val="18"/>
                <w:szCs w:val="18"/>
              </w:rPr>
            </w:pPr>
            <w:r>
              <w:rPr>
                <w:noProof/>
                <w:sz w:val="18"/>
              </w:rPr>
              <w:t>Godina</w:t>
            </w:r>
            <w:r>
              <w:rPr>
                <w:noProof/>
              </w:rPr>
              <w:br/>
            </w:r>
            <w:r>
              <w:rPr>
                <w:b/>
                <w:noProof/>
                <w:sz w:val="18"/>
              </w:rPr>
              <w:t>2020.</w:t>
            </w:r>
          </w:p>
        </w:tc>
        <w:tc>
          <w:tcPr>
            <w:tcW w:w="1559" w:type="dxa"/>
            <w:gridSpan w:val="2"/>
            <w:vAlign w:val="center"/>
          </w:tcPr>
          <w:p>
            <w:pPr>
              <w:ind w:right="-29"/>
              <w:jc w:val="center"/>
              <w:rPr>
                <w:noProof/>
                <w:sz w:val="18"/>
                <w:szCs w:val="18"/>
              </w:rPr>
            </w:pPr>
            <w:r>
              <w:rPr>
                <w:noProof/>
                <w:sz w:val="18"/>
              </w:rPr>
              <w:t>Godina</w:t>
            </w:r>
            <w:r>
              <w:rPr>
                <w:noProof/>
              </w:rPr>
              <w:br/>
            </w:r>
            <w:r>
              <w:rPr>
                <w:b/>
                <w:noProof/>
                <w:sz w:val="18"/>
              </w:rPr>
              <w:t>2021.</w:t>
            </w:r>
          </w:p>
        </w:tc>
        <w:tc>
          <w:tcPr>
            <w:tcW w:w="1559" w:type="dxa"/>
            <w:gridSpan w:val="2"/>
            <w:vAlign w:val="center"/>
          </w:tcPr>
          <w:p>
            <w:pPr>
              <w:ind w:right="-29"/>
              <w:jc w:val="center"/>
              <w:rPr>
                <w:noProof/>
                <w:sz w:val="18"/>
                <w:szCs w:val="18"/>
              </w:rPr>
            </w:pPr>
            <w:r>
              <w:rPr>
                <w:noProof/>
                <w:sz w:val="18"/>
              </w:rPr>
              <w:t>Godina</w:t>
            </w:r>
            <w:r>
              <w:rPr>
                <w:noProof/>
              </w:rPr>
              <w:br/>
            </w:r>
            <w:r>
              <w:rPr>
                <w:b/>
                <w:noProof/>
                <w:sz w:val="18"/>
              </w:rPr>
              <w:t>2022.</w:t>
            </w:r>
          </w:p>
        </w:tc>
        <w:tc>
          <w:tcPr>
            <w:tcW w:w="1701" w:type="dxa"/>
            <w:gridSpan w:val="2"/>
            <w:vAlign w:val="center"/>
          </w:tcPr>
          <w:p>
            <w:pPr>
              <w:ind w:right="-29"/>
              <w:jc w:val="center"/>
              <w:rPr>
                <w:noProof/>
                <w:sz w:val="18"/>
                <w:szCs w:val="18"/>
              </w:rPr>
            </w:pPr>
            <w:r>
              <w:rPr>
                <w:noProof/>
                <w:sz w:val="18"/>
              </w:rPr>
              <w:t>Godina</w:t>
            </w:r>
            <w:r>
              <w:rPr>
                <w:noProof/>
              </w:rPr>
              <w:br/>
            </w:r>
            <w:r>
              <w:rPr>
                <w:b/>
                <w:noProof/>
                <w:sz w:val="18"/>
              </w:rPr>
              <w:t>2023.</w:t>
            </w:r>
          </w:p>
        </w:tc>
        <w:tc>
          <w:tcPr>
            <w:tcW w:w="1843" w:type="dxa"/>
            <w:gridSpan w:val="2"/>
            <w:tcBorders>
              <w:left w:val="nil"/>
              <w:bottom w:val="nil"/>
            </w:tcBorders>
            <w:vAlign w:val="center"/>
          </w:tcPr>
          <w:p>
            <w:pPr>
              <w:ind w:right="-29"/>
              <w:jc w:val="center"/>
              <w:rPr>
                <w:noProof/>
                <w:sz w:val="18"/>
                <w:szCs w:val="18"/>
              </w:rPr>
            </w:pPr>
            <w:r>
              <w:rPr>
                <w:b/>
                <w:noProof/>
                <w:sz w:val="18"/>
              </w:rPr>
              <w:t>UKUPNO</w:t>
            </w:r>
          </w:p>
        </w:tc>
      </w:tr>
      <w:tr>
        <w:trPr>
          <w:trHeight w:val="447"/>
          <w:jc w:val="center"/>
        </w:trPr>
        <w:tc>
          <w:tcPr>
            <w:tcW w:w="1423" w:type="dxa"/>
            <w:vMerge/>
            <w:vAlign w:val="center"/>
          </w:tcPr>
          <w:p>
            <w:pPr>
              <w:ind w:right="-29"/>
              <w:jc w:val="center"/>
              <w:rPr>
                <w:noProof/>
                <w:sz w:val="18"/>
                <w:szCs w:val="18"/>
              </w:rPr>
            </w:pPr>
          </w:p>
        </w:tc>
        <w:tc>
          <w:tcPr>
            <w:tcW w:w="10147" w:type="dxa"/>
            <w:gridSpan w:val="12"/>
          </w:tcPr>
          <w:p>
            <w:pPr>
              <w:ind w:right="-29"/>
              <w:jc w:val="center"/>
              <w:rPr>
                <w:noProof/>
                <w:sz w:val="18"/>
                <w:szCs w:val="18"/>
              </w:rPr>
            </w:pPr>
            <w:r>
              <w:rPr>
                <w:noProof/>
                <w:sz w:val="18"/>
                <w:szCs w:val="18"/>
              </w:rPr>
              <w:t>REZULTATI</w:t>
            </w:r>
          </w:p>
        </w:tc>
      </w:tr>
      <w:tr>
        <w:trPr>
          <w:cantSplit/>
          <w:trHeight w:val="1134"/>
          <w:jc w:val="center"/>
        </w:trPr>
        <w:tc>
          <w:tcPr>
            <w:tcW w:w="1423" w:type="dxa"/>
            <w:vMerge/>
            <w:vAlign w:val="center"/>
          </w:tcPr>
          <w:p>
            <w:pPr>
              <w:rPr>
                <w:noProof/>
                <w:sz w:val="18"/>
                <w:szCs w:val="18"/>
              </w:rPr>
            </w:pPr>
          </w:p>
        </w:tc>
        <w:tc>
          <w:tcPr>
            <w:tcW w:w="1217" w:type="dxa"/>
            <w:vAlign w:val="center"/>
          </w:tcPr>
          <w:p>
            <w:pPr>
              <w:jc w:val="center"/>
              <w:rPr>
                <w:noProof/>
                <w:sz w:val="18"/>
                <w:szCs w:val="18"/>
              </w:rPr>
            </w:pPr>
            <w:r>
              <w:rPr>
                <w:noProof/>
                <w:sz w:val="18"/>
              </w:rPr>
              <w:t>Vrsta</w:t>
            </w:r>
            <w:r>
              <w:rPr>
                <w:rStyle w:val="FootnoteReference"/>
                <w:noProof/>
              </w:rPr>
              <w:footnoteReference w:id="15"/>
            </w:r>
          </w:p>
          <w:p>
            <w:pPr>
              <w:spacing w:after="0"/>
              <w:jc w:val="center"/>
              <w:rPr>
                <w:noProof/>
                <w:sz w:val="18"/>
                <w:szCs w:val="18"/>
              </w:rPr>
            </w:pPr>
          </w:p>
        </w:tc>
        <w:tc>
          <w:tcPr>
            <w:tcW w:w="850" w:type="dxa"/>
            <w:vAlign w:val="center"/>
          </w:tcPr>
          <w:p>
            <w:pPr>
              <w:jc w:val="center"/>
              <w:rPr>
                <w:noProof/>
                <w:sz w:val="18"/>
                <w:szCs w:val="18"/>
              </w:rPr>
            </w:pPr>
            <w:r>
              <w:rPr>
                <w:noProof/>
                <w:sz w:val="18"/>
              </w:rPr>
              <w:t>Prosječni trošak</w:t>
            </w:r>
          </w:p>
        </w:tc>
        <w:tc>
          <w:tcPr>
            <w:tcW w:w="709"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Broj</w:t>
            </w:r>
          </w:p>
        </w:tc>
        <w:tc>
          <w:tcPr>
            <w:tcW w:w="709"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708"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Broj</w:t>
            </w:r>
          </w:p>
        </w:tc>
        <w:tc>
          <w:tcPr>
            <w:tcW w:w="851"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70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Broj</w:t>
            </w:r>
          </w:p>
        </w:tc>
        <w:tc>
          <w:tcPr>
            <w:tcW w:w="85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85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Broj</w:t>
            </w:r>
          </w:p>
        </w:tc>
        <w:tc>
          <w:tcPr>
            <w:tcW w:w="85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851" w:type="dxa"/>
            <w:tcBorders>
              <w:right w:val="dashSmallGap" w:sz="4" w:space="0" w:color="auto"/>
            </w:tcBorders>
            <w:shd w:val="pct10" w:color="auto" w:fill="auto"/>
            <w:vAlign w:val="center"/>
          </w:tcPr>
          <w:p>
            <w:pPr>
              <w:jc w:val="center"/>
              <w:rPr>
                <w:noProof/>
                <w:sz w:val="18"/>
                <w:szCs w:val="18"/>
              </w:rPr>
            </w:pPr>
            <w:r>
              <w:rPr>
                <w:noProof/>
                <w:sz w:val="18"/>
              </w:rPr>
              <w:t>Ukupni broj</w:t>
            </w:r>
          </w:p>
        </w:tc>
        <w:tc>
          <w:tcPr>
            <w:tcW w:w="992" w:type="dxa"/>
            <w:tcBorders>
              <w:left w:val="dashSmallGap" w:sz="4" w:space="0" w:color="auto"/>
            </w:tcBorders>
            <w:shd w:val="pct10" w:color="auto" w:fill="auto"/>
            <w:vAlign w:val="center"/>
          </w:tcPr>
          <w:p>
            <w:pPr>
              <w:jc w:val="center"/>
              <w:rPr>
                <w:noProof/>
                <w:sz w:val="18"/>
                <w:szCs w:val="18"/>
              </w:rPr>
            </w:pPr>
            <w:r>
              <w:rPr>
                <w:noProof/>
                <w:sz w:val="18"/>
              </w:rPr>
              <w:t>Ukupni trošak</w:t>
            </w:r>
          </w:p>
        </w:tc>
      </w:tr>
      <w:tr>
        <w:trPr>
          <w:jc w:val="center"/>
        </w:trPr>
        <w:tc>
          <w:tcPr>
            <w:tcW w:w="3490" w:type="dxa"/>
            <w:gridSpan w:val="3"/>
            <w:vAlign w:val="center"/>
          </w:tcPr>
          <w:p>
            <w:pPr>
              <w:spacing w:before="60" w:after="60"/>
              <w:ind w:right="-29"/>
              <w:jc w:val="center"/>
              <w:rPr>
                <w:noProof/>
                <w:sz w:val="18"/>
                <w:szCs w:val="18"/>
              </w:rPr>
            </w:pPr>
            <w:r>
              <w:rPr>
                <w:noProof/>
                <w:sz w:val="18"/>
              </w:rPr>
              <w:t>POSEBNI CILJ br. 1</w:t>
            </w:r>
            <w:r>
              <w:rPr>
                <w:rStyle w:val="FootnoteReference"/>
                <w:noProof/>
              </w:rPr>
              <w:footnoteReference w:id="16"/>
            </w:r>
            <w:r>
              <w:rPr>
                <w:noProof/>
                <w:sz w:val="18"/>
              </w:rPr>
              <w:t>...</w:t>
            </w:r>
          </w:p>
        </w:tc>
        <w:tc>
          <w:tcPr>
            <w:tcW w:w="8080" w:type="dxa"/>
            <w:gridSpan w:val="10"/>
            <w:tcBorders>
              <w:top w:val="nil"/>
              <w:left w:val="nil"/>
              <w:bottom w:val="nil"/>
              <w:right w:val="single" w:sz="4" w:space="0" w:color="auto"/>
            </w:tcBorders>
          </w:tcPr>
          <w:p>
            <w:pPr>
              <w:spacing w:before="60" w:after="60"/>
              <w:ind w:right="-29"/>
              <w:jc w:val="center"/>
              <w:rPr>
                <w:noProof/>
                <w:sz w:val="18"/>
                <w:szCs w:val="18"/>
              </w:rPr>
            </w:pPr>
            <w:r>
              <w:rPr>
                <w:noProof/>
                <w:sz w:val="18"/>
                <w:szCs w:val="18"/>
              </w:rPr>
              <w:t>siguran i pouzdan rad HFR-a</w:t>
            </w:r>
          </w:p>
        </w:tc>
      </w:tr>
      <w:tr>
        <w:trPr>
          <w:trHeight w:hRule="exact" w:val="1224"/>
          <w:jc w:val="center"/>
        </w:trPr>
        <w:tc>
          <w:tcPr>
            <w:tcW w:w="1423" w:type="dxa"/>
          </w:tcPr>
          <w:p>
            <w:pPr>
              <w:ind w:right="-29"/>
              <w:jc w:val="center"/>
              <w:rPr>
                <w:noProof/>
                <w:sz w:val="18"/>
                <w:szCs w:val="18"/>
              </w:rPr>
            </w:pPr>
            <w:r>
              <w:rPr>
                <w:noProof/>
                <w:sz w:val="18"/>
              </w:rPr>
              <w:t>– Rezultat</w:t>
            </w:r>
          </w:p>
        </w:tc>
        <w:tc>
          <w:tcPr>
            <w:tcW w:w="1217" w:type="dxa"/>
          </w:tcPr>
          <w:p>
            <w:pPr>
              <w:ind w:right="-29"/>
              <w:jc w:val="center"/>
              <w:rPr>
                <w:noProof/>
                <w:sz w:val="18"/>
                <w:szCs w:val="18"/>
              </w:rPr>
            </w:pPr>
            <w:r>
              <w:rPr>
                <w:noProof/>
                <w:sz w:val="18"/>
                <w:szCs w:val="18"/>
              </w:rPr>
              <w:t>Broj dana rada u punom kapacitetu</w:t>
            </w:r>
          </w:p>
        </w:tc>
        <w:tc>
          <w:tcPr>
            <w:tcW w:w="850" w:type="dxa"/>
          </w:tcPr>
          <w:p>
            <w:pPr>
              <w:ind w:right="-29"/>
              <w:jc w:val="center"/>
              <w:rPr>
                <w:noProof/>
                <w:sz w:val="18"/>
                <w:szCs w:val="18"/>
              </w:rPr>
            </w:pPr>
            <w:r>
              <w:rPr>
                <w:noProof/>
                <w:sz w:val="18"/>
                <w:szCs w:val="18"/>
              </w:rPr>
              <w:t>nije primjenjivo</w:t>
            </w:r>
          </w:p>
        </w:tc>
        <w:tc>
          <w:tcPr>
            <w:tcW w:w="709" w:type="dxa"/>
            <w:tcBorders>
              <w:right w:val="dashSmallGap" w:sz="4" w:space="0" w:color="auto"/>
            </w:tcBorders>
          </w:tcPr>
          <w:p>
            <w:pPr>
              <w:ind w:right="-29"/>
              <w:jc w:val="center"/>
              <w:rPr>
                <w:noProof/>
                <w:sz w:val="18"/>
                <w:szCs w:val="18"/>
              </w:rPr>
            </w:pPr>
            <w:r>
              <w:rPr>
                <w:noProof/>
                <w:sz w:val="18"/>
                <w:szCs w:val="18"/>
              </w:rPr>
              <w:t>250</w:t>
            </w:r>
          </w:p>
        </w:tc>
        <w:tc>
          <w:tcPr>
            <w:tcW w:w="709" w:type="dxa"/>
            <w:tcBorders>
              <w:left w:val="dashSmallGap" w:sz="4" w:space="0" w:color="auto"/>
            </w:tcBorders>
          </w:tcPr>
          <w:p>
            <w:pPr>
              <w:ind w:right="-29"/>
              <w:jc w:val="center"/>
              <w:rPr>
                <w:noProof/>
                <w:sz w:val="18"/>
                <w:szCs w:val="18"/>
              </w:rPr>
            </w:pPr>
            <w:r>
              <w:rPr>
                <w:noProof/>
                <w:sz w:val="18"/>
                <w:szCs w:val="18"/>
              </w:rPr>
              <w:t>p.m.</w:t>
            </w:r>
          </w:p>
        </w:tc>
        <w:tc>
          <w:tcPr>
            <w:tcW w:w="708" w:type="dxa"/>
            <w:tcBorders>
              <w:right w:val="dashSmallGap" w:sz="4" w:space="0" w:color="auto"/>
            </w:tcBorders>
          </w:tcPr>
          <w:p>
            <w:pPr>
              <w:ind w:right="-29"/>
              <w:jc w:val="center"/>
              <w:rPr>
                <w:noProof/>
                <w:sz w:val="18"/>
                <w:szCs w:val="18"/>
              </w:rPr>
            </w:pPr>
            <w:r>
              <w:rPr>
                <w:noProof/>
                <w:sz w:val="18"/>
                <w:szCs w:val="18"/>
              </w:rPr>
              <w:t>250</w:t>
            </w:r>
          </w:p>
        </w:tc>
        <w:tc>
          <w:tcPr>
            <w:tcW w:w="851" w:type="dxa"/>
            <w:tcBorders>
              <w:left w:val="dashSmallGap" w:sz="4" w:space="0" w:color="auto"/>
            </w:tcBorders>
          </w:tcPr>
          <w:p>
            <w:pPr>
              <w:ind w:right="-29"/>
              <w:jc w:val="center"/>
              <w:rPr>
                <w:noProof/>
                <w:sz w:val="18"/>
                <w:szCs w:val="18"/>
              </w:rPr>
            </w:pPr>
            <w:r>
              <w:rPr>
                <w:noProof/>
                <w:sz w:val="18"/>
                <w:szCs w:val="18"/>
              </w:rPr>
              <w:t>p.m.</w:t>
            </w:r>
          </w:p>
        </w:tc>
        <w:tc>
          <w:tcPr>
            <w:tcW w:w="709" w:type="dxa"/>
            <w:tcBorders>
              <w:right w:val="dashSmallGap" w:sz="4" w:space="0" w:color="auto"/>
            </w:tcBorders>
          </w:tcPr>
          <w:p>
            <w:pPr>
              <w:ind w:right="-29"/>
              <w:jc w:val="center"/>
              <w:rPr>
                <w:noProof/>
                <w:sz w:val="18"/>
                <w:szCs w:val="18"/>
              </w:rPr>
            </w:pPr>
            <w:r>
              <w:rPr>
                <w:noProof/>
                <w:sz w:val="18"/>
                <w:szCs w:val="18"/>
              </w:rPr>
              <w:t>250</w:t>
            </w:r>
          </w:p>
        </w:tc>
        <w:tc>
          <w:tcPr>
            <w:tcW w:w="850" w:type="dxa"/>
            <w:tcBorders>
              <w:left w:val="dashSmallGap" w:sz="4" w:space="0" w:color="auto"/>
            </w:tcBorders>
          </w:tcPr>
          <w:p>
            <w:pPr>
              <w:ind w:right="-29"/>
              <w:jc w:val="center"/>
              <w:rPr>
                <w:noProof/>
                <w:sz w:val="18"/>
                <w:szCs w:val="18"/>
              </w:rPr>
            </w:pPr>
            <w:r>
              <w:rPr>
                <w:noProof/>
                <w:sz w:val="18"/>
                <w:szCs w:val="18"/>
              </w:rPr>
              <w:t>p.m.</w:t>
            </w:r>
          </w:p>
        </w:tc>
        <w:tc>
          <w:tcPr>
            <w:tcW w:w="851" w:type="dxa"/>
            <w:tcBorders>
              <w:right w:val="dashSmallGap" w:sz="4" w:space="0" w:color="auto"/>
            </w:tcBorders>
          </w:tcPr>
          <w:p>
            <w:pPr>
              <w:ind w:right="-29"/>
              <w:jc w:val="center"/>
              <w:rPr>
                <w:noProof/>
                <w:sz w:val="18"/>
                <w:szCs w:val="18"/>
              </w:rPr>
            </w:pPr>
            <w:r>
              <w:rPr>
                <w:noProof/>
                <w:sz w:val="18"/>
                <w:szCs w:val="18"/>
              </w:rPr>
              <w:t>250</w:t>
            </w:r>
          </w:p>
        </w:tc>
        <w:tc>
          <w:tcPr>
            <w:tcW w:w="850" w:type="dxa"/>
            <w:tcBorders>
              <w:left w:val="dashSmallGap" w:sz="4" w:space="0" w:color="auto"/>
            </w:tcBorders>
          </w:tcPr>
          <w:p>
            <w:pPr>
              <w:ind w:right="-29"/>
              <w:jc w:val="center"/>
              <w:rPr>
                <w:noProof/>
                <w:sz w:val="18"/>
                <w:szCs w:val="18"/>
              </w:rPr>
            </w:pPr>
            <w:r>
              <w:rPr>
                <w:noProof/>
                <w:sz w:val="18"/>
                <w:szCs w:val="18"/>
              </w:rPr>
              <w:t>p.m.</w:t>
            </w:r>
          </w:p>
        </w:tc>
        <w:tc>
          <w:tcPr>
            <w:tcW w:w="851" w:type="dxa"/>
          </w:tcPr>
          <w:p>
            <w:pPr>
              <w:ind w:right="-29"/>
              <w:jc w:val="center"/>
              <w:rPr>
                <w:noProof/>
                <w:sz w:val="18"/>
                <w:szCs w:val="18"/>
              </w:rPr>
            </w:pPr>
            <w:r>
              <w:rPr>
                <w:noProof/>
                <w:sz w:val="18"/>
                <w:szCs w:val="18"/>
              </w:rPr>
              <w:t>1 000</w:t>
            </w:r>
          </w:p>
        </w:tc>
        <w:tc>
          <w:tcPr>
            <w:tcW w:w="992" w:type="dxa"/>
          </w:tcPr>
          <w:p>
            <w:pPr>
              <w:ind w:right="-29"/>
              <w:jc w:val="center"/>
              <w:rPr>
                <w:noProof/>
                <w:sz w:val="18"/>
                <w:szCs w:val="18"/>
              </w:rPr>
            </w:pPr>
            <w:r>
              <w:rPr>
                <w:noProof/>
                <w:sz w:val="18"/>
                <w:szCs w:val="18"/>
              </w:rPr>
              <w:t>p.m.</w:t>
            </w:r>
          </w:p>
        </w:tc>
      </w:tr>
      <w:tr>
        <w:trPr>
          <w:trHeight w:val="77"/>
          <w:jc w:val="center"/>
        </w:trPr>
        <w:tc>
          <w:tcPr>
            <w:tcW w:w="3490" w:type="dxa"/>
            <w:gridSpan w:val="3"/>
            <w:tcBorders>
              <w:bottom w:val="single" w:sz="12" w:space="0" w:color="auto"/>
            </w:tcBorders>
            <w:vAlign w:val="center"/>
          </w:tcPr>
          <w:p>
            <w:pPr>
              <w:ind w:right="-29"/>
              <w:jc w:val="center"/>
              <w:rPr>
                <w:noProof/>
                <w:sz w:val="18"/>
                <w:szCs w:val="18"/>
              </w:rPr>
            </w:pPr>
            <w:r>
              <w:rPr>
                <w:noProof/>
                <w:sz w:val="18"/>
              </w:rPr>
              <w:t>Međuzbroj za posebni cilj br. 1</w:t>
            </w:r>
          </w:p>
        </w:tc>
        <w:tc>
          <w:tcPr>
            <w:tcW w:w="709" w:type="dxa"/>
            <w:tcBorders>
              <w:bottom w:val="single" w:sz="12" w:space="0" w:color="auto"/>
            </w:tcBorders>
          </w:tcPr>
          <w:p>
            <w:pPr>
              <w:ind w:right="-29"/>
              <w:jc w:val="center"/>
              <w:rPr>
                <w:noProof/>
                <w:sz w:val="18"/>
                <w:szCs w:val="18"/>
              </w:rPr>
            </w:pPr>
            <w:r>
              <w:rPr>
                <w:noProof/>
                <w:sz w:val="18"/>
                <w:szCs w:val="18"/>
              </w:rPr>
              <w:t>250</w:t>
            </w:r>
          </w:p>
        </w:tc>
        <w:tc>
          <w:tcPr>
            <w:tcW w:w="709" w:type="dxa"/>
            <w:tcBorders>
              <w:bottom w:val="single" w:sz="12" w:space="0" w:color="auto"/>
            </w:tcBorders>
          </w:tcPr>
          <w:p>
            <w:pPr>
              <w:ind w:right="-29"/>
              <w:jc w:val="center"/>
              <w:rPr>
                <w:noProof/>
                <w:sz w:val="18"/>
                <w:szCs w:val="18"/>
              </w:rPr>
            </w:pPr>
            <w:r>
              <w:rPr>
                <w:noProof/>
                <w:sz w:val="18"/>
                <w:szCs w:val="18"/>
              </w:rPr>
              <w:t>p.m.</w:t>
            </w:r>
          </w:p>
        </w:tc>
        <w:tc>
          <w:tcPr>
            <w:tcW w:w="708" w:type="dxa"/>
            <w:tcBorders>
              <w:bottom w:val="single" w:sz="12" w:space="0" w:color="auto"/>
            </w:tcBorders>
          </w:tcPr>
          <w:p>
            <w:pPr>
              <w:ind w:right="-29"/>
              <w:jc w:val="center"/>
              <w:rPr>
                <w:noProof/>
                <w:sz w:val="18"/>
                <w:szCs w:val="18"/>
              </w:rPr>
            </w:pPr>
            <w:r>
              <w:rPr>
                <w:noProof/>
                <w:sz w:val="18"/>
                <w:szCs w:val="18"/>
              </w:rPr>
              <w:t>250</w:t>
            </w:r>
          </w:p>
        </w:tc>
        <w:tc>
          <w:tcPr>
            <w:tcW w:w="851" w:type="dxa"/>
            <w:tcBorders>
              <w:bottom w:val="single" w:sz="12" w:space="0" w:color="auto"/>
            </w:tcBorders>
          </w:tcPr>
          <w:p>
            <w:pPr>
              <w:ind w:right="-29"/>
              <w:jc w:val="center"/>
              <w:rPr>
                <w:noProof/>
                <w:sz w:val="18"/>
                <w:szCs w:val="18"/>
              </w:rPr>
            </w:pPr>
            <w:r>
              <w:rPr>
                <w:noProof/>
                <w:sz w:val="18"/>
                <w:szCs w:val="18"/>
              </w:rPr>
              <w:t>p.m.</w:t>
            </w:r>
          </w:p>
        </w:tc>
        <w:tc>
          <w:tcPr>
            <w:tcW w:w="709" w:type="dxa"/>
            <w:tcBorders>
              <w:bottom w:val="single" w:sz="12" w:space="0" w:color="auto"/>
            </w:tcBorders>
          </w:tcPr>
          <w:p>
            <w:pPr>
              <w:ind w:right="-29"/>
              <w:jc w:val="center"/>
              <w:rPr>
                <w:noProof/>
                <w:sz w:val="18"/>
                <w:szCs w:val="18"/>
              </w:rPr>
            </w:pPr>
            <w:r>
              <w:rPr>
                <w:noProof/>
                <w:sz w:val="18"/>
                <w:szCs w:val="18"/>
              </w:rPr>
              <w:t>250</w:t>
            </w:r>
          </w:p>
        </w:tc>
        <w:tc>
          <w:tcPr>
            <w:tcW w:w="850" w:type="dxa"/>
            <w:tcBorders>
              <w:bottom w:val="single" w:sz="12" w:space="0" w:color="auto"/>
            </w:tcBorders>
          </w:tcPr>
          <w:p>
            <w:pPr>
              <w:ind w:right="-29"/>
              <w:jc w:val="center"/>
              <w:rPr>
                <w:noProof/>
                <w:sz w:val="18"/>
                <w:szCs w:val="18"/>
              </w:rPr>
            </w:pPr>
            <w:r>
              <w:rPr>
                <w:noProof/>
                <w:sz w:val="18"/>
                <w:szCs w:val="18"/>
              </w:rPr>
              <w:t>p.m.</w:t>
            </w:r>
          </w:p>
        </w:tc>
        <w:tc>
          <w:tcPr>
            <w:tcW w:w="851" w:type="dxa"/>
            <w:tcBorders>
              <w:bottom w:val="single" w:sz="12" w:space="0" w:color="auto"/>
            </w:tcBorders>
          </w:tcPr>
          <w:p>
            <w:pPr>
              <w:ind w:right="-29"/>
              <w:jc w:val="center"/>
              <w:rPr>
                <w:noProof/>
                <w:sz w:val="18"/>
                <w:szCs w:val="18"/>
              </w:rPr>
            </w:pPr>
            <w:r>
              <w:rPr>
                <w:noProof/>
                <w:sz w:val="18"/>
                <w:szCs w:val="18"/>
              </w:rPr>
              <w:t>250</w:t>
            </w:r>
          </w:p>
        </w:tc>
        <w:tc>
          <w:tcPr>
            <w:tcW w:w="850" w:type="dxa"/>
            <w:tcBorders>
              <w:bottom w:val="single" w:sz="12" w:space="0" w:color="auto"/>
            </w:tcBorders>
          </w:tcPr>
          <w:p>
            <w:pPr>
              <w:ind w:right="-29"/>
              <w:jc w:val="center"/>
              <w:rPr>
                <w:noProof/>
                <w:sz w:val="18"/>
                <w:szCs w:val="18"/>
              </w:rPr>
            </w:pPr>
            <w:r>
              <w:rPr>
                <w:noProof/>
                <w:sz w:val="18"/>
                <w:szCs w:val="18"/>
              </w:rPr>
              <w:t>p.m.</w:t>
            </w:r>
          </w:p>
        </w:tc>
        <w:tc>
          <w:tcPr>
            <w:tcW w:w="851" w:type="dxa"/>
            <w:tcBorders>
              <w:bottom w:val="single" w:sz="12" w:space="0" w:color="auto"/>
            </w:tcBorders>
          </w:tcPr>
          <w:p>
            <w:pPr>
              <w:ind w:right="-29"/>
              <w:jc w:val="center"/>
              <w:rPr>
                <w:noProof/>
                <w:sz w:val="18"/>
                <w:szCs w:val="18"/>
              </w:rPr>
            </w:pPr>
            <w:r>
              <w:rPr>
                <w:noProof/>
                <w:sz w:val="18"/>
                <w:szCs w:val="18"/>
              </w:rPr>
              <w:t>1 000</w:t>
            </w:r>
          </w:p>
        </w:tc>
        <w:tc>
          <w:tcPr>
            <w:tcW w:w="992" w:type="dxa"/>
            <w:tcBorders>
              <w:bottom w:val="single" w:sz="12" w:space="0" w:color="auto"/>
            </w:tcBorders>
          </w:tcPr>
          <w:p>
            <w:pPr>
              <w:ind w:right="-29"/>
              <w:jc w:val="center"/>
              <w:rPr>
                <w:noProof/>
                <w:sz w:val="18"/>
                <w:szCs w:val="18"/>
              </w:rPr>
            </w:pPr>
            <w:r>
              <w:rPr>
                <w:noProof/>
                <w:sz w:val="18"/>
                <w:szCs w:val="18"/>
              </w:rPr>
              <w:t>p.m.</w:t>
            </w:r>
          </w:p>
        </w:tc>
      </w:tr>
      <w:tr>
        <w:trPr>
          <w:jc w:val="center"/>
        </w:trPr>
        <w:tc>
          <w:tcPr>
            <w:tcW w:w="3490"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UKUPNO</w:t>
            </w:r>
          </w:p>
        </w:tc>
        <w:tc>
          <w:tcPr>
            <w:tcW w:w="709"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250</w:t>
            </w:r>
          </w:p>
        </w:tc>
        <w:tc>
          <w:tcPr>
            <w:tcW w:w="709"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p.m.</w:t>
            </w:r>
          </w:p>
        </w:tc>
        <w:tc>
          <w:tcPr>
            <w:tcW w:w="708"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250</w:t>
            </w:r>
          </w:p>
        </w:tc>
        <w:tc>
          <w:tcPr>
            <w:tcW w:w="851"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p.m.</w:t>
            </w:r>
          </w:p>
        </w:tc>
        <w:tc>
          <w:tcPr>
            <w:tcW w:w="709"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250</w:t>
            </w:r>
          </w:p>
        </w:tc>
        <w:tc>
          <w:tcPr>
            <w:tcW w:w="85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p.m.</w:t>
            </w:r>
          </w:p>
        </w:tc>
        <w:tc>
          <w:tcPr>
            <w:tcW w:w="851"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250</w:t>
            </w:r>
          </w:p>
        </w:tc>
        <w:tc>
          <w:tcPr>
            <w:tcW w:w="85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p.m.</w:t>
            </w:r>
          </w:p>
        </w:tc>
        <w:tc>
          <w:tcPr>
            <w:tcW w:w="851"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1 000</w:t>
            </w:r>
          </w:p>
        </w:tc>
        <w:tc>
          <w:tcPr>
            <w:tcW w:w="992"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p.m.</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pPr>
        <w:pStyle w:val="ManualHeading3"/>
        <w:rPr>
          <w:noProof/>
          <w:szCs w:val="24"/>
        </w:rPr>
      </w:pPr>
      <w:r>
        <w:t>3.2.3.</w:t>
      </w:r>
      <w:r>
        <w:tab/>
      </w:r>
      <w:r>
        <w:rPr>
          <w:noProof/>
        </w:rPr>
        <w:t xml:space="preserve">Sažetak procijenjenog učinka na administrativna odobrena sredstva </w:t>
      </w:r>
    </w:p>
    <w:p>
      <w:pPr>
        <w:pStyle w:val="Text1"/>
        <w:rPr>
          <w:noProof/>
        </w:rPr>
      </w:pPr>
      <w:r>
        <w:rPr>
          <w:noProof/>
        </w:rPr>
        <w:sym w:font="Wingdings" w:char="F078"/>
      </w:r>
      <w:r>
        <w:rPr>
          <w:noProof/>
        </w:rPr>
        <w:tab/>
        <w:t xml:space="preserve">Za prijedlog/inicijativu nisu potrebna administrativna odobrena sredstva. </w:t>
      </w:r>
    </w:p>
    <w:p>
      <w:pPr>
        <w:pStyle w:val="Text1"/>
        <w:rPr>
          <w:noProof/>
        </w:rPr>
      </w:pPr>
      <w:r>
        <w:rPr>
          <w:noProof/>
        </w:rPr>
        <w:sym w:font="Wingdings" w:char="F0A8"/>
      </w:r>
      <w:r>
        <w:rPr>
          <w:noProof/>
        </w:rPr>
        <w:tab/>
        <w:t>Za prijedlog/inicijativu potrebna su sljedeća administrativna odobrena sredstva:</w:t>
      </w:r>
    </w:p>
    <w:p>
      <w:pPr>
        <w:jc w:val="right"/>
        <w:rPr>
          <w:noProof/>
          <w:sz w:val="20"/>
        </w:rPr>
      </w:pPr>
      <w:r>
        <w:rPr>
          <w:noProof/>
          <w:sz w:val="20"/>
        </w:rPr>
        <w:t>U milijunima EUR (do trećeg decimalnog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Godina</w:t>
            </w:r>
            <w:r>
              <w:rPr>
                <w:noProof/>
              </w:rPr>
              <w:br/>
            </w:r>
            <w:r>
              <w:rPr>
                <w:b/>
                <w:noProof/>
                <w:sz w:val="16"/>
              </w:rPr>
              <w:t xml:space="preserve">N </w:t>
            </w:r>
            <w:r>
              <w:rPr>
                <w:rStyle w:val="FootnoteReference"/>
                <w:noProof/>
              </w:rPr>
              <w:footnoteReference w:id="17"/>
            </w:r>
          </w:p>
        </w:tc>
        <w:tc>
          <w:tcPr>
            <w:tcW w:w="1080" w:type="dxa"/>
            <w:vAlign w:val="center"/>
          </w:tcPr>
          <w:p>
            <w:pPr>
              <w:spacing w:before="60" w:after="60" w:line="200" w:lineRule="exact"/>
              <w:jc w:val="center"/>
              <w:rPr>
                <w:noProof/>
                <w:sz w:val="16"/>
                <w:szCs w:val="16"/>
              </w:rPr>
            </w:pPr>
            <w:r>
              <w:rPr>
                <w:noProof/>
                <w:sz w:val="16"/>
              </w:rPr>
              <w:t>Godina</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Godina</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Godina</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Unijeti onoliko godina koliko je potrebno za prikaz trajanja učinka (vidjeti točku 1.6.)</w:t>
            </w:r>
          </w:p>
        </w:tc>
        <w:tc>
          <w:tcPr>
            <w:tcW w:w="1080" w:type="dxa"/>
            <w:vAlign w:val="center"/>
          </w:tcPr>
          <w:p>
            <w:pPr>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NASLOV 5</w:t>
            </w:r>
            <w:r>
              <w:rPr>
                <w:noProof/>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Ostali administrativni rashodi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 za NASLOV 5</w:t>
            </w:r>
            <w:r>
              <w:rPr>
                <w:noProof/>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Izvan NASLOVA 5.</w:t>
            </w:r>
            <w:r>
              <w:rPr>
                <w:rStyle w:val="FootnoteReference"/>
                <w:noProof/>
              </w:rPr>
              <w:footnoteReference w:id="18"/>
            </w:r>
            <w:r>
              <w:rPr>
                <w:noProof/>
              </w:rPr>
              <w:br/>
            </w:r>
            <w:r>
              <w:rPr>
                <w:b/>
                <w:noProof/>
                <w:sz w:val="16"/>
              </w:rPr>
              <w:t xml:space="preserve">of the multiannual financial framework </w:t>
            </w:r>
          </w:p>
          <w:p>
            <w:pPr>
              <w:spacing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Ostali </w:t>
            </w:r>
            <w:r>
              <w:rPr>
                <w:noProof/>
              </w:rPr>
              <w:br/>
            </w:r>
            <w:r>
              <w:rPr>
                <w:noProof/>
                <w:sz w:val="16"/>
              </w:rPr>
              <w:t>administrativni rashodi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Međuzbroj </w:t>
            </w:r>
            <w:r>
              <w:rPr>
                <w:noProof/>
              </w:rPr>
              <w:br/>
            </w:r>
            <w:r>
              <w:rPr>
                <w:b/>
                <w:noProof/>
                <w:sz w:val="16"/>
              </w:rPr>
              <w:t>izvan NASLOVA 5</w:t>
            </w:r>
            <w:r>
              <w:rPr>
                <w:noProof/>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Potrebna odobrena sredstva za ljudske resurse i ostale administrativne rashode pokrit će se odobrenim sredstvima glavne uprave koja su već dodijeljena za upravljanje djelovanjem i/ili su preraspodijeljena unutar glavne uprave te, prema potrebi, bilo kojim dodatnim sredstvima koja se mogu dodijeliti nadležnoj glavnoj upravi u okviru godišnjeg postupka dodjele sredstava uzimajući u obzir proračunska ograničenja.</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noProof/>
          <w:szCs w:val="24"/>
        </w:rPr>
      </w:pPr>
      <w:r>
        <w:t>3.2.3.1.</w:t>
      </w:r>
      <w:r>
        <w:tab/>
      </w:r>
      <w:r>
        <w:rPr>
          <w:noProof/>
        </w:rPr>
        <w:t xml:space="preserve">Procijenjene potrebe u pogledu ljudskih resursa </w:t>
      </w:r>
    </w:p>
    <w:p>
      <w:pPr>
        <w:pStyle w:val="Text1"/>
        <w:rPr>
          <w:noProof/>
        </w:rPr>
      </w:pPr>
      <w:r>
        <w:rPr>
          <w:noProof/>
        </w:rPr>
        <w:sym w:font="Wingdings" w:char="F078"/>
      </w:r>
      <w:r>
        <w:rPr>
          <w:noProof/>
        </w:rPr>
        <w:tab/>
        <w:t xml:space="preserve">Za prijedlog/inicijativu nisu potrebni ljudski resursi. </w:t>
      </w:r>
    </w:p>
    <w:p>
      <w:pPr>
        <w:pStyle w:val="Text1"/>
        <w:rPr>
          <w:noProof/>
        </w:rPr>
      </w:pPr>
      <w:r>
        <w:rPr>
          <w:noProof/>
        </w:rPr>
        <w:sym w:font="Wingdings" w:char="F0A8"/>
      </w:r>
      <w:r>
        <w:rPr>
          <w:noProof/>
        </w:rPr>
        <w:tab/>
        <w:t>Za prijedlog/inicijativu potrebni su sljedeći ljudski resursi:</w:t>
      </w:r>
    </w:p>
    <w:p>
      <w:pPr>
        <w:spacing w:after="60"/>
        <w:jc w:val="right"/>
        <w:rPr>
          <w:i/>
          <w:noProof/>
          <w:sz w:val="20"/>
        </w:rPr>
      </w:pPr>
      <w:r>
        <w:rPr>
          <w:i/>
          <w:noProof/>
          <w:sz w:val="20"/>
        </w:rPr>
        <w:t>Procjenu navesti u ekvivalentima punog radnog vremena</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spacing w:before="40" w:after="4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Godina</w:t>
            </w:r>
            <w:r>
              <w:rPr>
                <w:noProof/>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Godina</w:t>
            </w:r>
            <w:r>
              <w:rPr>
                <w:noProof/>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szCs w:val="16"/>
              </w:rPr>
              <w:t xml:space="preserve">Godina </w:t>
            </w:r>
            <w:r>
              <w:rPr>
                <w:b/>
                <w:noProof/>
                <w:sz w:val="16"/>
                <w:szCs w:val="16"/>
              </w:rPr>
              <w:t>N+2</w:t>
            </w:r>
          </w:p>
        </w:tc>
        <w:tc>
          <w:tcPr>
            <w:tcW w:w="600" w:type="dxa"/>
            <w:shd w:val="clear" w:color="auto" w:fill="auto"/>
            <w:vAlign w:val="center"/>
          </w:tcPr>
          <w:p>
            <w:pPr>
              <w:spacing w:before="20" w:after="20"/>
              <w:jc w:val="center"/>
              <w:rPr>
                <w:noProof/>
                <w:sz w:val="16"/>
                <w:szCs w:val="16"/>
              </w:rPr>
            </w:pPr>
            <w:r>
              <w:rPr>
                <w:noProof/>
                <w:sz w:val="16"/>
                <w:szCs w:val="16"/>
              </w:rPr>
              <w:t xml:space="preserve">Godina </w:t>
            </w:r>
            <w:r>
              <w:rPr>
                <w:b/>
                <w:noProof/>
                <w:sz w:val="16"/>
                <w:szCs w:val="16"/>
              </w:rPr>
              <w:t>N+3</w:t>
            </w:r>
          </w:p>
        </w:tc>
        <w:tc>
          <w:tcPr>
            <w:tcW w:w="600" w:type="dxa"/>
            <w:gridSpan w:val="3"/>
            <w:shd w:val="clear" w:color="auto" w:fill="auto"/>
            <w:vAlign w:val="center"/>
          </w:tcPr>
          <w:p>
            <w:pPr>
              <w:jc w:val="center"/>
              <w:rPr>
                <w:b/>
                <w:noProof/>
                <w:sz w:val="16"/>
                <w:szCs w:val="16"/>
              </w:rPr>
            </w:pPr>
            <w:r>
              <w:rPr>
                <w:noProof/>
                <w:sz w:val="16"/>
              </w:rPr>
              <w:t>Unijeti onoliko godina koliko je potrebno za prikaz trajanja učinka (vidjeti točku 1.6.)</w:t>
            </w:r>
          </w:p>
        </w:tc>
      </w:tr>
      <w:tr>
        <w:trPr>
          <w:gridBefore w:val="1"/>
          <w:wBefore w:w="13" w:type="dxa"/>
          <w:trHeight w:val="289"/>
          <w:jc w:val="center"/>
        </w:trPr>
        <w:tc>
          <w:tcPr>
            <w:tcW w:w="600" w:type="dxa"/>
            <w:gridSpan w:val="9"/>
            <w:shd w:val="clear" w:color="auto" w:fill="auto"/>
          </w:tcPr>
          <w:p>
            <w:pPr>
              <w:rPr>
                <w:noProof/>
                <w:sz w:val="16"/>
                <w:szCs w:val="16"/>
              </w:rPr>
            </w:pPr>
            <w:r>
              <w:rPr>
                <w:b/>
                <w:noProof/>
                <w:sz w:val="16"/>
              </w:rPr>
              <w:sym w:font="Wingdings" w:char="F09F"/>
            </w:r>
            <w:r>
              <w:rPr>
                <w:b/>
                <w:noProof/>
                <w:sz w:val="16"/>
              </w:rPr>
              <w:t>Radna mjesta prema planu radnih mjesta (dužnosnici i privremeno osoblje)</w:t>
            </w: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rPr>
                <w:b/>
                <w:noProof/>
                <w:sz w:val="16"/>
                <w:szCs w:val="16"/>
              </w:rPr>
            </w:pPr>
            <w:r>
              <w:rPr>
                <w:noProof/>
                <w:sz w:val="16"/>
              </w:rPr>
              <w:t>XX 01 01 01 (sjedište i predstavništva Komisije)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rPr>
                <w:noProof/>
                <w:sz w:val="16"/>
                <w:szCs w:val="16"/>
              </w:rPr>
            </w:pPr>
            <w:r>
              <w:rPr>
                <w:noProof/>
                <w:sz w:val="16"/>
              </w:rPr>
              <w:t>XX 01 01 02 (delegacije)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rPr>
                <w:noProof/>
                <w:sz w:val="16"/>
                <w:szCs w:val="16"/>
              </w:rPr>
            </w:pPr>
            <w:r>
              <w:rPr>
                <w:noProof/>
                <w:sz w:val="16"/>
              </w:rPr>
              <w:t>XX 01 05 01/11/21 (neizravno istraživanje)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rPr>
                <w:noProof/>
                <w:sz w:val="16"/>
                <w:szCs w:val="16"/>
              </w:rPr>
            </w:pPr>
            <w:r>
              <w:rPr>
                <w:noProof/>
                <w:sz w:val="16"/>
              </w:rPr>
              <w:t>10 01 05 01/11 (izravno istraživanje)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spacing w:before="60" w:after="60"/>
              <w:rPr>
                <w:b/>
                <w:noProof/>
                <w:sz w:val="16"/>
                <w:szCs w:val="16"/>
              </w:rPr>
            </w:pPr>
            <w:r>
              <w:rPr>
                <w:b/>
                <w:noProof/>
                <w:sz w:val="16"/>
              </w:rPr>
              <w:sym w:font="Wingdings" w:char="F09F"/>
            </w:r>
            <w:r>
              <w:rPr>
                <w:b/>
                <w:noProof/>
                <w:sz w:val="16"/>
              </w:rPr>
              <w:t>Vanjsko osoblje (u ekvivalentu punog radnog vremena: EPRV)</w:t>
            </w:r>
            <w:r>
              <w:rPr>
                <w:rStyle w:val="FootnoteReference"/>
                <w:noProof/>
              </w:rPr>
              <w:footnoteReference w:id="19"/>
            </w:r>
          </w:p>
          <w:p>
            <w:pPr>
              <w:spacing w:after="0"/>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rPr>
                <w:b/>
                <w:noProof/>
                <w:sz w:val="16"/>
                <w:szCs w:val="16"/>
              </w:rPr>
            </w:pPr>
            <w:r>
              <w:rPr>
                <w:noProof/>
                <w:sz w:val="16"/>
              </w:rPr>
              <w:t>XX 01 02 01 (UO, UNS, UsO iz „globalne omotnice”)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rPr>
                <w:noProof/>
                <w:sz w:val="16"/>
                <w:szCs w:val="16"/>
              </w:rPr>
            </w:pPr>
            <w:r>
              <w:rPr>
                <w:noProof/>
                <w:sz w:val="16"/>
              </w:rPr>
              <w:t>XX 01 02 02 (UO, LO, UNS, UsO i MSD u delegacijama)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spacing w:beforeLines="20" w:before="48" w:afterLines="20" w:after="48"/>
              <w:ind w:left="136"/>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noProof/>
              </w:rPr>
              <w:footnoteReference w:id="20"/>
            </w:r>
          </w:p>
          <w:p>
            <w:pPr>
              <w:spacing w:beforeLines="20" w:before="48" w:afterLines="20" w:after="48"/>
              <w:ind w:left="136"/>
              <w:rPr>
                <w:b/>
                <w:noProof/>
                <w:sz w:val="16"/>
                <w:szCs w:val="16"/>
              </w:rPr>
            </w:pPr>
          </w:p>
        </w:tc>
        <w:tc>
          <w:tcPr>
            <w:tcW w:w="1954" w:type="dxa"/>
            <w:shd w:val="clear" w:color="auto" w:fill="auto"/>
            <w:vAlign w:val="center"/>
          </w:tcPr>
          <w:p>
            <w:pPr>
              <w:spacing w:beforeLines="20" w:before="48" w:afterLines="20" w:after="48"/>
              <w:ind w:left="136"/>
              <w:rPr>
                <w:b/>
                <w:noProof/>
                <w:sz w:val="16"/>
                <w:szCs w:val="16"/>
              </w:rPr>
            </w:pPr>
            <w:r>
              <w:rPr>
                <w:noProof/>
                <w:sz w:val="16"/>
              </w:rPr>
              <w:t>– u sjedištima</w:t>
            </w:r>
          </w:p>
          <w:p>
            <w:pPr>
              <w:spacing w:beforeLines="20" w:before="48" w:afterLines="20" w:after="48"/>
              <w:ind w:left="136"/>
              <w:rPr>
                <w:b/>
                <w:noProof/>
                <w:sz w:val="16"/>
                <w:szCs w:val="16"/>
              </w:rPr>
            </w:pP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spacing w:beforeLines="20" w:before="48" w:afterLines="20" w:after="48"/>
              <w:ind w:left="136"/>
              <w:rPr>
                <w:b/>
                <w:noProof/>
                <w:sz w:val="16"/>
                <w:szCs w:val="16"/>
              </w:rPr>
            </w:pPr>
          </w:p>
        </w:tc>
        <w:tc>
          <w:tcPr>
            <w:tcW w:w="1954" w:type="dxa"/>
            <w:shd w:val="clear" w:color="auto" w:fill="auto"/>
            <w:vAlign w:val="center"/>
          </w:tcPr>
          <w:p>
            <w:pPr>
              <w:spacing w:beforeLines="20" w:before="48" w:afterLines="20" w:after="48"/>
              <w:ind w:left="136"/>
              <w:rPr>
                <w:b/>
                <w:noProof/>
                <w:sz w:val="16"/>
                <w:szCs w:val="16"/>
              </w:rPr>
            </w:pPr>
            <w:r>
              <w:rPr>
                <w:noProof/>
                <w:sz w:val="16"/>
              </w:rPr>
              <w:t xml:space="preserve">– u delegacijama </w:t>
            </w: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rPr>
                <w:noProof/>
                <w:sz w:val="16"/>
                <w:szCs w:val="16"/>
              </w:rPr>
            </w:pPr>
            <w:r>
              <w:rPr>
                <w:b/>
                <w:noProof/>
                <w:sz w:val="16"/>
                <w:szCs w:val="16"/>
              </w:rPr>
              <w:t>XX</w:t>
            </w:r>
            <w:r>
              <w:rPr>
                <w:noProof/>
                <w:sz w:val="16"/>
                <w:szCs w:val="16"/>
              </w:rPr>
              <w:t> 01 05 02/12/22 (UO, UNS, UsO – neizravno istraživanje)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rPr>
                <w:noProof/>
                <w:sz w:val="16"/>
                <w:szCs w:val="16"/>
              </w:rPr>
            </w:pPr>
            <w:r>
              <w:rPr>
                <w:noProof/>
                <w:sz w:val="16"/>
              </w:rPr>
              <w:t>10 01 05 02/12 (UO, UNS, UsO – izravno istraživanje)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spacing w:beforeLines="20" w:before="48" w:afterLines="20" w:after="48"/>
              <w:ind w:left="134"/>
              <w:rPr>
                <w:noProof/>
                <w:sz w:val="16"/>
                <w:szCs w:val="16"/>
              </w:rPr>
            </w:pPr>
            <w:r>
              <w:rPr>
                <w:noProof/>
                <w:sz w:val="16"/>
              </w:rPr>
              <w:t>Ostale proračunske linije (navesti)</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spacing w:beforeLines="20" w:before="48" w:afterLines="20" w:after="48"/>
              <w:ind w:left="136"/>
              <w:rPr>
                <w:noProof/>
                <w:sz w:val="16"/>
                <w:szCs w:val="16"/>
              </w:rPr>
            </w:pPr>
            <w:r>
              <w:rPr>
                <w:b/>
                <w:noProof/>
                <w:sz w:val="16"/>
              </w:rPr>
              <w:t>UKUPNO</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ind w:left="851"/>
        <w:rPr>
          <w:noProof/>
          <w:sz w:val="18"/>
          <w:szCs w:val="18"/>
        </w:rPr>
      </w:pPr>
      <w:r>
        <w:rPr>
          <w:b/>
          <w:noProof/>
          <w:sz w:val="18"/>
          <w:szCs w:val="18"/>
        </w:rPr>
        <w:t>XX</w:t>
      </w:r>
      <w:r>
        <w:rPr>
          <w:noProof/>
          <w:sz w:val="18"/>
          <w:szCs w:val="18"/>
        </w:rPr>
        <w:t xml:space="preserve"> se odnosi na odgovarajuće područje politike ili glavu proračuna.</w:t>
      </w:r>
    </w:p>
    <w:p>
      <w:pPr>
        <w:ind w:left="850"/>
        <w:rPr>
          <w:noProof/>
          <w:sz w:val="18"/>
          <w:szCs w:val="18"/>
        </w:rPr>
      </w:pPr>
      <w:r>
        <w:rPr>
          <w:noProof/>
          <w:sz w:val="18"/>
        </w:rPr>
        <w:t>Potrebe za ljudskim resursima pokrit će se osobljem glavne uprave kojemu je već povjereno upravljanje djelovanjem i/ili koje je preraspoređeno unutar glavne uprave te, prema potrebi, resursima koji se mogu dodijeliti nadležnoj glavnoj upravi u okviru godišnjeg postupka dodjele sredstava uzimajući u obzir proračunska ograničenja.</w:t>
      </w:r>
    </w:p>
    <w:p>
      <w:pPr>
        <w:rPr>
          <w:noProof/>
          <w:sz w:val="20"/>
        </w:rPr>
      </w:pPr>
      <w:r>
        <w:rPr>
          <w:noProof/>
          <w:sz w:val="20"/>
        </w:rPr>
        <w:t>Opis zadaća: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Dužnosnici i privremeno osoblje</w:t>
            </w:r>
          </w:p>
        </w:tc>
        <w:tc>
          <w:tcPr>
            <w:tcW w:w="7200" w:type="dxa"/>
          </w:tcPr>
          <w:p>
            <w:pPr>
              <w:rPr>
                <w:noProof/>
                <w:sz w:val="20"/>
              </w:rPr>
            </w:pPr>
            <w:r>
              <w:rPr>
                <w:noProof/>
                <w:sz w:val="20"/>
              </w:rPr>
              <w:t>JRC obavlja samo zadaću upravljanja dodatnim programom. Ta se zadaća obavlja sredstvima koja se u cijelosti financiraju iz namjenskog prihoda dodatnog istraživačkog programa.</w:t>
            </w:r>
          </w:p>
        </w:tc>
      </w:tr>
      <w:tr>
        <w:tc>
          <w:tcPr>
            <w:tcW w:w="3240" w:type="dxa"/>
          </w:tcPr>
          <w:p>
            <w:pPr>
              <w:spacing w:before="60" w:after="60"/>
              <w:rPr>
                <w:noProof/>
                <w:sz w:val="20"/>
              </w:rPr>
            </w:pPr>
            <w:r>
              <w:rPr>
                <w:noProof/>
                <w:sz w:val="20"/>
              </w:rPr>
              <w:t>Vanjsko osoblje</w:t>
            </w:r>
          </w:p>
        </w:tc>
        <w:tc>
          <w:tcPr>
            <w:tcW w:w="7200" w:type="dxa"/>
          </w:tcPr>
          <w:p>
            <w:pPr>
              <w:rPr>
                <w:noProof/>
                <w:sz w:val="20"/>
              </w:rPr>
            </w:pPr>
            <w:r>
              <w:rPr>
                <w:noProof/>
                <w:sz w:val="20"/>
              </w:rPr>
              <w:t>Nije primjenjivo</w:t>
            </w:r>
          </w:p>
        </w:tc>
      </w:tr>
    </w:tbl>
    <w:p>
      <w:pPr>
        <w:rPr>
          <w:noProof/>
        </w:rPr>
        <w:sectPr>
          <w:pgSz w:w="11907" w:h="16840"/>
          <w:pgMar w:top="1134" w:right="1418" w:bottom="1134" w:left="1418" w:header="709" w:footer="709" w:gutter="0"/>
          <w:cols w:space="708"/>
          <w:docGrid w:linePitch="360"/>
        </w:sectPr>
      </w:pPr>
    </w:p>
    <w:p>
      <w:pPr>
        <w:pStyle w:val="ManualHeading3"/>
        <w:rPr>
          <w:noProof/>
        </w:rPr>
      </w:pPr>
      <w:r>
        <w:t>3.2.4.</w:t>
      </w:r>
      <w:r>
        <w:tab/>
      </w:r>
      <w:r>
        <w:rPr>
          <w:noProof/>
        </w:rPr>
        <w:t xml:space="preserve">Usklađenost s aktualnim višegodišnjim financijskim okvirom </w:t>
      </w:r>
    </w:p>
    <w:p>
      <w:pPr>
        <w:ind w:left="850"/>
        <w:rPr>
          <w:noProof/>
        </w:rPr>
      </w:pPr>
      <w:r>
        <w:rPr>
          <w:noProof/>
        </w:rPr>
        <w:t>Prijedlog/inicijativa:</w:t>
      </w:r>
    </w:p>
    <w:p>
      <w:pPr>
        <w:pStyle w:val="Text1"/>
        <w:rPr>
          <w:noProof/>
        </w:rPr>
      </w:pPr>
      <w:r>
        <w:rPr>
          <w:noProof/>
        </w:rPr>
        <w:sym w:font="Wingdings" w:char="F0A8"/>
      </w:r>
      <w:r>
        <w:rPr>
          <w:noProof/>
        </w:rPr>
        <w:tab/>
        <w:t>može se u potpunosti financirati preraspodjelom unutar relevantnog naslova višegodišnjeg financijskog okvira (VFO).</w:t>
      </w:r>
    </w:p>
    <w:p>
      <w:pPr>
        <w:pStyle w:val="Text1"/>
        <w:rPr>
          <w:noProof/>
        </w:rPr>
      </w:pPr>
      <w:r>
        <w:rPr>
          <w:noProof/>
        </w:rPr>
        <w:sym w:font="Wingdings" w:char="F0A8"/>
      </w:r>
      <w:r>
        <w:rPr>
          <w:noProof/>
        </w:rPr>
        <w:tab/>
        <w:t>zahtijeva upotrebu nedodijeljene razlike u okviru relevantnog naslova VFO-a i/ili upotrebu posebnih instrumenata kako su definirani u Uredbi o VFO-u.</w:t>
      </w:r>
    </w:p>
    <w:p>
      <w:pPr>
        <w:pStyle w:val="Text1"/>
        <w:rPr>
          <w:noProof/>
        </w:rPr>
      </w:pPr>
      <w:r>
        <w:rPr>
          <w:noProof/>
        </w:rPr>
        <w:sym w:font="Wingdings" w:char="F0A8"/>
      </w:r>
      <w:r>
        <w:rPr>
          <w:noProof/>
        </w:rPr>
        <w:tab/>
        <w:t>zahtijeva reviziju VFO-a.</w:t>
      </w:r>
    </w:p>
    <w:p>
      <w:pPr>
        <w:pStyle w:val="ManualHeading3"/>
        <w:rPr>
          <w:noProof/>
          <w:szCs w:val="24"/>
        </w:rPr>
      </w:pPr>
      <w:r>
        <w:t>3.2.5.</w:t>
      </w:r>
      <w:r>
        <w:tab/>
      </w:r>
      <w:r>
        <w:rPr>
          <w:noProof/>
        </w:rPr>
        <w:t xml:space="preserve">Doprinos trećih strana </w:t>
      </w:r>
    </w:p>
    <w:p>
      <w:pPr>
        <w:ind w:left="850"/>
        <w:rPr>
          <w:noProof/>
        </w:rPr>
      </w:pPr>
      <w:r>
        <w:rPr>
          <w:noProof/>
        </w:rPr>
        <w:t>Prijedlog/inicijativa:</w:t>
      </w:r>
    </w:p>
    <w:p>
      <w:pPr>
        <w:pStyle w:val="Text1"/>
        <w:rPr>
          <w:noProof/>
        </w:rPr>
      </w:pPr>
      <w:r>
        <w:rPr>
          <w:noProof/>
        </w:rPr>
        <w:sym w:font="Wingdings" w:char="F0A8"/>
      </w:r>
      <w:r>
        <w:rPr>
          <w:noProof/>
        </w:rPr>
        <w:tab/>
        <w:t>ne predviđa se sudjelovanje trećih strana u sufinanciranju.</w:t>
      </w:r>
    </w:p>
    <w:p>
      <w:pPr>
        <w:pStyle w:val="Text1"/>
        <w:rPr>
          <w:noProof/>
        </w:rPr>
      </w:pPr>
      <w:r>
        <w:rPr>
          <w:noProof/>
        </w:rPr>
        <w:sym w:font="Wingdings" w:char="F078"/>
      </w:r>
      <w:r>
        <w:rPr>
          <w:noProof/>
        </w:rPr>
        <w:tab/>
        <w:t>predviđa se sudjelovanje trećih strana u sufinanciranju prema sljedećoj procjeni:</w:t>
      </w:r>
    </w:p>
    <w:p>
      <w:pPr>
        <w:jc w:val="right"/>
        <w:rPr>
          <w:noProof/>
          <w:sz w:val="20"/>
        </w:rPr>
      </w:pPr>
      <w:r>
        <w:rPr>
          <w:noProof/>
          <w:sz w:val="20"/>
        </w:rPr>
        <w:t>Odobrena sredstva u milijunima EUR (do trećeg decimalnog mjesta)</w:t>
      </w:r>
    </w:p>
    <w:p>
      <w:pPr>
        <w:rPr>
          <w:noProof/>
        </w:rPr>
      </w:pPr>
      <w:r>
        <w:rPr>
          <w:noProof/>
        </w:rPr>
        <w:br/>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18"/>
              </w:rPr>
              <w:t>Godina</w:t>
            </w:r>
            <w:r>
              <w:rPr>
                <w:noProof/>
              </w:rPr>
              <w:br/>
            </w:r>
            <w:r>
              <w:rPr>
                <w:b/>
                <w:noProof/>
                <w:sz w:val="18"/>
              </w:rPr>
              <w:t>2020.</w:t>
            </w:r>
          </w:p>
        </w:tc>
        <w:tc>
          <w:tcPr>
            <w:tcW w:w="964" w:type="dxa"/>
            <w:vAlign w:val="center"/>
          </w:tcPr>
          <w:p>
            <w:pPr>
              <w:jc w:val="center"/>
              <w:rPr>
                <w:noProof/>
                <w:sz w:val="20"/>
              </w:rPr>
            </w:pPr>
            <w:r>
              <w:rPr>
                <w:noProof/>
                <w:sz w:val="18"/>
              </w:rPr>
              <w:t>Godina</w:t>
            </w:r>
            <w:r>
              <w:rPr>
                <w:noProof/>
              </w:rPr>
              <w:br/>
            </w:r>
            <w:r>
              <w:rPr>
                <w:b/>
                <w:noProof/>
                <w:sz w:val="18"/>
              </w:rPr>
              <w:t>2021.</w:t>
            </w:r>
          </w:p>
        </w:tc>
        <w:tc>
          <w:tcPr>
            <w:tcW w:w="964" w:type="dxa"/>
            <w:vAlign w:val="center"/>
          </w:tcPr>
          <w:p>
            <w:pPr>
              <w:jc w:val="center"/>
              <w:rPr>
                <w:noProof/>
                <w:sz w:val="20"/>
              </w:rPr>
            </w:pPr>
            <w:r>
              <w:rPr>
                <w:noProof/>
                <w:sz w:val="18"/>
              </w:rPr>
              <w:t>Godina</w:t>
            </w:r>
            <w:r>
              <w:rPr>
                <w:noProof/>
              </w:rPr>
              <w:br/>
            </w:r>
            <w:r>
              <w:rPr>
                <w:b/>
                <w:noProof/>
                <w:sz w:val="18"/>
              </w:rPr>
              <w:t>2022.</w:t>
            </w:r>
          </w:p>
        </w:tc>
        <w:tc>
          <w:tcPr>
            <w:tcW w:w="964" w:type="dxa"/>
            <w:vAlign w:val="center"/>
          </w:tcPr>
          <w:p>
            <w:pPr>
              <w:jc w:val="center"/>
              <w:rPr>
                <w:noProof/>
                <w:sz w:val="20"/>
              </w:rPr>
            </w:pPr>
            <w:r>
              <w:rPr>
                <w:noProof/>
                <w:sz w:val="18"/>
              </w:rPr>
              <w:t>Godina</w:t>
            </w:r>
            <w:r>
              <w:rPr>
                <w:noProof/>
              </w:rPr>
              <w:br/>
            </w:r>
            <w:r>
              <w:rPr>
                <w:b/>
                <w:noProof/>
                <w:sz w:val="18"/>
              </w:rPr>
              <w:t>2023.</w:t>
            </w:r>
          </w:p>
        </w:tc>
        <w:tc>
          <w:tcPr>
            <w:tcW w:w="2892" w:type="dxa"/>
            <w:gridSpan w:val="3"/>
            <w:vAlign w:val="center"/>
          </w:tcPr>
          <w:p>
            <w:pPr>
              <w:jc w:val="center"/>
              <w:rPr>
                <w:b/>
                <w:noProof/>
                <w:sz w:val="20"/>
              </w:rPr>
            </w:pPr>
            <w:r>
              <w:rPr>
                <w:noProof/>
                <w:sz w:val="20"/>
              </w:rPr>
              <w:t>Unijeti onoliko godina koliko je potrebno za prikaz trajanja učinka (vidjeti točku 1.6.)</w:t>
            </w:r>
          </w:p>
        </w:tc>
        <w:tc>
          <w:tcPr>
            <w:tcW w:w="1158" w:type="dxa"/>
            <w:vAlign w:val="center"/>
          </w:tcPr>
          <w:p>
            <w:pPr>
              <w:spacing w:before="60" w:after="60"/>
              <w:jc w:val="center"/>
              <w:rPr>
                <w:noProof/>
                <w:sz w:val="20"/>
              </w:rPr>
            </w:pPr>
            <w:r>
              <w:rPr>
                <w:noProof/>
                <w:sz w:val="20"/>
              </w:rPr>
              <w:t>Ukupno</w:t>
            </w:r>
          </w:p>
        </w:tc>
      </w:tr>
      <w:tr>
        <w:trPr>
          <w:cantSplit/>
        </w:trPr>
        <w:tc>
          <w:tcPr>
            <w:tcW w:w="2340" w:type="dxa"/>
          </w:tcPr>
          <w:p>
            <w:pPr>
              <w:rPr>
                <w:noProof/>
              </w:rPr>
            </w:pPr>
            <w:r>
              <w:rPr>
                <w:noProof/>
                <w:sz w:val="20"/>
              </w:rPr>
              <w:t>Nizozemska</w:t>
            </w:r>
          </w:p>
        </w:tc>
        <w:tc>
          <w:tcPr>
            <w:tcW w:w="964" w:type="dxa"/>
            <w:vAlign w:val="center"/>
          </w:tcPr>
          <w:p>
            <w:pPr>
              <w:spacing w:before="60" w:after="60"/>
              <w:jc w:val="center"/>
              <w:rPr>
                <w:noProof/>
                <w:sz w:val="20"/>
              </w:rPr>
            </w:pPr>
            <w:r>
              <w:rPr>
                <w:noProof/>
                <w:sz w:val="20"/>
              </w:rPr>
              <w:t>7 451</w:t>
            </w:r>
          </w:p>
        </w:tc>
        <w:tc>
          <w:tcPr>
            <w:tcW w:w="964" w:type="dxa"/>
            <w:vAlign w:val="center"/>
          </w:tcPr>
          <w:p>
            <w:pPr>
              <w:spacing w:before="60" w:after="60"/>
              <w:jc w:val="center"/>
              <w:rPr>
                <w:noProof/>
                <w:sz w:val="20"/>
              </w:rPr>
            </w:pPr>
            <w:r>
              <w:rPr>
                <w:noProof/>
                <w:sz w:val="20"/>
              </w:rPr>
              <w:t>6 401</w:t>
            </w:r>
          </w:p>
        </w:tc>
        <w:tc>
          <w:tcPr>
            <w:tcW w:w="964" w:type="dxa"/>
            <w:vAlign w:val="center"/>
          </w:tcPr>
          <w:p>
            <w:pPr>
              <w:spacing w:before="60" w:after="60"/>
              <w:jc w:val="center"/>
              <w:rPr>
                <w:noProof/>
                <w:sz w:val="20"/>
              </w:rPr>
            </w:pPr>
            <w:r>
              <w:rPr>
                <w:noProof/>
                <w:sz w:val="20"/>
              </w:rPr>
              <w:t>6 401</w:t>
            </w:r>
          </w:p>
        </w:tc>
        <w:tc>
          <w:tcPr>
            <w:tcW w:w="964" w:type="dxa"/>
            <w:vAlign w:val="center"/>
          </w:tcPr>
          <w:p>
            <w:pPr>
              <w:spacing w:before="60" w:after="60"/>
              <w:jc w:val="center"/>
              <w:rPr>
                <w:noProof/>
                <w:sz w:val="20"/>
              </w:rPr>
            </w:pPr>
            <w:r>
              <w:rPr>
                <w:noProof/>
                <w:sz w:val="20"/>
              </w:rPr>
              <w:t>6 401</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noProof/>
                <w:sz w:val="20"/>
              </w:rPr>
              <w:t>26 654</w:t>
            </w:r>
          </w:p>
        </w:tc>
      </w:tr>
      <w:tr>
        <w:trPr>
          <w:cantSplit/>
        </w:trPr>
        <w:tc>
          <w:tcPr>
            <w:tcW w:w="2340" w:type="dxa"/>
          </w:tcPr>
          <w:p>
            <w:pPr>
              <w:rPr>
                <w:noProof/>
                <w:sz w:val="20"/>
              </w:rPr>
            </w:pPr>
            <w:r>
              <w:rPr>
                <w:noProof/>
                <w:sz w:val="20"/>
              </w:rPr>
              <w:t>Francuska</w:t>
            </w:r>
          </w:p>
        </w:tc>
        <w:tc>
          <w:tcPr>
            <w:tcW w:w="964" w:type="dxa"/>
            <w:vAlign w:val="center"/>
          </w:tcPr>
          <w:p>
            <w:pPr>
              <w:spacing w:before="60" w:after="60"/>
              <w:jc w:val="center"/>
              <w:rPr>
                <w:noProof/>
                <w:sz w:val="20"/>
              </w:rPr>
            </w:pPr>
            <w:r>
              <w:rPr>
                <w:noProof/>
                <w:sz w:val="20"/>
              </w:rPr>
              <w:t>300</w:t>
            </w:r>
          </w:p>
        </w:tc>
        <w:tc>
          <w:tcPr>
            <w:tcW w:w="964" w:type="dxa"/>
            <w:vAlign w:val="center"/>
          </w:tcPr>
          <w:p>
            <w:pPr>
              <w:spacing w:before="60" w:after="60"/>
              <w:jc w:val="center"/>
              <w:rPr>
                <w:noProof/>
                <w:sz w:val="20"/>
              </w:rPr>
            </w:pPr>
            <w:r>
              <w:rPr>
                <w:noProof/>
                <w:sz w:val="20"/>
              </w:rPr>
              <w:t>300</w:t>
            </w:r>
          </w:p>
        </w:tc>
        <w:tc>
          <w:tcPr>
            <w:tcW w:w="964" w:type="dxa"/>
            <w:vAlign w:val="center"/>
          </w:tcPr>
          <w:p>
            <w:pPr>
              <w:spacing w:before="60" w:after="60"/>
              <w:jc w:val="center"/>
              <w:rPr>
                <w:noProof/>
                <w:sz w:val="20"/>
              </w:rPr>
            </w:pPr>
            <w:r>
              <w:rPr>
                <w:noProof/>
                <w:sz w:val="20"/>
              </w:rPr>
              <w:t>300</w:t>
            </w:r>
          </w:p>
        </w:tc>
        <w:tc>
          <w:tcPr>
            <w:tcW w:w="964" w:type="dxa"/>
            <w:vAlign w:val="center"/>
          </w:tcPr>
          <w:p>
            <w:pPr>
              <w:spacing w:before="60" w:after="60"/>
              <w:jc w:val="center"/>
              <w:rPr>
                <w:noProof/>
                <w:sz w:val="20"/>
              </w:rPr>
            </w:pPr>
            <w:r>
              <w:rPr>
                <w:noProof/>
                <w:sz w:val="20"/>
              </w:rPr>
              <w:t>300</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noProof/>
                <w:sz w:val="20"/>
              </w:rPr>
              <w:t>1 200</w:t>
            </w:r>
          </w:p>
        </w:tc>
      </w:tr>
      <w:tr>
        <w:trPr>
          <w:cantSplit/>
        </w:trPr>
        <w:tc>
          <w:tcPr>
            <w:tcW w:w="2340" w:type="dxa"/>
          </w:tcPr>
          <w:p>
            <w:pPr>
              <w:spacing w:before="60" w:after="60"/>
              <w:rPr>
                <w:noProof/>
                <w:sz w:val="20"/>
              </w:rPr>
            </w:pPr>
            <w:r>
              <w:rPr>
                <w:noProof/>
                <w:sz w:val="20"/>
              </w:rPr>
              <w:t xml:space="preserve">UKUPNO sufinancirana odobrena sredstva </w:t>
            </w:r>
          </w:p>
        </w:tc>
        <w:tc>
          <w:tcPr>
            <w:tcW w:w="964" w:type="dxa"/>
            <w:vAlign w:val="center"/>
          </w:tcPr>
          <w:p>
            <w:pPr>
              <w:spacing w:before="60" w:after="60"/>
              <w:jc w:val="center"/>
              <w:rPr>
                <w:noProof/>
                <w:sz w:val="20"/>
              </w:rPr>
            </w:pPr>
            <w:r>
              <w:rPr>
                <w:noProof/>
                <w:sz w:val="20"/>
              </w:rPr>
              <w:t>7 751</w:t>
            </w:r>
          </w:p>
        </w:tc>
        <w:tc>
          <w:tcPr>
            <w:tcW w:w="964" w:type="dxa"/>
            <w:vAlign w:val="center"/>
          </w:tcPr>
          <w:p>
            <w:pPr>
              <w:spacing w:before="60" w:after="60"/>
              <w:jc w:val="center"/>
              <w:rPr>
                <w:noProof/>
                <w:sz w:val="20"/>
              </w:rPr>
            </w:pPr>
            <w:r>
              <w:rPr>
                <w:noProof/>
                <w:sz w:val="20"/>
              </w:rPr>
              <w:t>6 701</w:t>
            </w:r>
          </w:p>
        </w:tc>
        <w:tc>
          <w:tcPr>
            <w:tcW w:w="964" w:type="dxa"/>
            <w:vAlign w:val="center"/>
          </w:tcPr>
          <w:p>
            <w:pPr>
              <w:spacing w:before="60" w:after="60"/>
              <w:jc w:val="center"/>
              <w:rPr>
                <w:noProof/>
                <w:sz w:val="20"/>
              </w:rPr>
            </w:pPr>
            <w:r>
              <w:rPr>
                <w:noProof/>
                <w:sz w:val="20"/>
              </w:rPr>
              <w:t>6 701</w:t>
            </w:r>
          </w:p>
        </w:tc>
        <w:tc>
          <w:tcPr>
            <w:tcW w:w="964" w:type="dxa"/>
            <w:vAlign w:val="center"/>
          </w:tcPr>
          <w:p>
            <w:pPr>
              <w:spacing w:before="60" w:after="60"/>
              <w:jc w:val="center"/>
              <w:rPr>
                <w:noProof/>
                <w:sz w:val="20"/>
              </w:rPr>
            </w:pPr>
            <w:r>
              <w:rPr>
                <w:noProof/>
                <w:sz w:val="20"/>
              </w:rPr>
              <w:t>6 701</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noProof/>
                <w:sz w:val="20"/>
              </w:rPr>
              <w:t>27 854</w:t>
            </w:r>
          </w:p>
        </w:tc>
      </w:tr>
    </w:tbl>
    <w:p>
      <w:pPr>
        <w:rPr>
          <w:bCs/>
          <w:noProof/>
          <w:szCs w:val="24"/>
        </w:rPr>
      </w:pPr>
      <w:r>
        <w:rPr>
          <w:noProof/>
        </w:rPr>
        <w:br w:type="page"/>
        <w:t xml:space="preserve">Procijenjeni učinak na prihode </w:t>
      </w:r>
    </w:p>
    <w:p>
      <w:pPr>
        <w:tabs>
          <w:tab w:val="num" w:pos="1134"/>
        </w:tabs>
        <w:ind w:left="1134" w:hanging="283"/>
        <w:rPr>
          <w:noProof/>
        </w:rPr>
      </w:pPr>
      <w:r>
        <w:rPr>
          <w:noProof/>
        </w:rPr>
        <w:sym w:font="Wingdings" w:char="F0A8"/>
      </w:r>
      <w:r>
        <w:rPr>
          <w:noProof/>
        </w:rPr>
        <w:tab/>
        <w:t>Prijedlog/inicijativa nema financijski učinak na prihode.</w:t>
      </w:r>
    </w:p>
    <w:p>
      <w:pPr>
        <w:tabs>
          <w:tab w:val="num" w:pos="1134"/>
        </w:tabs>
        <w:ind w:left="1134" w:hanging="283"/>
        <w:rPr>
          <w:noProof/>
        </w:rPr>
      </w:pPr>
      <w:r>
        <w:rPr>
          <w:noProof/>
        </w:rPr>
        <w:sym w:font="Wingdings" w:char="F078"/>
      </w:r>
      <w:r>
        <w:rPr>
          <w:noProof/>
        </w:rPr>
        <w:tab/>
        <w:t>Prijedlog/inicijativa ima sljedeći financijski učinak:</w:t>
      </w:r>
    </w:p>
    <w:p>
      <w:pPr>
        <w:numPr>
          <w:ilvl w:val="2"/>
          <w:numId w:val="0"/>
        </w:numPr>
        <w:tabs>
          <w:tab w:val="num" w:pos="1843"/>
        </w:tabs>
        <w:ind w:left="2126" w:hanging="709"/>
        <w:rPr>
          <w:noProof/>
        </w:rPr>
      </w:pPr>
      <w:r>
        <w:rPr>
          <w:noProof/>
        </w:rPr>
        <w:sym w:font="Wingdings" w:char="F0A8"/>
      </w:r>
      <w:r>
        <w:rPr>
          <w:noProof/>
        </w:rPr>
        <w:tab/>
        <w:t xml:space="preserve">na vlastita sredstva </w:t>
      </w:r>
    </w:p>
    <w:p>
      <w:pPr>
        <w:numPr>
          <w:ilvl w:val="2"/>
          <w:numId w:val="0"/>
        </w:numPr>
        <w:tabs>
          <w:tab w:val="num" w:pos="1843"/>
        </w:tabs>
        <w:ind w:left="2126" w:hanging="709"/>
        <w:rPr>
          <w:noProof/>
        </w:rPr>
      </w:pPr>
      <w:r>
        <w:rPr>
          <w:noProof/>
        </w:rPr>
        <w:sym w:font="Wingdings" w:char="F078"/>
      </w:r>
      <w:r>
        <w:rPr>
          <w:noProof/>
        </w:rPr>
        <w:t xml:space="preserve"> na ostale prihode</w:t>
      </w:r>
    </w:p>
    <w:p>
      <w:pPr>
        <w:numPr>
          <w:ilvl w:val="2"/>
          <w:numId w:val="0"/>
        </w:numPr>
        <w:tabs>
          <w:tab w:val="num" w:pos="2126"/>
        </w:tabs>
        <w:ind w:left="2126" w:hanging="709"/>
        <w:rPr>
          <w:noProof/>
        </w:rPr>
      </w:pPr>
      <w:r>
        <w:rPr>
          <w:noProof/>
        </w:rPr>
        <w:t xml:space="preserve">navesti ako su prihodi dodijeljeni proračunskim linijama rashoda </w:t>
      </w:r>
      <w:r>
        <w:rPr>
          <w:noProof/>
        </w:rPr>
        <w:sym w:font="Wingdings" w:char="F078"/>
      </w:r>
      <w:r>
        <w:rPr>
          <w:noProof/>
        </w:rPr>
        <w:tab/>
      </w:r>
    </w:p>
    <w:p>
      <w:pPr>
        <w:ind w:left="4320"/>
        <w:rPr>
          <w:i/>
          <w:noProof/>
          <w:sz w:val="20"/>
        </w:rPr>
      </w:pPr>
      <w:r>
        <w:rPr>
          <w:noProof/>
        </w:rPr>
        <w:t xml:space="preserve">     U milijunima EUR (do trećeg decimalnog mjesta)</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776"/>
        <w:gridCol w:w="1843"/>
        <w:gridCol w:w="1843"/>
        <w:gridCol w:w="1689"/>
        <w:gridCol w:w="12"/>
      </w:tblGrid>
      <w:tr>
        <w:trPr>
          <w:gridAfter w:val="1"/>
          <w:wAfter w:w="12" w:type="dxa"/>
          <w:trHeight w:val="388"/>
        </w:trPr>
        <w:tc>
          <w:tcPr>
            <w:tcW w:w="2144" w:type="dxa"/>
            <w:vMerge w:val="restart"/>
            <w:vAlign w:val="center"/>
          </w:tcPr>
          <w:p>
            <w:pPr>
              <w:spacing w:before="40" w:after="40"/>
              <w:rPr>
                <w:noProof/>
                <w:sz w:val="18"/>
              </w:rPr>
            </w:pPr>
            <w:r>
              <w:rPr>
                <w:noProof/>
                <w:sz w:val="18"/>
              </w:rPr>
              <w:t>Proračunska linija prihoda:</w:t>
            </w:r>
          </w:p>
        </w:tc>
        <w:tc>
          <w:tcPr>
            <w:tcW w:w="1325" w:type="dxa"/>
            <w:vMerge w:val="restart"/>
            <w:vAlign w:val="center"/>
          </w:tcPr>
          <w:p>
            <w:pPr>
              <w:jc w:val="center"/>
              <w:rPr>
                <w:noProof/>
                <w:sz w:val="18"/>
              </w:rPr>
            </w:pPr>
            <w:r>
              <w:rPr>
                <w:noProof/>
                <w:sz w:val="18"/>
              </w:rPr>
              <w:t>Odobrena sredstva dostupna za tekuću financijsku godinu</w:t>
            </w:r>
          </w:p>
        </w:tc>
        <w:tc>
          <w:tcPr>
            <w:tcW w:w="7151" w:type="dxa"/>
            <w:gridSpan w:val="4"/>
            <w:vAlign w:val="center"/>
          </w:tcPr>
          <w:p>
            <w:pPr>
              <w:jc w:val="center"/>
              <w:rPr>
                <w:noProof/>
                <w:sz w:val="18"/>
              </w:rPr>
            </w:pPr>
            <w:r>
              <w:rPr>
                <w:noProof/>
                <w:sz w:val="18"/>
              </w:rPr>
              <w:t>Učinak prijedloga/inicijative</w:t>
            </w:r>
            <w:r>
              <w:rPr>
                <w:rStyle w:val="FootnoteReference"/>
                <w:noProof/>
              </w:rPr>
              <w:footnoteReference w:id="21"/>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776" w:type="dxa"/>
            <w:vAlign w:val="center"/>
          </w:tcPr>
          <w:p>
            <w:pPr>
              <w:jc w:val="center"/>
              <w:rPr>
                <w:noProof/>
                <w:sz w:val="18"/>
              </w:rPr>
            </w:pPr>
            <w:r>
              <w:rPr>
                <w:noProof/>
                <w:sz w:val="18"/>
              </w:rPr>
              <w:t>Godina</w:t>
            </w:r>
            <w:r>
              <w:rPr>
                <w:noProof/>
              </w:rPr>
              <w:br/>
            </w:r>
            <w:r>
              <w:rPr>
                <w:b/>
                <w:noProof/>
                <w:sz w:val="18"/>
              </w:rPr>
              <w:t>2020.</w:t>
            </w:r>
          </w:p>
        </w:tc>
        <w:tc>
          <w:tcPr>
            <w:tcW w:w="1843" w:type="dxa"/>
            <w:vAlign w:val="center"/>
          </w:tcPr>
          <w:p>
            <w:pPr>
              <w:jc w:val="center"/>
              <w:rPr>
                <w:noProof/>
                <w:sz w:val="18"/>
              </w:rPr>
            </w:pPr>
            <w:r>
              <w:rPr>
                <w:noProof/>
                <w:sz w:val="18"/>
              </w:rPr>
              <w:t>Godina</w:t>
            </w:r>
            <w:r>
              <w:rPr>
                <w:noProof/>
              </w:rPr>
              <w:br/>
            </w:r>
            <w:r>
              <w:rPr>
                <w:b/>
                <w:noProof/>
                <w:sz w:val="18"/>
              </w:rPr>
              <w:t>2021.</w:t>
            </w:r>
          </w:p>
        </w:tc>
        <w:tc>
          <w:tcPr>
            <w:tcW w:w="1843" w:type="dxa"/>
            <w:vAlign w:val="center"/>
          </w:tcPr>
          <w:p>
            <w:pPr>
              <w:jc w:val="center"/>
              <w:rPr>
                <w:noProof/>
                <w:sz w:val="18"/>
              </w:rPr>
            </w:pPr>
            <w:r>
              <w:rPr>
                <w:noProof/>
                <w:sz w:val="18"/>
              </w:rPr>
              <w:t>Godina</w:t>
            </w:r>
            <w:r>
              <w:rPr>
                <w:noProof/>
              </w:rPr>
              <w:br/>
            </w:r>
            <w:r>
              <w:rPr>
                <w:b/>
                <w:noProof/>
                <w:sz w:val="18"/>
              </w:rPr>
              <w:t>2022.</w:t>
            </w:r>
          </w:p>
        </w:tc>
        <w:tc>
          <w:tcPr>
            <w:tcW w:w="1701" w:type="dxa"/>
            <w:gridSpan w:val="2"/>
            <w:vAlign w:val="center"/>
          </w:tcPr>
          <w:p>
            <w:pPr>
              <w:jc w:val="center"/>
              <w:rPr>
                <w:noProof/>
                <w:sz w:val="18"/>
              </w:rPr>
            </w:pPr>
            <w:r>
              <w:rPr>
                <w:noProof/>
                <w:sz w:val="18"/>
              </w:rPr>
              <w:t>Godina</w:t>
            </w:r>
            <w:r>
              <w:rPr>
                <w:noProof/>
              </w:rPr>
              <w:br/>
            </w:r>
            <w:r>
              <w:rPr>
                <w:b/>
                <w:noProof/>
                <w:sz w:val="18"/>
              </w:rPr>
              <w:t>2023.</w:t>
            </w:r>
          </w:p>
        </w:tc>
      </w:tr>
      <w:tr>
        <w:trPr>
          <w:trHeight w:val="388"/>
        </w:trPr>
        <w:tc>
          <w:tcPr>
            <w:tcW w:w="2144" w:type="dxa"/>
            <w:vAlign w:val="center"/>
          </w:tcPr>
          <w:p>
            <w:pPr>
              <w:spacing w:before="40" w:after="40"/>
              <w:rPr>
                <w:noProof/>
                <w:sz w:val="18"/>
              </w:rPr>
            </w:pPr>
            <w:r>
              <w:rPr>
                <w:noProof/>
                <w:sz w:val="18"/>
              </w:rPr>
              <w:t>Stavka 6221</w:t>
            </w:r>
          </w:p>
        </w:tc>
        <w:tc>
          <w:tcPr>
            <w:tcW w:w="1325" w:type="dxa"/>
          </w:tcPr>
          <w:p>
            <w:pPr>
              <w:spacing w:beforeLines="40" w:before="96" w:afterLines="40" w:after="96"/>
              <w:jc w:val="center"/>
              <w:rPr>
                <w:i/>
                <w:noProof/>
                <w:sz w:val="18"/>
              </w:rPr>
            </w:pPr>
          </w:p>
        </w:tc>
        <w:tc>
          <w:tcPr>
            <w:tcW w:w="1776" w:type="dxa"/>
          </w:tcPr>
          <w:p>
            <w:pPr>
              <w:spacing w:beforeLines="40" w:before="96" w:afterLines="40" w:after="96"/>
              <w:jc w:val="center"/>
              <w:rPr>
                <w:noProof/>
                <w:sz w:val="18"/>
              </w:rPr>
            </w:pPr>
            <w:r>
              <w:rPr>
                <w:noProof/>
                <w:sz w:val="18"/>
              </w:rPr>
              <w:t>p.m.</w:t>
            </w:r>
          </w:p>
        </w:tc>
        <w:tc>
          <w:tcPr>
            <w:tcW w:w="1843" w:type="dxa"/>
          </w:tcPr>
          <w:p>
            <w:pPr>
              <w:spacing w:beforeLines="40" w:before="96" w:afterLines="40" w:after="96"/>
              <w:jc w:val="center"/>
              <w:rPr>
                <w:noProof/>
                <w:sz w:val="18"/>
              </w:rPr>
            </w:pPr>
            <w:r>
              <w:rPr>
                <w:noProof/>
                <w:sz w:val="18"/>
              </w:rPr>
              <w:t>p.m.</w:t>
            </w:r>
          </w:p>
        </w:tc>
        <w:tc>
          <w:tcPr>
            <w:tcW w:w="1843" w:type="dxa"/>
          </w:tcPr>
          <w:p>
            <w:pPr>
              <w:spacing w:beforeLines="40" w:before="96" w:afterLines="40" w:after="96"/>
              <w:jc w:val="center"/>
              <w:rPr>
                <w:noProof/>
                <w:sz w:val="18"/>
              </w:rPr>
            </w:pPr>
            <w:r>
              <w:rPr>
                <w:noProof/>
                <w:sz w:val="18"/>
              </w:rPr>
              <w:t>p.m.</w:t>
            </w:r>
          </w:p>
        </w:tc>
        <w:tc>
          <w:tcPr>
            <w:tcW w:w="1701" w:type="dxa"/>
            <w:gridSpan w:val="2"/>
          </w:tcPr>
          <w:p>
            <w:pPr>
              <w:spacing w:beforeLines="40" w:before="96" w:afterLines="40" w:after="96"/>
              <w:jc w:val="center"/>
              <w:rPr>
                <w:noProof/>
                <w:sz w:val="18"/>
              </w:rPr>
            </w:pPr>
            <w:r>
              <w:rPr>
                <w:noProof/>
                <w:sz w:val="18"/>
              </w:rPr>
              <w:t>p.m.</w:t>
            </w:r>
          </w:p>
        </w:tc>
      </w:tr>
    </w:tbl>
    <w:p>
      <w:pPr>
        <w:pBdr>
          <w:top w:val="single" w:sz="4" w:space="1" w:color="auto"/>
          <w:left w:val="single" w:sz="4" w:space="4" w:color="auto"/>
          <w:bottom w:val="single" w:sz="4" w:space="1" w:color="auto"/>
          <w:right w:val="single" w:sz="4" w:space="4" w:color="auto"/>
        </w:pBdr>
        <w:ind w:left="850"/>
        <w:rPr>
          <w:noProof/>
        </w:rPr>
      </w:pPr>
      <w:r>
        <w:rPr>
          <w:noProof/>
        </w:rPr>
        <w:t>Stavka 6 2 2 1</w:t>
      </w:r>
    </w:p>
    <w:p>
      <w:pPr>
        <w:pBdr>
          <w:top w:val="single" w:sz="4" w:space="1" w:color="auto"/>
          <w:left w:val="single" w:sz="4" w:space="4" w:color="auto"/>
          <w:bottom w:val="single" w:sz="4" w:space="1" w:color="auto"/>
          <w:right w:val="single" w:sz="4" w:space="4" w:color="auto"/>
        </w:pBdr>
        <w:ind w:left="850"/>
        <w:rPr>
          <w:noProof/>
        </w:rPr>
      </w:pPr>
      <w:r>
        <w:rPr>
          <w:noProof/>
        </w:rPr>
        <w:t>Prihodi od rada reaktora s visokim protokom (HFR) – Namjenski prihodi</w:t>
      </w:r>
    </w:p>
    <w:p>
      <w:pPr>
        <w:ind w:left="850"/>
        <w:rPr>
          <w:noProof/>
          <w:sz w:val="20"/>
        </w:rPr>
      </w:pPr>
      <w:r>
        <w:rPr>
          <w:noProof/>
          <w:sz w:val="20"/>
        </w:rPr>
        <w:t>Ostale napomene (npr. metoda/formula za izračun učinka na prihode ili druge informacije)</w:t>
      </w:r>
    </w:p>
    <w:p>
      <w:pPr>
        <w:pBdr>
          <w:top w:val="single" w:sz="4" w:space="1" w:color="auto"/>
          <w:left w:val="single" w:sz="4" w:space="4" w:color="auto"/>
          <w:bottom w:val="single" w:sz="4" w:space="1" w:color="auto"/>
          <w:right w:val="single" w:sz="4" w:space="4" w:color="auto"/>
        </w:pBdr>
        <w:ind w:left="850"/>
        <w:rPr>
          <w:noProof/>
        </w:rPr>
      </w:pPr>
      <w:r>
        <w:rPr>
          <w:noProof/>
        </w:rPr>
        <w:t>Dodatni istraživački program financira se doprinosima država članica koje u njemu sudjeluju, a izračunani su na temelju proračuna za razdoblje 2016. – 2019.</w:t>
      </w: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Zapisnik sa sastanka Znanstvenog i tehničkog odbora održanog 4. listopada 2019.</w:t>
      </w:r>
    </w:p>
  </w:footnote>
  <w:footnote w:id="2">
    <w:p>
      <w:pPr>
        <w:pStyle w:val="FootnoteText"/>
        <w:rPr>
          <w:rFonts w:eastAsia="Arial Unicode MS"/>
          <w:color w:val="0000FF"/>
        </w:rPr>
      </w:pPr>
      <w:r>
        <w:rPr>
          <w:rStyle w:val="FootnoteReference"/>
        </w:rPr>
        <w:footnoteRef/>
      </w:r>
      <w:r>
        <w:tab/>
        <w:t>Odluka Vijeća (Euratom) 2017/956 od 29. svibnja 2017. o donošenju dodatnog istraživačkog programa 2016. – 2019. za reaktor s visokim protokom koji treba provesti Zajednički istraživački centar za Europsku zajednicu za atomsku energiju (SL L 144, 7.6.2017., str. 23.).</w:t>
      </w:r>
    </w:p>
  </w:footnote>
  <w:footnote w:id="3">
    <w:p>
      <w:pPr>
        <w:pStyle w:val="FootnoteText"/>
      </w:pPr>
      <w:r>
        <w:rPr>
          <w:rStyle w:val="FootnoteReference"/>
        </w:rPr>
        <w:footnoteRef/>
      </w:r>
      <w:r>
        <w:tab/>
        <w:t>Mišljenje   od 18.12. 2019.</w:t>
      </w:r>
    </w:p>
  </w:footnote>
  <w:footnote w:id="4">
    <w:p>
      <w:pPr>
        <w:pStyle w:val="FootnoteText"/>
      </w:pPr>
      <w:r>
        <w:rPr>
          <w:rStyle w:val="FootnoteReference"/>
        </w:rPr>
        <w:footnoteRef/>
      </w:r>
      <w:r>
        <w:tab/>
        <w:t>Odluka Komisije 96/282/Euratom od 10. travnja 1996. o preustroju Zajedničkog istraživačkog centra (SL L 107, 30.4.1996., str. 12.).</w:t>
      </w:r>
    </w:p>
  </w:footnote>
  <w:footnote w:id="5">
    <w:p>
      <w:pPr>
        <w:pStyle w:val="FootnoteText"/>
        <w:ind w:left="0" w:hanging="142"/>
      </w:pPr>
      <w:r>
        <w:rPr>
          <w:rStyle w:val="FootnoteReference"/>
        </w:rPr>
        <w:footnoteRef/>
      </w:r>
      <w:r>
        <w:tab/>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30.7.2018., str. 1.).</w:t>
      </w:r>
    </w:p>
  </w:footnote>
  <w:footnote w:id="6">
    <w:p>
      <w:pPr>
        <w:pStyle w:val="FootnoteText"/>
        <w:rPr>
          <w:szCs w:val="24"/>
        </w:rPr>
      </w:pPr>
      <w:r>
        <w:rPr>
          <w:rStyle w:val="FootnoteReference"/>
        </w:rPr>
        <w:footnoteRef/>
      </w:r>
      <w:r>
        <w:tab/>
        <w:t>Kako je navedeno u članku 58. stavku 2. točkama (a) ili (b) Financijske uredbe.</w:t>
      </w:r>
    </w:p>
  </w:footnote>
  <w:footnote w:id="7">
    <w:p>
      <w:pPr>
        <w:pStyle w:val="FootnoteText"/>
        <w:jc w:val="left"/>
        <w:rPr>
          <w:szCs w:val="24"/>
        </w:rPr>
      </w:pPr>
      <w:r>
        <w:rPr>
          <w:rStyle w:val="FootnoteReference"/>
        </w:rPr>
        <w:footnoteRef/>
      </w:r>
      <w:r>
        <w:tab/>
        <w:t xml:space="preserve">Informacije o načinima upravljanja i upućivanja na Financijsku uredbu dostupni su na internetskoj stranici BudgWeb: </w:t>
      </w:r>
      <w:hyperlink r:id="rId1" w:history="1">
        <w:r>
          <w:rPr>
            <w:rStyle w:val="Hyperlink"/>
          </w:rPr>
          <w:t>https://myintracomm.ec.europa.eu/budgweb/EN/man/budgmanag/Pages/budgmanag.aspx</w:t>
        </w:r>
      </w:hyperlink>
      <w:r>
        <w:t xml:space="preserve"> </w:t>
      </w:r>
    </w:p>
  </w:footnote>
  <w:footnote w:id="8">
    <w:p>
      <w:pPr>
        <w:pStyle w:val="FootnoteText"/>
        <w:rPr>
          <w:szCs w:val="24"/>
        </w:rPr>
      </w:pPr>
      <w:r>
        <w:rPr>
          <w:rStyle w:val="FootnoteReference"/>
        </w:rPr>
        <w:footnoteRef/>
      </w:r>
      <w:r>
        <w:tab/>
        <w:t>Dif. = diferencirana odobrena sredstva; nedif. = nediferencirana odobrena sredstva</w:t>
      </w:r>
    </w:p>
  </w:footnote>
  <w:footnote w:id="9">
    <w:p>
      <w:pPr>
        <w:pStyle w:val="FootnoteText"/>
        <w:rPr>
          <w:szCs w:val="24"/>
        </w:rPr>
      </w:pPr>
      <w:r>
        <w:rPr>
          <w:rStyle w:val="FootnoteReference"/>
        </w:rPr>
        <w:footnoteRef/>
      </w:r>
      <w:r>
        <w:tab/>
        <w:t xml:space="preserve">EFTA: Europsko udruženje slobodne trgovine. </w:t>
      </w:r>
    </w:p>
  </w:footnote>
  <w:footnote w:id="10">
    <w:p>
      <w:pPr>
        <w:pStyle w:val="FootnoteText"/>
        <w:rPr>
          <w:szCs w:val="24"/>
        </w:rPr>
      </w:pPr>
      <w:r>
        <w:rPr>
          <w:rStyle w:val="FootnoteReference"/>
        </w:rPr>
        <w:footnoteRef/>
      </w:r>
      <w:r>
        <w:tab/>
        <w:t>Zemlje kandidatkinje i, ako je primjenjivo, potencijalni kandidati sa zapadnog Balkana.</w:t>
      </w:r>
    </w:p>
  </w:footnote>
  <w:footnote w:id="11">
    <w:p>
      <w:pPr>
        <w:pStyle w:val="FootnoteText"/>
        <w:rPr>
          <w:sz w:val="18"/>
          <w:szCs w:val="18"/>
        </w:rPr>
      </w:pPr>
      <w:r>
        <w:rPr>
          <w:rStyle w:val="FootnoteReference"/>
        </w:rPr>
        <w:footnoteRef/>
      </w:r>
      <w:r>
        <w:tab/>
      </w:r>
      <w:r>
        <w:rPr>
          <w:sz w:val="18"/>
          <w:szCs w:val="18"/>
        </w:rPr>
        <w:t>Godina N godina je početka provedbe prijedloga/inicijative. Umjesto „N” upišite predviđenu prvu godinu provedbe (na primjer: 2021.). Isto učinite i za ostale godine.</w:t>
      </w:r>
    </w:p>
  </w:footnote>
  <w:footnote w:id="12">
    <w:p>
      <w:pPr>
        <w:pStyle w:val="FootnoteText"/>
        <w:rPr>
          <w:sz w:val="18"/>
          <w:szCs w:val="18"/>
        </w:rPr>
      </w:pPr>
      <w:r>
        <w:rPr>
          <w:rStyle w:val="FootnoteReference"/>
        </w:rPr>
        <w:footnoteRef/>
      </w:r>
      <w:r>
        <w:rPr>
          <w:sz w:val="18"/>
          <w:szCs w:val="18"/>
        </w:rPr>
        <w:tab/>
        <w:t>Prema službenoj proračunskoj nomenklaturi za 2020., za razdoblje 2021.–2023. treba navesti nomenklaturu za VFO za razdoblje 2021.–2027.</w:t>
      </w:r>
    </w:p>
  </w:footnote>
  <w:footnote w:id="13">
    <w:p>
      <w:pPr>
        <w:pStyle w:val="FootnoteText"/>
        <w:rPr>
          <w:szCs w:val="24"/>
        </w:rPr>
      </w:pPr>
      <w:r>
        <w:rPr>
          <w:rStyle w:val="FootnoteReference"/>
        </w:rPr>
        <w:footnoteRef/>
      </w:r>
      <w:r>
        <w:rPr>
          <w:sz w:val="18"/>
          <w:szCs w:val="18"/>
        </w:rPr>
        <w:tab/>
        <w:t>Tehnička i/ili administrativna pomoć i rashodi za potporu provedbi programa i/ili djelovanja EU-a (prijašnje linije „BA”), neizravno istraživanje, izravno istraživanje.</w:t>
      </w:r>
    </w:p>
  </w:footnote>
  <w:footnote w:id="14">
    <w:p>
      <w:pPr>
        <w:pStyle w:val="FootnoteText"/>
        <w:rPr>
          <w:szCs w:val="24"/>
        </w:rPr>
      </w:pPr>
      <w:r>
        <w:rPr>
          <w:rStyle w:val="FootnoteReference"/>
        </w:rPr>
        <w:footnoteRef/>
      </w:r>
      <w:r>
        <w:tab/>
      </w:r>
      <w:r>
        <w:rPr>
          <w:sz w:val="18"/>
          <w:szCs w:val="18"/>
        </w:rPr>
        <w:t>Godina N godina je početka provedbe prijedloga/inicijative. Umjesto „N” upišite predviđenu prvu godinu provedbe (na primjer: 2021.). Isto učinite i za ostale godine.</w:t>
      </w:r>
    </w:p>
  </w:footnote>
  <w:footnote w:id="15">
    <w:p>
      <w:pPr>
        <w:pStyle w:val="FootnoteText"/>
        <w:rPr>
          <w:szCs w:val="24"/>
        </w:rPr>
      </w:pPr>
      <w:r>
        <w:rPr>
          <w:rStyle w:val="FootnoteReference"/>
        </w:rPr>
        <w:footnoteRef/>
      </w:r>
      <w:r>
        <w:tab/>
        <w:t>Rezultati se odnose na proizvode i usluge koji se isporučuju (npr.: broj financiranih studentskih razmjena, kilometri izgrađenih prometnica itd.).</w:t>
      </w:r>
    </w:p>
  </w:footnote>
  <w:footnote w:id="16">
    <w:p>
      <w:pPr>
        <w:pStyle w:val="FootnoteText"/>
        <w:rPr>
          <w:szCs w:val="24"/>
        </w:rPr>
      </w:pPr>
      <w:r>
        <w:rPr>
          <w:rStyle w:val="FootnoteReference"/>
        </w:rPr>
        <w:footnoteRef/>
      </w:r>
      <w:r>
        <w:tab/>
        <w:t xml:space="preserve">Na način opisan u odjeljku 1.4.2. „Posebni ciljevi…”. </w:t>
      </w:r>
    </w:p>
  </w:footnote>
  <w:footnote w:id="17">
    <w:p>
      <w:pPr>
        <w:pStyle w:val="FootnoteText"/>
        <w:rPr>
          <w:sz w:val="18"/>
          <w:szCs w:val="18"/>
        </w:rPr>
      </w:pPr>
      <w:r>
        <w:rPr>
          <w:rStyle w:val="FootnoteReference"/>
        </w:rPr>
        <w:footnoteRef/>
      </w:r>
      <w:r>
        <w:tab/>
      </w:r>
      <w:r>
        <w:rPr>
          <w:sz w:val="18"/>
          <w:szCs w:val="18"/>
        </w:rPr>
        <w:t>Godina N godina je početka provedbe prijedloga/inicijative. Umjesto „N” upišite predviđenu prvu godinu provedbe (na primjer: 2021.). Isto učinite i za ostale godine.</w:t>
      </w:r>
    </w:p>
  </w:footnote>
  <w:footnote w:id="18">
    <w:p>
      <w:pPr>
        <w:pStyle w:val="FootnoteText"/>
        <w:rPr>
          <w:szCs w:val="24"/>
        </w:rPr>
      </w:pPr>
      <w:r>
        <w:rPr>
          <w:rStyle w:val="FootnoteReference"/>
        </w:rPr>
        <w:footnoteRef/>
      </w:r>
      <w:r>
        <w:rPr>
          <w:sz w:val="18"/>
          <w:szCs w:val="18"/>
        </w:rPr>
        <w:tab/>
        <w:t>Tehnička i/ili administrativna pomoć i rashodi za potporu provedbi programa i/ili djelovanja EU-a (prijašnje linije „BA”), neizravno istraživanje, izravno istraživanje.</w:t>
      </w:r>
    </w:p>
  </w:footnote>
  <w:footnote w:id="19">
    <w:p>
      <w:pPr>
        <w:pStyle w:val="FootnoteText"/>
        <w:rPr>
          <w:szCs w:val="24"/>
        </w:rPr>
      </w:pPr>
      <w:r>
        <w:rPr>
          <w:rStyle w:val="FootnoteReference"/>
        </w:rPr>
        <w:footnoteRef/>
      </w:r>
      <w:r>
        <w:tab/>
        <w:t xml:space="preserve">UO = ugovorno osoblje; LO = lokalno osoblje; UNS = upućeni nacionalni stručnjaci; UsO = ustupljeno osoblje; MSD = mladi stručnjaci u delegacijama. </w:t>
      </w:r>
    </w:p>
  </w:footnote>
  <w:footnote w:id="20">
    <w:p>
      <w:pPr>
        <w:pStyle w:val="FootnoteText"/>
        <w:rPr>
          <w:szCs w:val="24"/>
        </w:rPr>
      </w:pPr>
      <w:r>
        <w:rPr>
          <w:rStyle w:val="FootnoteReference"/>
        </w:rPr>
        <w:footnoteRef/>
      </w:r>
      <w:r>
        <w:tab/>
        <w:t>U okviru gornje granice za vanjsko osoblje iz odobrenih sredstava za poslovanje (prijašnje linije „BA”).</w:t>
      </w:r>
    </w:p>
  </w:footnote>
  <w:footnote w:id="21">
    <w:p>
      <w:pPr>
        <w:pStyle w:val="FootnoteText"/>
        <w:rPr>
          <w:szCs w:val="24"/>
        </w:rPr>
      </w:pPr>
      <w:r>
        <w:rPr>
          <w:rStyle w:val="FootnoteReference"/>
        </w:rPr>
        <w:footnoteRef/>
      </w:r>
      <w:r>
        <w:tab/>
        <w:t>Kad je riječ o tradicionalnim vlastitim sredstvima (carine, pristojbe na šećer) navedeni iznosi moraju biti neto iznosi, to jest bruto iznosi umanjeni za 20 %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51C63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728D5C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16510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1EC8E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30EA1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F2F64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6920C52"/>
    <w:lvl w:ilvl="0">
      <w:start w:val="1"/>
      <w:numFmt w:val="decimal"/>
      <w:pStyle w:val="ListNumber"/>
      <w:lvlText w:val="%1."/>
      <w:lvlJc w:val="left"/>
      <w:pPr>
        <w:tabs>
          <w:tab w:val="num" w:pos="360"/>
        </w:tabs>
        <w:ind w:left="360" w:hanging="360"/>
      </w:pPr>
    </w:lvl>
  </w:abstractNum>
  <w:abstractNum w:abstractNumId="7">
    <w:nsid w:val="FFFFFF89"/>
    <w:multiLevelType w:val="singleLevel"/>
    <w:tmpl w:val="4FAE5D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2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8"/>
  </w:num>
  <w:num w:numId="13">
    <w:abstractNumId w:val="13"/>
  </w:num>
  <w:num w:numId="14">
    <w:abstractNumId w:val="1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24"/>
  </w:num>
  <w:num w:numId="19">
    <w:abstractNumId w:val="12"/>
  </w:num>
  <w:num w:numId="20">
    <w:abstractNumId w:val="15"/>
  </w:num>
  <w:num w:numId="21">
    <w:abstractNumId w:val="10"/>
  </w:num>
  <w:num w:numId="22">
    <w:abstractNumId w:val="23"/>
  </w:num>
  <w:num w:numId="23">
    <w:abstractNumId w:val="9"/>
  </w:num>
  <w:num w:numId="24">
    <w:abstractNumId w:val="16"/>
  </w:num>
  <w:num w:numId="25">
    <w:abstractNumId w:val="19"/>
  </w:num>
  <w:num w:numId="26">
    <w:abstractNumId w:val="20"/>
  </w:num>
  <w:num w:numId="27">
    <w:abstractNumId w:val="11"/>
  </w:num>
  <w:num w:numId="28">
    <w:abstractNumId w:val="18"/>
  </w:num>
  <w:num w:numId="29">
    <w:abstractNumId w:val="25"/>
  </w:num>
  <w:num w:numId="30">
    <w:abstractNumId w:val="21"/>
  </w:num>
  <w:num w:numId="31">
    <w:abstractNumId w:val="14"/>
  </w:num>
  <w:num w:numId="32">
    <w:abstractNumId w:val="24"/>
  </w:num>
  <w:num w:numId="33">
    <w:abstractNumId w:val="12"/>
  </w:num>
  <w:num w:numId="34">
    <w:abstractNumId w:val="15"/>
  </w:num>
  <w:num w:numId="35">
    <w:abstractNumId w:val="10"/>
  </w:num>
  <w:num w:numId="36">
    <w:abstractNumId w:val="23"/>
  </w:num>
  <w:num w:numId="37">
    <w:abstractNumId w:val="9"/>
  </w:num>
  <w:num w:numId="38">
    <w:abstractNumId w:val="16"/>
  </w:num>
  <w:num w:numId="39">
    <w:abstractNumId w:val="19"/>
  </w:num>
  <w:num w:numId="40">
    <w:abstractNumId w:val="20"/>
  </w:num>
  <w:num w:numId="41">
    <w:abstractNumId w:val="11"/>
  </w:num>
  <w:num w:numId="42">
    <w:abstractNumId w:val="18"/>
  </w:num>
  <w:num w:numId="4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17 13:43:0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75"/>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3C1572E7-DA89-4383-A841-85AE4F67D94D"/>
    <w:docVar w:name="LW_COVERPAGE_TYPE" w:val="1"/>
    <w:docVar w:name="LW_CROSSREFERENCE" w:val="&lt;UNUSED&gt;"/>
    <w:docVar w:name="LW_DocType" w:val="COM"/>
    <w:docVar w:name="LW_EMISSION" w:val="24.3.2020."/>
    <w:docVar w:name="LW_EMISSION_ISODATE" w:val="2020-03-24"/>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40"/>
    <w:docVar w:name="LW_REF.II.NEW.CP_YEAR" w:val="2020"/>
    <w:docVar w:name="LW_REF.INST.NEW" w:val="COM"/>
    <w:docVar w:name="LW_REF.INST.NEW_ADOPTED" w:val="final"/>
    <w:docVar w:name="LW_REF.INST.NEW_TEXT" w:val="(2020) 1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dono\u353?enju dodatnog istra\u382?iva\u269?kog programa za razdoblje 2020.\u8211?2023. za reaktor s visokim protokom u Pettenu koji treba provesti Zajedni\u269?ki istra\u382?iva\u269?ki centar za Europsku zajednicu za atomsku energiju_x000b__x000b_"/>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hr-HR"/>
    </w:rPr>
  </w:style>
  <w:style w:type="paragraph" w:customStyle="1" w:styleId="ListDash1">
    <w:name w:val="List Dash 1"/>
    <w:basedOn w:val="Normal"/>
    <w:pPr>
      <w:numPr>
        <w:numId w:val="2"/>
      </w:numPr>
    </w:pPr>
    <w:rPr>
      <w:rFonts w:eastAsia="Times New Roman"/>
      <w:szCs w:val="24"/>
      <w:lang w:eastAsia="de-DE"/>
    </w:rPr>
  </w:style>
  <w:style w:type="paragraph" w:styleId="ListParagraph">
    <w:name w:val="List Paragraph"/>
    <w:basedOn w:val="Normal"/>
    <w:uiPriority w:val="34"/>
    <w:qFormat/>
    <w:pPr>
      <w:ind w:left="720"/>
      <w:contextualSpacing/>
    </w:pPr>
  </w:style>
  <w:style w:type="paragraph" w:styleId="ListBullet">
    <w:name w:val="List Bullet"/>
    <w:basedOn w:val="Normal"/>
    <w:unhideWhenUsed/>
    <w:pPr>
      <w:numPr>
        <w:numId w:val="4"/>
      </w:numPr>
      <w:contextualSpacing/>
    </w:pPr>
  </w:style>
  <w:style w:type="paragraph" w:styleId="ListBullet2">
    <w:name w:val="List Bullet 2"/>
    <w:basedOn w:val="Normal"/>
    <w:unhideWhenUsed/>
    <w:pPr>
      <w:numPr>
        <w:numId w:val="5"/>
      </w:numPr>
      <w:contextualSpacing/>
    </w:p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numbering" w:customStyle="1" w:styleId="NoList1">
    <w:name w:val="No List1"/>
    <w:next w:val="NoList"/>
    <w:uiPriority w:val="99"/>
    <w:semiHidden/>
    <w:unhideWhenUsed/>
  </w:style>
  <w:style w:type="paragraph" w:customStyle="1" w:styleId="ListBullet1">
    <w:name w:val="List Bullet 1"/>
    <w:basedOn w:val="Normal"/>
    <w:pPr>
      <w:numPr>
        <w:numId w:val="12"/>
      </w:numPr>
    </w:pPr>
    <w:rPr>
      <w:lang w:eastAsia="en-GB"/>
    </w:rPr>
  </w:style>
  <w:style w:type="paragraph" w:customStyle="1" w:styleId="ListDash">
    <w:name w:val="List Dash"/>
    <w:basedOn w:val="Normal"/>
    <w:pPr>
      <w:numPr>
        <w:numId w:val="13"/>
      </w:numPr>
    </w:pPr>
    <w:rPr>
      <w:lang w:eastAsia="en-GB"/>
    </w:rPr>
  </w:style>
  <w:style w:type="paragraph" w:customStyle="1" w:styleId="ListDash2">
    <w:name w:val="List Dash 2"/>
    <w:basedOn w:val="Normal"/>
    <w:pPr>
      <w:numPr>
        <w:numId w:val="14"/>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hr-HR"/>
    </w:rPr>
  </w:style>
  <w:style w:type="character" w:customStyle="1" w:styleId="FooterCoverPageChar">
    <w:name w:val="Footer Cover Page Char"/>
    <w:basedOn w:val="TOCHeadingChar"/>
    <w:link w:val="FooterCoverPage"/>
    <w:rPr>
      <w:rFonts w:ascii="Times New Roman" w:hAnsi="Times New Roman" w:cs="Times New Roman"/>
      <w:b w:val="0"/>
      <w:sz w:val="24"/>
      <w:lang w:val="hr-HR"/>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hr-HR"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hr-HR"/>
    </w:rPr>
  </w:style>
  <w:style w:type="paragraph" w:customStyle="1" w:styleId="ListDash1">
    <w:name w:val="List Dash 1"/>
    <w:basedOn w:val="Normal"/>
    <w:pPr>
      <w:numPr>
        <w:numId w:val="2"/>
      </w:numPr>
    </w:pPr>
    <w:rPr>
      <w:rFonts w:eastAsia="Times New Roman"/>
      <w:szCs w:val="24"/>
      <w:lang w:eastAsia="de-DE"/>
    </w:rPr>
  </w:style>
  <w:style w:type="paragraph" w:styleId="ListParagraph">
    <w:name w:val="List Paragraph"/>
    <w:basedOn w:val="Normal"/>
    <w:uiPriority w:val="34"/>
    <w:qFormat/>
    <w:pPr>
      <w:ind w:left="720"/>
      <w:contextualSpacing/>
    </w:pPr>
  </w:style>
  <w:style w:type="paragraph" w:styleId="ListBullet">
    <w:name w:val="List Bullet"/>
    <w:basedOn w:val="Normal"/>
    <w:unhideWhenUsed/>
    <w:pPr>
      <w:numPr>
        <w:numId w:val="4"/>
      </w:numPr>
      <w:contextualSpacing/>
    </w:pPr>
  </w:style>
  <w:style w:type="paragraph" w:styleId="ListBullet2">
    <w:name w:val="List Bullet 2"/>
    <w:basedOn w:val="Normal"/>
    <w:unhideWhenUsed/>
    <w:pPr>
      <w:numPr>
        <w:numId w:val="5"/>
      </w:numPr>
      <w:contextualSpacing/>
    </w:p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numbering" w:customStyle="1" w:styleId="NoList1">
    <w:name w:val="No List1"/>
    <w:next w:val="NoList"/>
    <w:uiPriority w:val="99"/>
    <w:semiHidden/>
    <w:unhideWhenUsed/>
  </w:style>
  <w:style w:type="paragraph" w:customStyle="1" w:styleId="ListBullet1">
    <w:name w:val="List Bullet 1"/>
    <w:basedOn w:val="Normal"/>
    <w:pPr>
      <w:numPr>
        <w:numId w:val="12"/>
      </w:numPr>
    </w:pPr>
    <w:rPr>
      <w:lang w:eastAsia="en-GB"/>
    </w:rPr>
  </w:style>
  <w:style w:type="paragraph" w:customStyle="1" w:styleId="ListDash">
    <w:name w:val="List Dash"/>
    <w:basedOn w:val="Normal"/>
    <w:pPr>
      <w:numPr>
        <w:numId w:val="13"/>
      </w:numPr>
    </w:pPr>
    <w:rPr>
      <w:lang w:eastAsia="en-GB"/>
    </w:rPr>
  </w:style>
  <w:style w:type="paragraph" w:customStyle="1" w:styleId="ListDash2">
    <w:name w:val="List Dash 2"/>
    <w:basedOn w:val="Normal"/>
    <w:pPr>
      <w:numPr>
        <w:numId w:val="14"/>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hr-HR"/>
    </w:rPr>
  </w:style>
  <w:style w:type="character" w:customStyle="1" w:styleId="FooterCoverPageChar">
    <w:name w:val="Footer Cover Page Char"/>
    <w:basedOn w:val="TOCHeadingChar"/>
    <w:link w:val="FooterCoverPage"/>
    <w:rPr>
      <w:rFonts w:ascii="Times New Roman" w:hAnsi="Times New Roman" w:cs="Times New Roman"/>
      <w:b w:val="0"/>
      <w:sz w:val="24"/>
      <w:lang w:val="hr-HR"/>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hr-HR"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4639">
      <w:bodyDiv w:val="1"/>
      <w:marLeft w:val="0"/>
      <w:marRight w:val="0"/>
      <w:marTop w:val="0"/>
      <w:marBottom w:val="0"/>
      <w:divBdr>
        <w:top w:val="none" w:sz="0" w:space="0" w:color="auto"/>
        <w:left w:val="none" w:sz="0" w:space="0" w:color="auto"/>
        <w:bottom w:val="none" w:sz="0" w:space="0" w:color="auto"/>
        <w:right w:val="none" w:sz="0" w:space="0" w:color="auto"/>
      </w:divBdr>
    </w:div>
    <w:div w:id="1189487591">
      <w:bodyDiv w:val="1"/>
      <w:marLeft w:val="0"/>
      <w:marRight w:val="0"/>
      <w:marTop w:val="0"/>
      <w:marBottom w:val="0"/>
      <w:divBdr>
        <w:top w:val="none" w:sz="0" w:space="0" w:color="auto"/>
        <w:left w:val="none" w:sz="0" w:space="0" w:color="auto"/>
        <w:bottom w:val="none" w:sz="0" w:space="0" w:color="auto"/>
        <w:right w:val="none" w:sz="0" w:space="0" w:color="auto"/>
      </w:divBdr>
    </w:div>
    <w:div w:id="1191458400">
      <w:bodyDiv w:val="1"/>
      <w:marLeft w:val="0"/>
      <w:marRight w:val="0"/>
      <w:marTop w:val="0"/>
      <w:marBottom w:val="0"/>
      <w:divBdr>
        <w:top w:val="none" w:sz="0" w:space="0" w:color="auto"/>
        <w:left w:val="none" w:sz="0" w:space="0" w:color="auto"/>
        <w:bottom w:val="none" w:sz="0" w:space="0" w:color="auto"/>
        <w:right w:val="none" w:sz="0" w:space="0" w:color="auto"/>
      </w:divBdr>
    </w:div>
    <w:div w:id="1395855641">
      <w:bodyDiv w:val="1"/>
      <w:marLeft w:val="0"/>
      <w:marRight w:val="0"/>
      <w:marTop w:val="0"/>
      <w:marBottom w:val="0"/>
      <w:divBdr>
        <w:top w:val="none" w:sz="0" w:space="0" w:color="auto"/>
        <w:left w:val="none" w:sz="0" w:space="0" w:color="auto"/>
        <w:bottom w:val="none" w:sz="0" w:space="0" w:color="auto"/>
        <w:right w:val="none" w:sz="0" w:space="0" w:color="auto"/>
      </w:divBdr>
    </w:div>
    <w:div w:id="20023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leg/internal/Documents/2016-5-legislative-financial-statement-ann-e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C128-1793-4FB1-92F7-5F503F56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22</Pages>
  <Words>4322</Words>
  <Characters>27452</Characters>
  <Application>Microsoft Office Word</Application>
  <DocSecurity>0</DocSecurity>
  <Lines>1247</Lines>
  <Paragraphs>648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19</cp:revision>
  <cp:lastPrinted>2019-11-08T10:52:00Z</cp:lastPrinted>
  <dcterms:created xsi:type="dcterms:W3CDTF">2020-03-16T08:24:00Z</dcterms:created>
  <dcterms:modified xsi:type="dcterms:W3CDTF">2020-03-17T12:43:00Z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