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AE67803A-0F59-4D1F-ADEA-FC3CA73B6C5E" style="width:450.75pt;height:424.75pt">
            <v:imagedata r:id="rId9" o:title=""/>
          </v:shape>
        </w:pict>
      </w:r>
    </w:p>
    <w:p>
      <w:pPr>
        <w:pStyle w:val="Pagedecouverture"/>
        <w:rPr>
          <w:rFonts w:eastAsia="Times New Roman"/>
          <w:b/>
          <w:noProof/>
          <w:szCs w:val="24"/>
          <w:u w:val="single"/>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rStyle w:val="Marker"/>
          <w:noProof/>
        </w:rPr>
      </w:pPr>
      <w:bookmarkStart w:id="0" w:name="_GoBack"/>
      <w:bookmarkEnd w:id="0"/>
      <w:r>
        <w:rPr>
          <w:noProof/>
        </w:rPr>
        <w:lastRenderedPageBreak/>
        <w:t xml:space="preserve">ANNEX </w:t>
      </w:r>
      <w:r>
        <w:rPr>
          <w:rStyle w:val="Marker"/>
          <w:noProof/>
        </w:rPr>
        <w:t>I</w:t>
      </w:r>
    </w:p>
    <w:p>
      <w:pPr>
        <w:rPr>
          <w:noProof/>
        </w:rPr>
      </w:pPr>
    </w:p>
    <w:p>
      <w:pPr>
        <w:rPr>
          <w:noProof/>
        </w:rPr>
      </w:pPr>
    </w:p>
    <w:p>
      <w:pPr>
        <w:spacing w:line="360" w:lineRule="auto"/>
        <w:jc w:val="center"/>
        <w:outlineLvl w:val="0"/>
        <w:rPr>
          <w:rFonts w:eastAsia="Times New Roman"/>
          <w:noProof/>
          <w:szCs w:val="24"/>
        </w:rPr>
      </w:pPr>
      <w:r>
        <w:rPr>
          <w:rFonts w:eastAsia="Times New Roman"/>
          <w:noProof/>
          <w:szCs w:val="24"/>
        </w:rPr>
        <w:t>SCIENTIFIC AND TECHNICAL OBJECTIVES</w:t>
      </w:r>
    </w:p>
    <w:p>
      <w:pPr>
        <w:spacing w:line="360" w:lineRule="auto"/>
        <w:outlineLvl w:val="0"/>
        <w:rPr>
          <w:rFonts w:eastAsia="Times New Roman"/>
          <w:noProof/>
          <w:szCs w:val="24"/>
        </w:rPr>
      </w:pPr>
      <w:r>
        <w:rPr>
          <w:rFonts w:eastAsia="Times New Roman"/>
          <w:noProof/>
          <w:szCs w:val="24"/>
        </w:rPr>
        <w:t>The main objectives of the programme are the following:</w:t>
      </w:r>
    </w:p>
    <w:p>
      <w:pPr>
        <w:outlineLvl w:val="0"/>
        <w:rPr>
          <w:rFonts w:eastAsia="Times New Roman"/>
          <w:noProof/>
          <w:szCs w:val="24"/>
        </w:rPr>
      </w:pPr>
      <w:r>
        <w:rPr>
          <w:rFonts w:eastAsia="Times New Roman"/>
          <w:noProof/>
          <w:szCs w:val="24"/>
        </w:rPr>
        <w:t>(1)</w:t>
      </w:r>
      <w:r>
        <w:rPr>
          <w:rFonts w:eastAsia="Times New Roman"/>
          <w:noProof/>
          <w:szCs w:val="24"/>
        </w:rPr>
        <w:tab/>
        <w:t xml:space="preserve"> to ensure the safe and reliable operation of the HFR in order to guarantee the availability of the neutron flux for experimental purposes;</w:t>
      </w:r>
    </w:p>
    <w:p>
      <w:pPr>
        <w:outlineLvl w:val="0"/>
        <w:rPr>
          <w:rFonts w:eastAsia="Times New Roman"/>
          <w:noProof/>
          <w:szCs w:val="24"/>
        </w:rPr>
      </w:pPr>
      <w:r>
        <w:rPr>
          <w:rFonts w:eastAsia="Times New Roman"/>
          <w:noProof/>
          <w:szCs w:val="24"/>
        </w:rPr>
        <w:t>(2) to allow an efficient use of HFR by research institutes in a broad range of areas: improvement of safety of nuclear reactors, health (including the development of medical isotopes), nuclear fusion, fundamental research and training and waste management including the possibility to study the safety issues of nuclear fuels for reactor systems of interest to Europe.</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Annexetitre"/>
        <w:rPr>
          <w:rStyle w:val="Marker"/>
          <w:noProof/>
        </w:rPr>
      </w:pPr>
      <w:r>
        <w:rPr>
          <w:noProof/>
        </w:rPr>
        <w:lastRenderedPageBreak/>
        <w:t xml:space="preserve">ANNEX </w:t>
      </w:r>
      <w:r>
        <w:rPr>
          <w:rStyle w:val="Marker"/>
          <w:noProof/>
        </w:rPr>
        <w:t>II</w:t>
      </w:r>
    </w:p>
    <w:p>
      <w:pPr>
        <w:spacing w:line="360" w:lineRule="auto"/>
        <w:jc w:val="center"/>
        <w:outlineLvl w:val="0"/>
        <w:rPr>
          <w:rFonts w:eastAsia="Times New Roman"/>
          <w:noProof/>
          <w:szCs w:val="24"/>
        </w:rPr>
      </w:pPr>
      <w:r>
        <w:rPr>
          <w:rFonts w:eastAsia="Times New Roman"/>
          <w:noProof/>
          <w:szCs w:val="24"/>
        </w:rPr>
        <w:t xml:space="preserve"> BREAKDOWN OF THE CONTRIBUTIONS</w:t>
      </w:r>
    </w:p>
    <w:p>
      <w:pPr>
        <w:spacing w:line="360" w:lineRule="auto"/>
        <w:outlineLvl w:val="0"/>
        <w:rPr>
          <w:rFonts w:eastAsia="Times New Roman"/>
          <w:noProof/>
          <w:szCs w:val="24"/>
        </w:rPr>
      </w:pPr>
      <w:r>
        <w:rPr>
          <w:rFonts w:eastAsia="Times New Roman"/>
          <w:noProof/>
          <w:szCs w:val="24"/>
        </w:rPr>
        <w:t>The contributions to the programme come from the Netherlands and France.</w:t>
      </w:r>
    </w:p>
    <w:p>
      <w:pPr>
        <w:spacing w:line="360" w:lineRule="auto"/>
        <w:outlineLvl w:val="0"/>
        <w:rPr>
          <w:rFonts w:eastAsia="Times New Roman"/>
          <w:noProof/>
          <w:szCs w:val="24"/>
        </w:rPr>
      </w:pPr>
      <w:r>
        <w:rPr>
          <w:rFonts w:eastAsia="Times New Roman"/>
          <w:noProof/>
          <w:szCs w:val="24"/>
        </w:rPr>
        <w:t>The breakdown of those contributions is as follows:</w:t>
      </w:r>
    </w:p>
    <w:p>
      <w:pPr>
        <w:tabs>
          <w:tab w:val="left" w:pos="0"/>
        </w:tabs>
        <w:rPr>
          <w:rFonts w:eastAsia="Times New Roman"/>
          <w:noProof/>
          <w:szCs w:val="24"/>
          <w:lang w:val="fr-FR"/>
        </w:rPr>
      </w:pPr>
      <w:r>
        <w:rPr>
          <w:rFonts w:eastAsia="Times New Roman"/>
          <w:noProof/>
          <w:szCs w:val="24"/>
          <w:lang w:val="fr-FR"/>
        </w:rPr>
        <w:t xml:space="preserve">The Netherlands: EUR 26 654 000;  </w:t>
      </w:r>
    </w:p>
    <w:p>
      <w:pPr>
        <w:tabs>
          <w:tab w:val="left" w:pos="720"/>
        </w:tabs>
        <w:rPr>
          <w:rFonts w:eastAsia="Times New Roman"/>
          <w:noProof/>
          <w:szCs w:val="24"/>
          <w:lang w:val="fr-FR"/>
        </w:rPr>
      </w:pPr>
      <w:r>
        <w:rPr>
          <w:rFonts w:eastAsia="Times New Roman"/>
          <w:noProof/>
          <w:szCs w:val="24"/>
          <w:lang w:val="fr-FR"/>
        </w:rPr>
        <w:t>France: EUR 1 200 000;</w:t>
      </w:r>
    </w:p>
    <w:p>
      <w:pPr>
        <w:spacing w:after="240"/>
        <w:rPr>
          <w:rFonts w:eastAsia="Times New Roman"/>
          <w:noProof/>
          <w:szCs w:val="24"/>
        </w:rPr>
      </w:pPr>
      <w:r>
        <w:rPr>
          <w:rFonts w:eastAsia="Times New Roman"/>
          <w:noProof/>
          <w:szCs w:val="24"/>
        </w:rPr>
        <w:t>Total: EUR 27 854 000.</w:t>
      </w:r>
    </w:p>
    <w:p>
      <w:pPr>
        <w:rPr>
          <w:rFonts w:eastAsia="Times New Roman"/>
          <w:noProof/>
          <w:szCs w:val="24"/>
        </w:rPr>
      </w:pPr>
      <w:r>
        <w:rPr>
          <w:rFonts w:eastAsia="Times New Roman"/>
          <w:noProof/>
          <w:szCs w:val="24"/>
        </w:rPr>
        <w:t>Those contributions shall be made to the general budget of the Union and shall be assigned to this programme. Part of the contributions under the present supplementary programme may also cover expenditure made in respect of the operation of the HFR during the year 2020 in accordance with the work programme to be agreed upon among contributing countries and the Commission.</w:t>
      </w:r>
    </w:p>
    <w:p>
      <w:pPr>
        <w:rPr>
          <w:rFonts w:eastAsia="Times New Roman"/>
          <w:noProof/>
          <w:szCs w:val="24"/>
        </w:rPr>
      </w:pPr>
      <w:r>
        <w:rPr>
          <w:rFonts w:eastAsia="Times New Roman"/>
          <w:noProof/>
          <w:szCs w:val="24"/>
        </w:rPr>
        <w:t>Those contributions are firm and not revisable as regards to the variations related to operational, maintenance and decommissioning costs.</w:t>
      </w:r>
    </w:p>
    <w:p>
      <w:pPr>
        <w:rPr>
          <w:noProof/>
        </w:rPr>
      </w:pPr>
    </w:p>
    <w:p>
      <w:pP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726FAD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C5411A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CF2D126"/>
    <w:lvl w:ilvl="0">
      <w:start w:val="1"/>
      <w:numFmt w:val="decimal"/>
      <w:pStyle w:val="ListNumber2"/>
      <w:lvlText w:val="%1."/>
      <w:lvlJc w:val="left"/>
      <w:pPr>
        <w:tabs>
          <w:tab w:val="num" w:pos="643"/>
        </w:tabs>
        <w:ind w:left="643" w:hanging="360"/>
      </w:pPr>
    </w:lvl>
  </w:abstractNum>
  <w:abstractNum w:abstractNumId="3">
    <w:nsid w:val="FFFFFF81"/>
    <w:multiLevelType w:val="singleLevel"/>
    <w:tmpl w:val="BFF0095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F4413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AF0DF8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85E5358"/>
    <w:lvl w:ilvl="0">
      <w:start w:val="1"/>
      <w:numFmt w:val="decimal"/>
      <w:pStyle w:val="ListNumber"/>
      <w:lvlText w:val="%1."/>
      <w:lvlJc w:val="left"/>
      <w:pPr>
        <w:tabs>
          <w:tab w:val="num" w:pos="360"/>
        </w:tabs>
        <w:ind w:left="360" w:hanging="360"/>
      </w:pPr>
    </w:lvl>
  </w:abstractNum>
  <w:abstractNum w:abstractNumId="7">
    <w:nsid w:val="FFFFFF89"/>
    <w:multiLevelType w:val="singleLevel"/>
    <w:tmpl w:val="A43C09E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4"/>
  <w:displayBackgroundShape/>
  <w:hideSpellingErrors/>
  <w:hideGrammaticalErrors/>
  <w:activeWritingStyle w:appName="MSWord" w:lang="fr-FR" w:vendorID="64" w:dllVersion="131078" w:nlCheck="1" w:checkStyle="0"/>
  <w:activeWritingStyle w:appName="MSWord" w:lang="en-GB" w:vendorID="64" w:dllVersion="131078" w:nlCheck="1" w:checkStyle="1"/>
  <w:attachedTemplate r:id="rId1"/>
  <w:revisionView w:markup="0"/>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2-21 11:06:4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Yellow"/>
    <w:docVar w:name="DQCVersion" w:val="3"/>
    <w:docVar w:name="DQCWithWarnings" w:val="0"/>
    <w:docVar w:name="LW_ACCOMPAGNANT" w:val="to the proposal of"/>
    <w:docVar w:name="LW_ACCOMPAGNANT.CP" w:val="to the proposal of"/>
    <w:docVar w:name="LW_ANNEX_NBR_FIRST" w:val="1"/>
    <w:docVar w:name="LW_ANNEX_NBR_LAST" w:val="2"/>
    <w:docVar w:name="LW_ANNEX_UNIQUE" w:val="0"/>
    <w:docVar w:name="LW_CORRIGENDUM" w:val="&lt;UNUSED&gt;"/>
    <w:docVar w:name="LW_COVERPAGE_EXISTS" w:val="True"/>
    <w:docVar w:name="LW_COVERPAGE_GUID" w:val="AE67803A-0F59-4D1F-ADEA-FC3CA73B6C5E"/>
    <w:docVar w:name="LW_COVERPAGE_TYPE" w:val="1"/>
    <w:docVar w:name="LW_CROSSREFERENCE" w:val="&lt;UNUSED&gt;"/>
    <w:docVar w:name="LW_DocType" w:val="ANNEX"/>
    <w:docVar w:name="LW_EMISSION" w:val="24.3.2020"/>
    <w:docVar w:name="LW_EMISSION_ISODATE" w:val="2020-03-24"/>
    <w:docVar w:name="LW_EMISSION_LOCATION" w:val="BRX"/>
    <w:docVar w:name="LW_EMISSION_PREFIX" w:val="Brussels, "/>
    <w:docVar w:name="LW_EMISSION_SUFFIX" w:val=" "/>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 w:val="&lt;FMT:Bold&gt;on the adoption of the 2020-2023 high flux reactor supplementary research programme at Petten to be implemented by the Joint Research Centre for the European Atomic Energy Community_x000d__x000d__x000d__x000d_&lt;/FMT&gt;_x000d__x000d__x000b_&lt;FMT:Bold&gt;_x000d__x000d__x000d__x000d_&lt;/FMT&gt;_x000d__x000d__x000b_"/>
    <w:docVar w:name="LW_OBJETACTEPRINCIPAL.CP" w:val="&lt;FMT:Bold&gt;on the adoption of the 2020-2023 high flux reactor supplementary research programme at Petten to be implemented by the Joint Research Centre for the European Atomic Energy Community_x000d__x000d__x000d__x000d_&lt;/FMT&gt;_x000d__x000d__x000b_&lt;FMT:Bold&gt;_x000d__x000d__x000d__x000d_&lt;/FMT&gt;_x000d__x000d__x000b_"/>
    <w:docVar w:name="LW_PART_NBR" w:val="&lt;UNUSED&gt;"/>
    <w:docVar w:name="LW_PART_NBR_TOTAL" w:val="&lt;UNUSED&gt;"/>
    <w:docVar w:name="LW_REF.INST.NEW" w:val="COM"/>
    <w:docVar w:name="LW_REF.INST.NEW_ADOPTED" w:val="final"/>
    <w:docVar w:name="LW_REF.INST.NEW_TEXT" w:val="(2020) 10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ES"/>
    <w:docVar w:name="LW_TYPE.DOC.CP" w:val="ANNEXES"/>
    <w:docVar w:name="LW_TYPEACTEPRINCIPAL" w:val="COUNCIL DECISION  "/>
    <w:docVar w:name="LW_TYPEACTEPRINCIPAL.CP" w:val="COUNCIL DECISION  "/>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B6AC9-2FB4-4491-8441-3B986D6CB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3</Pages>
  <Words>219</Words>
  <Characters>1164</Characters>
  <Application>Microsoft Office Word</Application>
  <DocSecurity>0</DocSecurity>
  <Lines>30</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SINISCALCHI Francesca (JRC)</dc:creator>
  <cp:lastModifiedBy>WES PDFC Administrator</cp:lastModifiedBy>
  <cp:revision>8</cp:revision>
  <cp:lastPrinted>2019-09-23T14:58:00Z</cp:lastPrinted>
  <dcterms:created xsi:type="dcterms:W3CDTF">2020-03-13T15:24:00Z</dcterms:created>
  <dcterms:modified xsi:type="dcterms:W3CDTF">2020-03-17T12:39:00Z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5.8.86.0</vt:lpwstr>
  </property>
  <property fmtid="{D5CDD505-2E9C-101B-9397-08002B2CF9AE}" pid="4" name="Last edited using">
    <vt:lpwstr>LW 7.0, Build 20190717</vt:lpwstr>
  </property>
  <property fmtid="{D5CDD505-2E9C-101B-9397-08002B2CF9AE}" pid="5" name="Created using">
    <vt:lpwstr>LW 5.8.3, Build 20140113</vt:lpwstr>
  </property>
  <property fmtid="{D5CDD505-2E9C-101B-9397-08002B2CF9AE}" pid="6" name="First annex">
    <vt:lpwstr>1</vt:lpwstr>
  </property>
  <property fmtid="{D5CDD505-2E9C-101B-9397-08002B2CF9AE}" pid="7" name="Last annex">
    <vt:lpwstr>2</vt:lpwstr>
  </property>
  <property fmtid="{D5CDD505-2E9C-101B-9397-08002B2CF9AE}" pid="8" name="Part">
    <vt:lpwstr>&lt;UNUSED&gt;</vt:lpwstr>
  </property>
  <property fmtid="{D5CDD505-2E9C-101B-9397-08002B2CF9AE}" pid="9" name="Total parts">
    <vt:lpwstr>&lt;UNUSED&gt;</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Unique annex">
    <vt:lpwstr>0</vt:lpwstr>
  </property>
  <property fmtid="{D5CDD505-2E9C-101B-9397-08002B2CF9AE}" pid="13" name="DQCStatus">
    <vt:lpwstr>Yellow (DQC version 03)</vt:lpwstr>
  </property>
</Properties>
</file>