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9C1EF98-FDDD-47FB-BFBD-1928635B279A" style="width:450.35pt;height:379.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t>1.</w:t>
      </w:r>
      <w:r>
        <w:tab/>
      </w:r>
      <w:r>
        <w:rPr>
          <w:noProof/>
        </w:rPr>
        <w:t>Predmet prijedloga</w:t>
      </w:r>
    </w:p>
    <w:p>
      <w:pPr>
        <w:rPr>
          <w:noProof/>
        </w:rPr>
      </w:pPr>
      <w:r>
        <w:rPr>
          <w:noProof/>
        </w:rPr>
        <w:t>Ovaj prijedlog odnosi se na odluku o utvrđivanju stajališta koje u ime Unije treba zauzeti u Odboru osnovanom na temelju prijelaznog Sporazuma o gospodarskom partnerstvu („SGP”) između Gane, s jedne strane, i Europske zajednice i njezinih država članica, s druge strane („Odbor za SGP”), u vezi s predviđenim donošenjem poslovnika Odbora za SGP.</w:t>
      </w:r>
    </w:p>
    <w:p>
      <w:pPr>
        <w:pStyle w:val="ManualHeading1"/>
        <w:rPr>
          <w:noProof/>
        </w:rPr>
      </w:pPr>
      <w:r>
        <w:t>2.</w:t>
      </w:r>
      <w:r>
        <w:tab/>
      </w:r>
      <w:r>
        <w:rPr>
          <w:noProof/>
        </w:rPr>
        <w:t>Kontekst prijedloga</w:t>
      </w:r>
    </w:p>
    <w:p>
      <w:pPr>
        <w:pStyle w:val="ManualHeading2"/>
        <w:rPr>
          <w:noProof/>
        </w:rPr>
      </w:pPr>
      <w:r>
        <w:t>2.1.</w:t>
      </w:r>
      <w:r>
        <w:tab/>
      </w:r>
      <w:r>
        <w:rPr>
          <w:noProof/>
        </w:rPr>
        <w:t>Prijelazni Sporazum o gospodarskom partnerstvu između Gane, s jedne strane, i Europske zajednice i njezinih država članica, s druge strane</w:t>
      </w:r>
    </w:p>
    <w:p>
      <w:pPr>
        <w:rPr>
          <w:noProof/>
        </w:rPr>
      </w:pPr>
      <w:r>
        <w:rPr>
          <w:noProof/>
        </w:rPr>
        <w:t>Cilj je prijelaznog Sporazuma o gospodarskom partnerstvu između Gane, s jedne strane, i Europske zajednice i njezinih država članica, s druge strane („Sporazum”) sljedeći:</w:t>
      </w:r>
    </w:p>
    <w:p>
      <w:pPr>
        <w:pStyle w:val="Point0"/>
        <w:rPr>
          <w:noProof/>
        </w:rPr>
      </w:pPr>
      <w:r>
        <w:t>(a)</w:t>
      </w:r>
      <w:r>
        <w:tab/>
      </w:r>
      <w:r>
        <w:rPr>
          <w:noProof/>
        </w:rPr>
        <w:t>Gani omogućiti da iskoristi poboljšani pristup tržištu koji joj nudi Unija u okviru pregovora o SGP-u i time izbjeći poremećaj trgovine između Gane i Unije nakon isteka prijelaznog trgovinskog režima iz Sporazuma iz Cotonoua 31. prosinca 2007. do sklapanja potpunog SGP-a;</w:t>
      </w:r>
    </w:p>
    <w:p>
      <w:pPr>
        <w:pStyle w:val="Point0"/>
        <w:rPr>
          <w:noProof/>
        </w:rPr>
      </w:pPr>
      <w:r>
        <w:t>(b)</w:t>
      </w:r>
      <w:r>
        <w:tab/>
      </w:r>
      <w:r>
        <w:rPr>
          <w:noProof/>
        </w:rPr>
        <w:t>uspostaviti temelje za pregovore o SGP-u koji doprinosi smanjenju siromaštva, promiče regionalnu integraciju, gospodarsku suradnju i dobro upravljanje u Zapadnoj Africi te poboljšava kapacitete Zapadne Afrike u pogledu trgovinske politike i pitanja povezanih s trgovinom;</w:t>
      </w:r>
    </w:p>
    <w:p>
      <w:pPr>
        <w:pStyle w:val="Point0"/>
        <w:rPr>
          <w:noProof/>
        </w:rPr>
      </w:pPr>
      <w:r>
        <w:t>(c)</w:t>
      </w:r>
      <w:r>
        <w:tab/>
      </w:r>
      <w:r>
        <w:rPr>
          <w:noProof/>
        </w:rPr>
        <w:t>promicati skladnu i postupnu integraciju Gane u svjetsko gospodarstvo, u skladu s njezinim političkim odabirima i razvojnim prioritetima;</w:t>
      </w:r>
    </w:p>
    <w:p>
      <w:pPr>
        <w:pStyle w:val="Point0"/>
        <w:rPr>
          <w:noProof/>
        </w:rPr>
      </w:pPr>
      <w:r>
        <w:t>(d)</w:t>
      </w:r>
      <w:r>
        <w:tab/>
      </w:r>
      <w:r>
        <w:rPr>
          <w:noProof/>
        </w:rPr>
        <w:t>jačati postojeće odnose među strankama na temelju solidarnosti i obostranog interesa;</w:t>
      </w:r>
    </w:p>
    <w:p>
      <w:pPr>
        <w:pStyle w:val="Point0"/>
        <w:rPr>
          <w:noProof/>
        </w:rPr>
      </w:pPr>
      <w:r>
        <w:t>(e)</w:t>
      </w:r>
      <w:r>
        <w:tab/>
      </w:r>
      <w:r>
        <w:rPr>
          <w:noProof/>
        </w:rPr>
        <w:t>stvoriti sporazum koji je u skladu s člankom XXIV. GATT-a iz 1994.</w:t>
      </w:r>
    </w:p>
    <w:p>
      <w:pPr>
        <w:rPr>
          <w:noProof/>
        </w:rPr>
      </w:pPr>
      <w:r>
        <w:rPr>
          <w:noProof/>
        </w:rPr>
        <w:t>Sporazum između Gane, s jedne strane, i Europske unije i njezinih država članica, s druge strane, privremeno se primjenjuje od 15. prosinca 2016.</w:t>
      </w:r>
    </w:p>
    <w:p>
      <w:pPr>
        <w:pStyle w:val="ManualHeading2"/>
        <w:rPr>
          <w:noProof/>
        </w:rPr>
      </w:pPr>
      <w:r>
        <w:t>2.2.</w:t>
      </w:r>
      <w:r>
        <w:tab/>
      </w:r>
      <w:r>
        <w:rPr>
          <w:noProof/>
        </w:rPr>
        <w:t xml:space="preserve">Odbor za SGP </w:t>
      </w:r>
    </w:p>
    <w:p>
      <w:pPr>
        <w:rPr>
          <w:noProof/>
        </w:rPr>
      </w:pPr>
      <w:r>
        <w:rPr>
          <w:noProof/>
        </w:rPr>
        <w:t>Člankom 73. Sporazuma uspostavlja se Odbor za SGP i utvrđuje da je on odgovoran za upravljanje u svim područjima obuhvaćenima Sporazumom i izvršavanje svih zadataka navedenih u Sporazumu.</w:t>
      </w:r>
    </w:p>
    <w:p>
      <w:pPr>
        <w:rPr>
          <w:b/>
          <w:noProof/>
        </w:rPr>
      </w:pPr>
      <w:r>
        <w:rPr>
          <w:noProof/>
        </w:rPr>
        <w:t xml:space="preserve">Člankom 73. Sporazuma utvrđeno je da su stranke suglasne da sastav, ustroj i rad Odbora za SGP poštuju načelo jednakosti. Odbor će utvrditi svoja pravila o ustroju i radu. Sastanci Odbora za SGP mogu biti otvoreni i za treće stranke. Komisija Ekonomske zajednice zapadnoafričkih država (ECOWAS) može biti pozvana na sastanke Odbora za SGP, u skladu s njegovim internim postupcima. </w:t>
      </w:r>
    </w:p>
    <w:p>
      <w:pPr>
        <w:rPr>
          <w:noProof/>
          <w:color w:val="000000"/>
          <w:spacing w:val="-1"/>
        </w:rPr>
      </w:pPr>
      <w:r>
        <w:rPr>
          <w:noProof/>
        </w:rPr>
        <w:t>Člankom 2. poslovnika koji je potrebno donijeti utvrđuje se da je Odbor za SGP sastavljen od predstavnika Europske unije i predstavnika Gane, na ministarskoj razini ili razini visokih dužnosnika.</w:t>
      </w:r>
    </w:p>
    <w:p>
      <w:pPr>
        <w:rPr>
          <w:noProof/>
        </w:rPr>
      </w:pPr>
      <w:r>
        <w:rPr>
          <w:noProof/>
        </w:rPr>
        <w:t>Člankom 9. poslovnika koji je potrebno donijeti utvrđuje se da Odbor za SGP odluke i preporuke donosi konsenzusom.</w:t>
      </w:r>
    </w:p>
    <w:p>
      <w:pPr>
        <w:pStyle w:val="ManualHeading2"/>
        <w:rPr>
          <w:noProof/>
        </w:rPr>
      </w:pPr>
      <w:r>
        <w:lastRenderedPageBreak/>
        <w:t>2.3.</w:t>
      </w:r>
      <w:r>
        <w:tab/>
      </w:r>
      <w:r>
        <w:rPr>
          <w:noProof/>
        </w:rPr>
        <w:t>Predviđeni akt Odbora za SGP</w:t>
      </w:r>
    </w:p>
    <w:p>
      <w:pPr>
        <w:rPr>
          <w:noProof/>
        </w:rPr>
      </w:pPr>
      <w:r>
        <w:rPr>
          <w:noProof/>
        </w:rPr>
        <w:t>U prvoj polovini 2020. Odbor za SGP treba donijeti odluku o svojem poslovniku („predviđeni akt”).</w:t>
      </w:r>
    </w:p>
    <w:p>
      <w:pPr>
        <w:rPr>
          <w:noProof/>
          <w:highlight w:val="yellow"/>
        </w:rPr>
      </w:pPr>
      <w:r>
        <w:rPr>
          <w:noProof/>
        </w:rPr>
        <w:t>Svrha je predviđenog akta utvrditi pravila o ustroju i radu Odbora za SGP.</w:t>
      </w:r>
    </w:p>
    <w:p>
      <w:pPr>
        <w:pStyle w:val="ManualHeading1"/>
        <w:rPr>
          <w:noProof/>
        </w:rPr>
      </w:pPr>
      <w:r>
        <w:t>3.</w:t>
      </w:r>
      <w:r>
        <w:tab/>
      </w:r>
      <w:r>
        <w:rPr>
          <w:noProof/>
        </w:rPr>
        <w:t>Stajalište koje treba zauzeti u ime Unije</w:t>
      </w:r>
    </w:p>
    <w:p>
      <w:pPr>
        <w:rPr>
          <w:noProof/>
        </w:rPr>
      </w:pPr>
      <w:r>
        <w:rPr>
          <w:noProof/>
        </w:rPr>
        <w:t>Ovim Prijedlogom odluke Vijeća utvrđuje se stajalište koje u ime Unije treba zauzeti u Odboru za SGP osnovanom na temelju Sporazuma u pogledu donošenja poslovnika Odbora za SGP.</w:t>
      </w:r>
    </w:p>
    <w:p>
      <w:pPr>
        <w:rPr>
          <w:noProof/>
        </w:rPr>
      </w:pPr>
      <w:r>
        <w:rPr>
          <w:noProof/>
        </w:rPr>
        <w:t xml:space="preserve">Stranke Sporazuma raspravljale su o predviđenom poslovniku i složile se da bi, s obzirom na Unijine postupke donošenja odluka, Odbor za SGP taj poslovnik trebao donijeti u prvoj polovini 2020. </w:t>
      </w:r>
    </w:p>
    <w:p>
      <w:pPr>
        <w:rPr>
          <w:noProof/>
        </w:rPr>
      </w:pPr>
      <w:r>
        <w:rPr>
          <w:noProof/>
        </w:rPr>
        <w:t xml:space="preserve">Sadržaj predviđenog poslovnika sličan je sadržaju poslovnika drugih trgovinskih sporazuma Unije. </w:t>
      </w:r>
    </w:p>
    <w:p>
      <w:pPr>
        <w:rPr>
          <w:noProof/>
        </w:rPr>
      </w:pPr>
      <w:r>
        <w:rPr>
          <w:noProof/>
        </w:rPr>
        <w:t>Poslovnik je nužan za dovršetak institucijskog okvira Sporazuma, a time i za osiguravanje nesmetane provedbe Sporazuma.</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Pojmom „akti koji proizvode pravne učinke” obuhvaćeni su akti koji proizvode pravne učinke na temelju pravila međunarodnog prava kojima se uređuje predmetno tijelo. Njime su obuhvaćeni i instrumenti koji nemaju obvezujući učinak na temelju međunarodnog prava, ali „mogu presudno utjecati na sadržaj propisa koje donese zakonodavac Unije”</w:t>
      </w:r>
      <w:r>
        <w:rPr>
          <w:rStyle w:val="FootnoteReference"/>
          <w:noProof/>
        </w:rPr>
        <w:footnoteReference w:id="1"/>
      </w:r>
      <w:r>
        <w:rPr>
          <w:noProof/>
        </w:rPr>
        <w:t>.</w:t>
      </w:r>
    </w:p>
    <w:p>
      <w:pPr>
        <w:pStyle w:val="ManualHeading3"/>
        <w:rPr>
          <w:noProof/>
        </w:rPr>
      </w:pPr>
      <w:r>
        <w:t>4.1.2.</w:t>
      </w:r>
      <w:r>
        <w:tab/>
      </w:r>
      <w:r>
        <w:rPr>
          <w:noProof/>
        </w:rPr>
        <w:t>Primjena u predmetnom slučaju</w:t>
      </w:r>
    </w:p>
    <w:p>
      <w:pPr>
        <w:rPr>
          <w:noProof/>
        </w:rPr>
      </w:pPr>
      <w:r>
        <w:rPr>
          <w:noProof/>
        </w:rPr>
        <w:t>Odbor za SGP tijelo je osnovano sporazumom, konkretno prijelaznim SGP-om između EU-a i Gane.</w:t>
      </w:r>
    </w:p>
    <w:p>
      <w:pPr>
        <w:rPr>
          <w:noProof/>
        </w:rPr>
      </w:pPr>
      <w:r>
        <w:rPr>
          <w:noProof/>
        </w:rPr>
        <w:t xml:space="preserve">Akt koji Odbor za SGP treba donijeti akt je koji proizvodi pravne učinke jer će se njime utvrditi pravno obvezujuća pravila o radu Odbora za SGP. </w:t>
      </w:r>
    </w:p>
    <w:p>
      <w:pPr>
        <w:rPr>
          <w:noProof/>
        </w:rPr>
      </w:pPr>
      <w:r>
        <w:rPr>
          <w:noProof/>
        </w:rPr>
        <w:t>Predviđenim aktom ne dopunjuje se i ne mijenja institucionalni okvir Sporazuma.</w:t>
      </w:r>
    </w:p>
    <w:p>
      <w:pPr>
        <w:rPr>
          <w:noProof/>
        </w:rPr>
      </w:pPr>
      <w:r>
        <w:rPr>
          <w:noProof/>
        </w:rPr>
        <w:t>Stoga je postupovna pravna osnova za predloženu odluku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 xml:space="preserve">Materijalna pravna osnova odluke na temelju članka 218. stavka 9. UFEU-a prije svega ovisi o cilju i sadržaju predviđenog akta o kojem se zauzima stajalište u ime Unije. Ako predviđeni </w:t>
      </w:r>
      <w:r>
        <w:rPr>
          <w:noProof/>
        </w:rPr>
        <w:lastRenderedPageBreak/>
        <w:t>akt ima dva cilja ili dva elementa te ako se može utvrditi da je jedan od tih dvaju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Sporazuma i sadržaj predviđenog akta odnose se na zajedničku trgovinsku politiku.</w:t>
      </w:r>
    </w:p>
    <w:p>
      <w:pPr>
        <w:rPr>
          <w:noProof/>
        </w:rPr>
      </w:pPr>
      <w:r>
        <w:rPr>
          <w:noProof/>
        </w:rPr>
        <w:t>Stoga je materijalna pravna osnova predložene odluke članak 207. stavak 4. prvi podstavak UFEU-a.</w:t>
      </w:r>
    </w:p>
    <w:p>
      <w:pPr>
        <w:pStyle w:val="ManualHeading2"/>
        <w:rPr>
          <w:noProof/>
        </w:rPr>
      </w:pPr>
      <w:r>
        <w:t>4.3.</w:t>
      </w:r>
      <w:r>
        <w:tab/>
      </w:r>
      <w:r>
        <w:rPr>
          <w:noProof/>
        </w:rPr>
        <w:t>Zaključak</w:t>
      </w:r>
    </w:p>
    <w:p>
      <w:pPr>
        <w:rPr>
          <w:noProof/>
        </w:rPr>
      </w:pPr>
      <w:r>
        <w:rPr>
          <w:noProof/>
        </w:rPr>
        <w:t>Pravna osnova predložene odluke trebao bi biti članak 207. stavak 4. prvi podstavak UFEU-a u vezi s člankom 218. stavkom 9. UFEU-a.</w:t>
      </w:r>
    </w:p>
    <w:p>
      <w:pPr>
        <w:pStyle w:val="ManualHeading1"/>
        <w:rPr>
          <w:noProof/>
        </w:rPr>
      </w:pPr>
      <w:r>
        <w:t>5.</w:t>
      </w:r>
      <w:r>
        <w:tab/>
      </w:r>
      <w:r>
        <w:rPr>
          <w:noProof/>
        </w:rPr>
        <w:t>Objava predviđenog akta</w:t>
      </w:r>
    </w:p>
    <w:p>
      <w:pPr>
        <w:rPr>
          <w:noProof/>
          <w:sz w:val="22"/>
        </w:rPr>
      </w:pPr>
      <w:r>
        <w:rPr>
          <w:noProof/>
        </w:rPr>
        <w:t xml:space="preserve">Budući da će se aktom Odbora za SGP utvrditi njegov poslovnik u okviru Sporazuma, nakon donošenja tog akta primjereno ga je objaviti u </w:t>
      </w:r>
      <w:r>
        <w:rPr>
          <w:i/>
          <w:iCs/>
          <w:noProof/>
        </w:rPr>
        <w:t>Službenom listu Europske unije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2020/0045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Odboru za SGP osnovanom na temelju prijelaznog Sporazuma o gospodarskom partnerstvu između Gane, s jedne strane, i Europske zajednice i njezinih država članica, s druge strane, u pogledu donošenja poslovnika Odbora za SGP</w:t>
      </w:r>
    </w:p>
    <w:p>
      <w:pPr>
        <w:pStyle w:val="Institutionquiagit"/>
        <w:rPr>
          <w:noProof/>
        </w:rPr>
      </w:pPr>
      <w:r>
        <w:rPr>
          <w:noProof/>
        </w:rPr>
        <w:t>VIJEĆE EUROPSKE UNIJE,</w:t>
      </w:r>
    </w:p>
    <w:p>
      <w:pPr>
        <w:rPr>
          <w:noProof/>
        </w:rPr>
      </w:pPr>
      <w:r>
        <w:rPr>
          <w:noProof/>
        </w:rPr>
        <w:t>uzimajući u obzir Ugovor o funkcioniranju Europske unije, a posebno njegov članak 207. stavak 4. prvi podstavak,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Europska unija i njezine države članice potpisale su 28. srpnja 2016. prijelazni Sporazum o gospodarskom partnerstvu („SGP”) između Gane, s jedne strane, i Europske zajednice i njezinih država članica, s druge strane („Sporazum”)</w:t>
      </w:r>
      <w:r>
        <w:rPr>
          <w:rStyle w:val="FootnoteReference"/>
          <w:noProof/>
        </w:rPr>
        <w:footnoteReference w:id="2"/>
      </w:r>
      <w:r>
        <w:rPr>
          <w:noProof/>
        </w:rPr>
        <w:t>. Sporazum se privremeno primjenjuje od 15. prosinca 2016.</w:t>
      </w:r>
      <w:r>
        <w:rPr>
          <w:rStyle w:val="FootnoteReference"/>
          <w:noProof/>
        </w:rPr>
        <w:footnoteReference w:id="3"/>
      </w:r>
      <w:r>
        <w:rPr>
          <w:noProof/>
        </w:rPr>
        <w:t xml:space="preserve"> između Europske unije i njezinih država članica, s jedne strane, i Gane, s druge strane.</w:t>
      </w:r>
    </w:p>
    <w:p>
      <w:pPr>
        <w:pStyle w:val="ManualConsidrant"/>
        <w:rPr>
          <w:noProof/>
        </w:rPr>
      </w:pPr>
      <w:r>
        <w:t>(2)</w:t>
      </w:r>
      <w:r>
        <w:tab/>
      </w:r>
      <w:r>
        <w:rPr>
          <w:noProof/>
        </w:rPr>
        <w:t>Na temelju članka 73. stavka 3. Sporazuma, Odbor za SGP odgovoran je za upravljanje svim područjima obuhvaćenima Sporazumom i izvršavanje svih zadataka navedenih u Sporazumu. Na temelju članka 73. stavka 2. Odbor za SGP utvrđuje svoja pravila o ustroju i radu.</w:t>
      </w:r>
    </w:p>
    <w:p>
      <w:pPr>
        <w:pStyle w:val="ManualConsidrant"/>
        <w:rPr>
          <w:noProof/>
        </w:rPr>
      </w:pPr>
      <w:r>
        <w:t>(3)</w:t>
      </w:r>
      <w:r>
        <w:tab/>
      </w:r>
      <w:r>
        <w:rPr>
          <w:noProof/>
        </w:rPr>
        <w:t>Odbor za SGP treba donijeti odluku o svojem poslovniku u prvoj polovini 2020.</w:t>
      </w:r>
    </w:p>
    <w:p>
      <w:pPr>
        <w:pStyle w:val="ManualConsidrant"/>
        <w:rPr>
          <w:noProof/>
        </w:rPr>
      </w:pPr>
      <w:r>
        <w:t>(4)</w:t>
      </w:r>
      <w:r>
        <w:tab/>
      </w:r>
      <w:r>
        <w:rPr>
          <w:noProof/>
        </w:rPr>
        <w:t>Primjereno je utvrditi stajalište koje u ime Unije treba zauzeti u Odboru za SGP jer će se predviđenom odlukom Odbora za SGP utvrditi pravno obvezujuća pravila o radu Odbora za SGP,</w:t>
      </w:r>
    </w:p>
    <w:p>
      <w:pPr>
        <w:pStyle w:val="Formuledadoption"/>
        <w:rPr>
          <w:noProof/>
        </w:rPr>
      </w:pPr>
      <w:r>
        <w:rPr>
          <w:noProof/>
        </w:rPr>
        <w:t>DONIJELO JE OVU ODLUKU:</w:t>
      </w:r>
    </w:p>
    <w:p>
      <w:pPr>
        <w:pStyle w:val="Titrearticle"/>
        <w:rPr>
          <w:noProof/>
        </w:rPr>
      </w:pPr>
      <w:r>
        <w:rPr>
          <w:noProof/>
        </w:rPr>
        <w:t>Članak 1.</w:t>
      </w:r>
    </w:p>
    <w:p>
      <w:pPr>
        <w:rPr>
          <w:noProof/>
        </w:rPr>
      </w:pPr>
      <w:r>
        <w:rPr>
          <w:noProof/>
        </w:rPr>
        <w:t>Stajalište koje treba zauzeti u ime Unije temelji se na odluci Odbora za SGP o donošenju poslovnika Odbora za SGP koja se nalazi u Privitku ovoj Odluci.</w:t>
      </w:r>
    </w:p>
    <w:p>
      <w:pPr>
        <w:pStyle w:val="Titrearticle"/>
        <w:rPr>
          <w:noProof/>
        </w:rPr>
      </w:pPr>
      <w:r>
        <w:rPr>
          <w:noProof/>
        </w:rPr>
        <w:lastRenderedPageBreak/>
        <w:t>Članak 2.</w:t>
      </w:r>
    </w:p>
    <w:p>
      <w:pPr>
        <w:keepNext/>
        <w:keepLines/>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CO"/>
        </w:rPr>
      </w:pPr>
      <w:r>
        <w:rPr>
          <w:rStyle w:val="FootnoteReference"/>
        </w:rPr>
        <w:footnoteRef/>
      </w:r>
      <w:r>
        <w:rPr>
          <w:lang w:val="es-CO"/>
        </w:rPr>
        <w:tab/>
        <w:t xml:space="preserve">Presuda Suda od 7. listopada 2014., Njemačka protiv Vijeća, C-399/12, ECLI:EU:C:2014:2258, točke od 61. do 64. </w:t>
      </w:r>
    </w:p>
  </w:footnote>
  <w:footnote w:id="2">
    <w:p>
      <w:pPr>
        <w:pStyle w:val="FootnoteText"/>
        <w:rPr>
          <w:lang w:val="es-CO"/>
        </w:rPr>
      </w:pPr>
      <w:r>
        <w:rPr>
          <w:rStyle w:val="FootnoteReference"/>
        </w:rPr>
        <w:footnoteRef/>
      </w:r>
      <w:r>
        <w:rPr>
          <w:lang w:val="es-CO"/>
        </w:rPr>
        <w:tab/>
        <w:t xml:space="preserve">Prijelazni Sporazum o gospodarskom partnerstvu između Gane, s jedne strane, i Europske zajednice i njezinih država članica, s druge strane (SL L 287, 21.10.2016., str. 1). </w:t>
      </w:r>
    </w:p>
  </w:footnote>
  <w:footnote w:id="3">
    <w:p>
      <w:pPr>
        <w:pStyle w:val="FootnoteText"/>
        <w:rPr>
          <w:lang w:val="es-CO"/>
        </w:rPr>
      </w:pPr>
      <w:r>
        <w:rPr>
          <w:rStyle w:val="FootnoteReference"/>
        </w:rPr>
        <w:footnoteRef/>
      </w:r>
      <w:r>
        <w:rPr>
          <w:lang w:val="es-CO"/>
        </w:rPr>
        <w:tab/>
        <w:t>Odluka Vijeća (EU) 2016/1850 od 21. studenoga 2008. o potpisivanju i privremenoj primjeni prijelaznog Sporazuma o gospodarskom partnerstvu između Gane, s jedne strane, i Europske zajednice i njezinih država članica, s druge strane.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DE16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069C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805C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82E8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BCFB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646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70D3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B3C5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23: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9C1EF98-FDDD-47FB-BFBD-1928635B279A"/>
    <w:docVar w:name="LW_COVERPAGE_TYPE" w:val="1"/>
    <w:docVar w:name="LW_CROSSREFERENCE" w:val="&lt;UNUSED&gt;"/>
    <w:docVar w:name="LW_DocType" w:val="COM"/>
    <w:docVar w:name="LW_EMISSION" w:val="26.3.2020."/>
    <w:docVar w:name="LW_EMISSION_ISODATE" w:val="2020-03-26"/>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45"/>
    <w:docVar w:name="LW_REF.II.NEW.CP_YEAR" w:val="2020"/>
    <w:docVar w:name="LW_REF.INST.NEW" w:val="COM"/>
    <w:docVar w:name="LW_REF.INST.NEW_ADOPTED" w:val="final"/>
    <w:docVar w:name="LW_REF.INST.NEW_TEXT" w:val="(2020)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u ime Europske unije treba zauzeti u Odboru za SGP osnovanom na temelju prijelaznog Sporazuma o gospodarskom partnerstvu izme\u273?u Gane, s jedne strane, i Europske zajednice i njezinih dr\u382?ava \u269?lanica, s druge strane, u pogledu dono\u353?enja poslovnika Odbora za SGP"/>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389B-439E-4EBF-BBF3-BD44EA63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1147</Words>
  <Characters>6378</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2020-02-28T13:03:00Z</dcterms:created>
  <dcterms:modified xsi:type="dcterms:W3CDTF">2020-03-17T09:23:00Z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