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79009CD-EEC5-495F-8426-17B4B40BC34F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tárgya</w:t>
      </w:r>
    </w:p>
    <w:p>
      <w:pPr>
        <w:pStyle w:val="Text1"/>
        <w:rPr>
          <w:noProof/>
        </w:rPr>
      </w:pPr>
      <w:r>
        <w:rPr>
          <w:noProof/>
        </w:rPr>
        <w:t>E javaslat tárgya az Unió által a kikötő szerinti állam hatósága által végzett ellenőrzésekről szóló Párizsi Memorandum kikötő szerint illetékes állam általi ellenőrzéssel foglalkozó bizottságában a kikötő szerinti állam hatósága által végzett ellenőrzések 2009/16/EK irányelvben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meghatározottak szerinti uniós rendszerének megfelelő működéséhez szükséges határozatok tervezett elfogadásával kapcsolatban képviselendő álláspont meghatározásáról szóló határozat.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 javaslat háttere</w:t>
      </w:r>
    </w:p>
    <w:p>
      <w:pPr>
        <w:pStyle w:val="Text1"/>
        <w:rPr>
          <w:noProof/>
        </w:rPr>
      </w:pPr>
      <w:r>
        <w:rPr>
          <w:b/>
          <w:bCs/>
          <w:noProof/>
          <w:sz w:val="23"/>
          <w:szCs w:val="23"/>
        </w:rPr>
        <w:t>2.1. A kikötő szerinti állam hatósága által végzett ellenőrzésekről szóló Párizsi Memorandum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t xml:space="preserve">A Párizsi Memorandum rendelkezik egy, a más nemzeti kikötőkben tartózkodó külföldi hajóknak a kikötő szerinti állam ellenőrzési tisztviselői általi ellenőrzésére szolgáló rendszerről annak ellenőrzése céljából, hogy a parancsnok, a tisztek és a fedélzeten tartózkodó személyzet alkalmassága, valamint a hajónak és a felszerelésének az állapota megfelel-e a nemzetközi egyezmények követelményeinek, valamint hogy a hajó személyzete és üzemeltetése összhangban van-e az alkalmazandó nemzetközi jogban előírtakkal. A Párizsi Memorandumot 1982. január 26-án írták alá. 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t>A (módosított) 2009/16/EK irányelv a Párizsi Memorandum eljárásait és eszközeit foglalja magába. A Párizsi Memorandumnak részes fele valamennyi tengeri kikötővel rendelkező uniós tagállam</w:t>
      </w:r>
      <w:r>
        <w:rPr>
          <w:rStyle w:val="FootnoteReference"/>
          <w:noProof/>
        </w:rPr>
        <w:footnoteReference w:id="2"/>
      </w:r>
      <w:r>
        <w:rPr>
          <w:noProof/>
        </w:rPr>
        <w:t>, valamint Kanada, Oroszország, Izland és Norvégia is. Az Európai Unió nem részes fele a Memorandumnak.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b/>
          <w:bCs/>
          <w:noProof/>
          <w:sz w:val="23"/>
          <w:szCs w:val="23"/>
        </w:rPr>
        <w:t>2.2. A Párizsi Memorandum kikötő szerint illetékes állam általi ellenőrzéssel foglalkozó bizottságának tervezett jogi aktusa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t>Ahhoz, hogy a kikötő szerinti állam hatósága által végzett ellenőrzések az Unióban megfelelően működjenek, minden évben el kell fogadni bizonyos határozatokat a Párizsi Memorandum összefüggésében. Ezeket a határozatokat konszenzus alapján fogadják el a kikötő szerint illetékes állam általi ellenőrzéssel foglalkozó bizottság minden év májusában tartott éves ülésén. A 2009/16/EK irányelv alapján a Párizsi Memorandum megfelelő illetékes szerve által elfogadott határozatok kötelezővé válnak az EU tagállamaira nézve.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b/>
          <w:bCs/>
          <w:noProof/>
          <w:sz w:val="23"/>
          <w:szCs w:val="23"/>
        </w:rPr>
        <w:t>3. A</w:t>
      </w:r>
      <w:r>
        <w:rPr>
          <w:b/>
          <w:bCs/>
          <w:noProof/>
          <w:sz w:val="19"/>
          <w:szCs w:val="19"/>
        </w:rPr>
        <w:t>Z UNIÓ ÁLTAL KÉPVISELENDŐ ÁLLÁSPONT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lastRenderedPageBreak/>
        <w:t>Az Európai Unió működéséről szóló szerződés 218. cikkének (9) bekezdése értelmében az Unió által a Párizsi Memorandumhoz hasonló nemzetközi szervezetekben képviselendő álláspontot, amennyiben az ilyen szervezetnek joghatással bíró jogi aktust kell elfogadnia, a Bizottság javaslata alapján meghozott tanácsi határozattal kell elfogadni.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t>2016-ban az (EU) 2016/381 tanácsi határozat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meghatározta az Európai Unió által a kikötő szerint illetékes állam általi ellenőrzéssel foglalkozó bizottságban a 2016–2019 közötti időszakra vonatkozóan képviselendő álláspontot. E tanácsi határozat kétlépcsős megközelítés alapján jött létre. Maga a határozat az uniós álláspont alapelveit és irányvonalait határozta meg több évre vonatkozóan. Ezt az álláspontot a kikötő szerint illetékes állam általi ellenőrzéssel foglalkozó bizottság egyes éves üléseire informális bizottsági dokumentumok révén aktualizálták, amelyeket a Tanács tengeri szállítási munkacsoportjában vitattak meg. E javaslat célja a kikötő szerint illetékes állam általi ellenőrzéssel foglalkozó bizottságban képviselendő uniós álláspont 2020–2024-es időszakra való meghatározása. </w:t>
      </w:r>
    </w:p>
    <w:p>
      <w:pPr>
        <w:spacing w:before="100" w:beforeAutospacing="1" w:after="100" w:afterAutospacing="1"/>
        <w:rPr>
          <w:rFonts w:eastAsia="Times New Roman"/>
          <w:noProof/>
        </w:rPr>
      </w:pPr>
      <w:r>
        <w:rPr>
          <w:noProof/>
        </w:rPr>
        <w:t xml:space="preserve">Az e javaslatban foglalt megközelítést a Bizottság a Párizsi Memorandum döntéshozatali eljárásának sajátosságai miatt javasolja. A Párizsi Memorandum belső szabályai szerint a tagoknak és az iránymutatások és utasítások fejlesztésével megbízott munkacsoportoknak legkésőbb hat héttel a kikötő szerint illetékes állam általi ellenőrzéssel foglalkozó bizottság ülése előtt be kell nyújtaniuk minden dokumentumot. Csak ekkor áll rendelkezésre valamennyi benyújtott irat, és a Bizottság csak ekkor kezdheti meg az elemzést annak érdekében, hogy az EUMSZ 218. cikkének (9) bekezdése szerint elkészítse az összehangolt uniós álláspontra vonatkozó javaslatot, amelyet azután a Tanácsnak el kell fogadnia. Mivel az elemzésre, a bizottsági javaslat elkészítésére és a javaslat Tanács általi elfogadására csak rövid idő áll rendelkezésre, a 2. melléklet meghatározza az Unió álláspontjának évről évre történő meghatározására vonatkozó eljárást.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Jogalap</w:t>
      </w:r>
    </w:p>
    <w:p>
      <w:pPr>
        <w:rPr>
          <w:noProof/>
        </w:rPr>
      </w:pPr>
      <w:r>
        <w:rPr>
          <w:noProof/>
        </w:rPr>
        <w:t xml:space="preserve">4.1. Eljárási jogalap </w:t>
      </w:r>
    </w:p>
    <w:p>
      <w:pPr>
        <w:rPr>
          <w:noProof/>
        </w:rPr>
      </w:pPr>
      <w:r>
        <w:rPr>
          <w:noProof/>
        </w:rPr>
        <w:t xml:space="preserve">4.1.1. Általános elvek </w:t>
      </w:r>
    </w:p>
    <w:p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t xml:space="preserve">Az Európai Unió működéséről szóló szerződés (a továbbiakban: EUMSZ) 218. cikkének (9) bekezdése határozatok elfogadásáról rendelkezik </w:t>
      </w:r>
      <w:r>
        <w:rPr>
          <w:i/>
          <w:iCs/>
          <w:noProof/>
        </w:rPr>
        <w:t>„a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aktusokat”</w:t>
      </w:r>
      <w:r>
        <w:rPr>
          <w:noProof/>
        </w:rPr>
        <w:t xml:space="preserve">. </w:t>
      </w:r>
    </w:p>
    <w:p>
      <w:pPr>
        <w:spacing w:before="100" w:beforeAutospacing="1" w:after="100" w:afterAutospacing="1"/>
        <w:rPr>
          <w:noProof/>
          <w:sz w:val="23"/>
          <w:szCs w:val="23"/>
        </w:rPr>
      </w:pPr>
      <w:r>
        <w:rPr>
          <w:noProof/>
        </w:rPr>
        <w:t>Az EUMSZ 218. cikkének (9) bekezdése attól függetlenül alkalmazandó, hogy az Unió tagja-e a szervnek vagy részes fele-e a megállapodásnak</w:t>
      </w:r>
      <w:r>
        <w:rPr>
          <w:rStyle w:val="FootnoteReference"/>
          <w:noProof/>
          <w:szCs w:val="23"/>
        </w:rPr>
        <w:footnoteReference w:id="4"/>
      </w:r>
      <w:r>
        <w:rPr>
          <w:noProof/>
        </w:rPr>
        <w:t>.</w:t>
      </w:r>
      <w:r>
        <w:rPr>
          <w:noProof/>
          <w:sz w:val="23"/>
          <w:szCs w:val="23"/>
        </w:rPr>
        <w:t xml:space="preserve"> </w:t>
      </w:r>
    </w:p>
    <w:p>
      <w:pPr>
        <w:spacing w:before="100" w:beforeAutospacing="1" w:after="100" w:afterAutospacing="1"/>
        <w:rPr>
          <w:noProof/>
          <w:sz w:val="23"/>
          <w:szCs w:val="23"/>
        </w:rPr>
      </w:pPr>
      <w:r>
        <w:rPr>
          <w:noProof/>
        </w:rPr>
        <w:t xml:space="preserve">A </w:t>
      </w:r>
      <w:r>
        <w:rPr>
          <w:i/>
          <w:iCs/>
          <w:noProof/>
        </w:rPr>
        <w:t>„joghatással bíró jogi aktus”</w:t>
      </w:r>
      <w:r>
        <w:rPr>
          <w:noProof/>
        </w:rPr>
        <w:t xml:space="preserve"> fogalmába beletartoznak a nemzetközi jognak a kérdéses szervet szabályozó szabályai szerint joghatással bíró jogi aktusok. Ezenfelül a fogalom magában foglalja azokat az eszközöket is, melyek a nemzetközi jog szerint nem bírnak </w:t>
      </w:r>
      <w:r>
        <w:rPr>
          <w:noProof/>
        </w:rPr>
        <w:lastRenderedPageBreak/>
        <w:t xml:space="preserve">kötelező erővel, de </w:t>
      </w:r>
      <w:r>
        <w:rPr>
          <w:i/>
          <w:iCs/>
          <w:noProof/>
        </w:rPr>
        <w:t>„meghatározó módon befolyásolják az uniós jogalkotó által [...] elfogadott szabályozás tartalmát”</w:t>
      </w:r>
      <w:r>
        <w:rPr>
          <w:rStyle w:val="FootnoteReference"/>
          <w:noProof/>
          <w:szCs w:val="23"/>
        </w:rPr>
        <w:footnoteReference w:id="5"/>
      </w:r>
      <w:r>
        <w:rPr>
          <w:noProof/>
        </w:rPr>
        <w:t>.</w:t>
      </w:r>
      <w:r>
        <w:rPr>
          <w:noProof/>
          <w:sz w:val="23"/>
          <w:szCs w:val="23"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4.1.2. A jelen esetre történő alkalmazás </w:t>
      </w:r>
    </w:p>
    <w:p>
      <w:pPr>
        <w:spacing w:before="100" w:beforeAutospacing="1" w:after="100" w:afterAutospacing="1"/>
        <w:rPr>
          <w:rFonts w:eastAsia="Times New Roman"/>
          <w:noProof/>
          <w:szCs w:val="24"/>
        </w:rPr>
      </w:pPr>
      <w:r>
        <w:rPr>
          <w:noProof/>
        </w:rPr>
        <w:t>A Párizsi Memorandumot megállapodás hozta létre.</w:t>
      </w:r>
    </w:p>
    <w:p>
      <w:pPr>
        <w:rPr>
          <w:noProof/>
        </w:rPr>
      </w:pPr>
      <w:r>
        <w:rPr>
          <w:noProof/>
        </w:rPr>
        <w:t xml:space="preserve">A Párizsi Memorandum által elfogadandó jogi aktus joghatással bíró jogi aktus. A tervezett jogi aktus meghatározó módon befolyásolja az uniós szabályozás, nevezetesen a kikötő szerint illetékes állam általi ellenőrzésről szóló 2009/16/EK irányelv tartalmát, mivel a Párizsi Memorandum kikötő szerint illetékes állam általi ellenőrzéssel foglalkozó bizottsága számos olyan határozatot fogad el, amelyet az irányelv megfelelő működése érdekében minden évben meg kell hozni. </w:t>
      </w:r>
    </w:p>
    <w:p>
      <w:pPr>
        <w:rPr>
          <w:noProof/>
        </w:rPr>
      </w:pPr>
      <w:r>
        <w:rPr>
          <w:noProof/>
        </w:rPr>
        <w:t>A tervezett jogi aktus nem egészíti ki és nem módosítja a megállapodás intézményi keretét. Ezért a javasolt határozat eljárási jogalapja az EUMSZ 218. cikkének (9) bekezdése.</w:t>
      </w:r>
    </w:p>
    <w:p>
      <w:pPr>
        <w:rPr>
          <w:noProof/>
        </w:rPr>
      </w:pPr>
      <w:r>
        <w:rPr>
          <w:noProof/>
        </w:rPr>
        <w:t xml:space="preserve">4.2. Anyagi jogalap </w:t>
      </w:r>
    </w:p>
    <w:p>
      <w:pPr>
        <w:rPr>
          <w:noProof/>
        </w:rPr>
      </w:pPr>
      <w:r>
        <w:rPr>
          <w:noProof/>
        </w:rPr>
        <w:t xml:space="preserve">4.2.1. Általános elvek </w:t>
      </w:r>
    </w:p>
    <w:p>
      <w:pPr>
        <w:rPr>
          <w:noProof/>
        </w:rPr>
      </w:pPr>
      <w:r>
        <w:rPr>
          <w:noProof/>
        </w:rPr>
        <w:t xml:space="preserve">Az EUMSZ 218. cikkének (9) 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jogalapra, azaz az elsődleges, illetve döntő jellegű célkitűzés vagy összetevő által megkövetelt jogalapra kell alapítani. </w:t>
      </w:r>
    </w:p>
    <w:p>
      <w:pPr>
        <w:rPr>
          <w:noProof/>
        </w:rPr>
      </w:pPr>
      <w:r>
        <w:rPr>
          <w:noProof/>
        </w:rPr>
        <w:t xml:space="preserve">4.2.2. A jelen esetre történő alkalmazás </w:t>
      </w:r>
    </w:p>
    <w:p>
      <w:pPr>
        <w:rPr>
          <w:noProof/>
        </w:rPr>
      </w:pPr>
      <w:r>
        <w:rPr>
          <w:noProof/>
        </w:rPr>
        <w:t xml:space="preserve">A tervezett jogi aktus elsődleges célkitűzése és tartalma a szállítással kapcsolatos. Ezért a javasolt határozat anyagi jogalapja a 100. cikk (2) bekezdése. </w:t>
      </w:r>
    </w:p>
    <w:p>
      <w:pPr>
        <w:rPr>
          <w:noProof/>
        </w:rPr>
      </w:pPr>
      <w:r>
        <w:rPr>
          <w:noProof/>
        </w:rPr>
        <w:t xml:space="preserve">4.3. Következtetés </w:t>
      </w:r>
    </w:p>
    <w:p>
      <w:pPr>
        <w:rPr>
          <w:noProof/>
        </w:rPr>
      </w:pPr>
      <w:r>
        <w:rPr>
          <w:noProof/>
        </w:rPr>
        <w:t xml:space="preserve">A javasolt határozat jogalapja ezért az EUMSZ 100. cikkének (2) bekezdése, összefüggésben 218. cikkének (9) bekezdésével. 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2020/0046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 kikötő szerinti állam hatósága által végzett ellenőrzésekről szóló Párizsi Memorandum kikötő szerint illetékes állam általi ellenőrzéssel foglalkozó bizottságában képviselendő álláspontról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100. cikke (2) bekezdésére, összefüggésben 218. cikke (9)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kikötő szerinti állam hatósága által végzett ellenőrzésekről szóló memorandumot (a továbbiakban: Párizsi Memorandum) 1982. január 26-án írták alá Párizsban, és 1982. július 1-jén hatályba lépett. A Párizsi Memorandum 8.1. szakasza szerint a Memorandum módosítását bármely tengeri hatóság javasolhatja. A Párizsi Memorandum 7.1. szakasza értelmében továbbá a kikötő szerint illetékes állam általi ellenőrzéssel foglalkozó bizottság az egyes tengeri hatóságok és a Bizottság egy-egy képviselőjéből áll, és a 7.3. szakaszban meghatározott hatáskörökkel rendelkezik. Tekintettel arra, hogy a Párizsi Memorandum illetékes szerve által hozott határozatok az Unió jogi keretét, nevezetesen a 2009/16/EK európai parlamenti és tanácsi irányelvet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is érintik, helyénvaló meghatározni az Európai Unió által a kikötő szerint illetékes állam általi ellenőrzéssel foglalkozó bizottságban képviselendő álláspontot.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2009/16/EK irányelv meghatározza a kikötő szerint illetékes állam általi ellenőrzés uniós jogi rendszerét, valamint átfogalmazza és megerősíti az e téren 1995 óta érvényben lévő korábbi uniós szabályozást. A szóban forgó uniós jogi rendszer a kikötő szerinti állam hatósága által végzett ellenőrzésekről szóló Párizsi Memorandum, egy 1982-ben létrehozott nemzetközi szervezet már meglévő rendszerére épül. A tagállamokat illetően a 2009/16/EK irányelv az uniós jog hatálya alá vonja a Párizsi Memorandum eljárásait, eszközeit és munkáját.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 Párizsi Memorandum kikötő szerint illetékes állam általi ellenőrzéssel foglalkozó bizottsága minden évben összeül, és ülésein dönt több olyan napirendi pontról, amely a 2009/16/EK irányelv működéséhez szükséges.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A Párizsi Memorandum belső szabályai szerint a tagoknak és az iránymutatások és utasítások fejlesztésével megbízott munkacsoportoknak legkésőbb hat héttel a kikötő szerint illetékes állam általi ellenőrzéssel foglalkozó bizottság ülése előtt be kell nyújtaniuk minden dokumentumot. Csak ekkor áll rendelkezésre valamennyi benyújtott irat, és a Bizottság csak ekkor kezdheti meg az elemzést annak érdekében, hogy az EUMSZ 218. cikkének (9) bekezdése szerint elkészítse az összehangolt uniós álláspontra vonatkozó javaslatot. Mivel az elemzésre és a javaslat elfogadására csak </w:t>
      </w:r>
      <w:r>
        <w:rPr>
          <w:noProof/>
        </w:rPr>
        <w:lastRenderedPageBreak/>
        <w:t xml:space="preserve">rövid idő áll rendelkezésre, több évre szólóan rögzíteni szükséges az uniós álláspont alapelveit és irányvonalait, valamint az Unió álláspontjának évről évre történő meghatározására vonatkozó keretet.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Ez a határozat a 2020–2024 közötti időszakra vonatkozik.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Az Unió álláspontját az Unió azon tagállamai képviselik együttesen eljárva, amelyek tengeri hatóságai tagjai a Párizsi Memorandum kikötő szerint illetékes állam általi ellenőrzéssel foglalkozó bizottságának,</w:t>
      </w:r>
    </w:p>
    <w:p>
      <w:pPr>
        <w:pStyle w:val="Formuledadoption"/>
        <w:rPr>
          <w:noProof/>
        </w:rPr>
      </w:pPr>
      <w:r>
        <w:rPr>
          <w:noProof/>
        </w:rPr>
        <w:t xml:space="preserve">ELFOGADTA EZT A HATÁROZATOT: 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widowControl w:val="0"/>
        <w:spacing w:before="0" w:after="0"/>
        <w:rPr>
          <w:rFonts w:eastAsia="Times New Roman"/>
          <w:noProof/>
        </w:rPr>
      </w:pPr>
      <w:r>
        <w:rPr>
          <w:noProof/>
        </w:rPr>
        <w:t>A kikötő szerinti állam hatósága által végzett ellenőrzésekről szóló Párizsi Memorandum kikötő szerint illetékes állam általi ellenőrzéssel foglalkozó bizottságának éves ülésénz az Unió által képviselendő álláspontot e határozat I. melléklete tartalmazza.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 xml:space="preserve">2. cikk </w:t>
      </w:r>
    </w:p>
    <w:p>
      <w:pPr>
        <w:widowControl w:val="0"/>
        <w:spacing w:before="0" w:after="0"/>
        <w:rPr>
          <w:rFonts w:eastAsia="Times New Roman"/>
          <w:noProof/>
        </w:rPr>
      </w:pPr>
      <w:r>
        <w:rPr>
          <w:noProof/>
        </w:rPr>
        <w:t>A Párizsi Memorandum kikötő szerint illetékes állam általi ellenőrzéssel foglalkozó bizottságának éves ülésein az Unió által képviselendő álláspont évről évre történő meghatározására vonatkozó keretet e határozat II. melléklete határozza meg.</w:t>
      </w:r>
    </w:p>
    <w:p>
      <w:pPr>
        <w:pStyle w:val="Titrearticle"/>
        <w:rPr>
          <w:noProof/>
        </w:rPr>
      </w:pPr>
      <w:r>
        <w:rPr>
          <w:noProof/>
        </w:rPr>
        <w:t>3. cikk</w:t>
      </w:r>
    </w:p>
    <w:p>
      <w:pPr>
        <w:widowControl w:val="0"/>
        <w:spacing w:before="0" w:after="0"/>
        <w:rPr>
          <w:rFonts w:eastAsia="Times New Roman"/>
          <w:noProof/>
        </w:rPr>
      </w:pPr>
      <w:r>
        <w:rPr>
          <w:noProof/>
        </w:rPr>
        <w:t>Az 1. cikkben említett álláspontot a Tanács legkésőbb a Párizsi Memorandum kikötő szerint illetékes állam általi ellenőrzéssel foglalkozó bizottságának 2024-es éves üléséig értékeli és – adott esetben – a Bizottság javaslata alapján felülvizsgálja.</w:t>
      </w:r>
    </w:p>
    <w:p>
      <w:pPr>
        <w:pStyle w:val="Titrearticle"/>
        <w:rPr>
          <w:noProof/>
        </w:rPr>
      </w:pPr>
      <w:r>
        <w:rPr>
          <w:noProof/>
        </w:rPr>
        <w:t>4. cikk</w:t>
      </w:r>
    </w:p>
    <w:p>
      <w:pPr>
        <w:rPr>
          <w:noProof/>
        </w:rPr>
      </w:pPr>
      <w:r>
        <w:rPr>
          <w:noProof/>
        </w:rPr>
        <w:t>Az 1. cikkben említett álláspontot az Unió azon tagállamai képviselik együttesen eljárva, amelyek tagjai a Párizsi Memorandum kikötő szerint illetékes állam általi ellenőrzéssel foglalkozó bizottságának.</w:t>
      </w:r>
    </w:p>
    <w:p>
      <w:pPr>
        <w:pStyle w:val="Titrearticle"/>
        <w:rPr>
          <w:noProof/>
        </w:rPr>
      </w:pPr>
      <w:r>
        <w:rPr>
          <w:noProof/>
        </w:rPr>
        <w:t xml:space="preserve">5. cikk </w:t>
      </w:r>
    </w:p>
    <w:p>
      <w:pPr>
        <w:rPr>
          <w:noProof/>
        </w:rPr>
      </w:pPr>
      <w:r>
        <w:rPr>
          <w:noProof/>
        </w:rPr>
        <w:t>Ennek a határozatnak a tagállamok a címzettjei.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rFonts w:eastAsia="Calibri"/>
          <w:noProof/>
        </w:rPr>
      </w:pPr>
      <w:r>
        <w:rPr>
          <w:noProof/>
        </w:rPr>
        <w:tab/>
        <w:t>az elnök</w:t>
      </w:r>
      <w:r>
        <w:rPr>
          <w:noProof/>
        </w:rPr>
        <w:tab/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2009/16/EK irányelve (2009. április 23.) a kikötő szerint illetékes állam általi ellenőrzésről (HL L 131., 2009.5.28., 57. o.).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Belgium, Dánia, az Egyesült Királyság, Finnország, Franciaország, Görögország, Hollandia, Írország, Németország, Olaszország, Portugália és Spanyolország 1982. január 26-án csatlakozott a Memorandumhoz. Bulgária 2007. május 10-én csatlakozott a Memorandumhoz. Horvátország 1996. november 8-án csatlakozott a Memorandumhoz. Ciprus 2006. május 12-én csatlakozott a Memorandumhoz. Észtország és Lettország 2005. május 12-én csatlakozott a Memorandumhoz. Litvánia 2006. május 12-én csatlakozott a Memorandumhoz. Málta 2006. május 12-én csatlakozott a Memorandumhoz. Lengyelország 1991. november 27-én csatlakozott a Memorandumhoz. Románia 2007. május 10-én csatlakozott a Memorandumhoz. Szlovénia 2003. május 15-én csatlakozott a Memorandumhoz.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Tanács (EU) 2016/381 határozata (2016. március 14.) a kikötő szerinti állam hatósága által végzett ellenőrzésekről szóló Párizsi Memorandum kikötő szerint illetékes állam általi ellenőrzéssel foglalkozó bizottságában az Európai Unió nevében képviselendő álláspontról (HL L 72., 2016.3.17., 53. o.).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Bíróság 2014. október 7-i ítélete, Németország kontra Tanács, C-399/12, ECLI:EU:C:2014:2258, 64. pont.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 Bíróság 2014. október 7-i ítélete, Németország kontra Tanács, C-399/12, ECLI:EU:C:2014:2258, 61–64. pont.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2009/16/EK irányelve (2009. április 23.) a kikötő szerint illetékes állam általi ellenőrzésről (HL L 131., 2009.5.28., 57. o.).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6ECB0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AE4CE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98C4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56C7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E3A2B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62C22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9FA3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DC8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31 10:30:0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79009CD-EEC5-495F-8426-17B4B40BC34F"/>
    <w:docVar w:name="LW_COVERPAGE_TYPE" w:val="1"/>
    <w:docVar w:name="LW_CROSSREFERENCE" w:val="&lt;UNUSED&gt;"/>
    <w:docVar w:name="LW_DocType" w:val="COM"/>
    <w:docVar w:name="LW_EMISSION" w:val="2020.3.31."/>
    <w:docVar w:name="LW_EMISSION_ISODATE" w:val="2020-03-31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46"/>
    <w:docVar w:name="LW_REF.II.NEW.CP_YEAR" w:val="2020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 kiköt\u337? szerinti állam hatósága által végzett ellen\u337?rzésekr\u337?l szóló Párizsi Memorandum kiköt\u337? szerint illetékes állam általi ellen\u337?rzéssel foglalkozó bizottságába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9E3E-AC9D-4DDF-90E1-DAC789DF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1450</Words>
  <Characters>9837</Characters>
  <Application>Microsoft Office Word</Application>
  <DocSecurity>0</DocSecurity>
  <Lines>166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cp:lastPrinted>2020-02-20T14:22:00Z</cp:lastPrinted>
  <dcterms:created xsi:type="dcterms:W3CDTF">2020-03-24T10:15:00Z</dcterms:created>
  <dcterms:modified xsi:type="dcterms:W3CDTF">2020-03-31T08:30:00Z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SJ-019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