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427037A-D0A1-4180-824D-78B1E1E1DF53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 I</w:t>
      </w:r>
    </w:p>
    <w:p>
      <w:pPr>
        <w:pStyle w:val="NormalCentered"/>
        <w:rPr>
          <w:noProof/>
        </w:rPr>
      </w:pPr>
      <w:r>
        <w:rPr>
          <w:noProof/>
        </w:rPr>
        <w:t>Den holdning, der skal indtages på Den Europæiske Unions vegne i Komitéen for Havnestatskontrol under Parisaftalememorandummet om havnestatskontrol</w:t>
      </w:r>
    </w:p>
    <w:p>
      <w:pPr>
        <w:keepNext/>
        <w:spacing w:before="360"/>
        <w:outlineLvl w:val="0"/>
        <w:rPr>
          <w:b/>
          <w:smallCaps/>
          <w:noProof/>
        </w:rPr>
      </w:pPr>
      <w:r>
        <w:rPr>
          <w:b/>
          <w:smallCaps/>
          <w:noProof/>
        </w:rPr>
        <w:t>Overordnede principper</w:t>
      </w:r>
    </w:p>
    <w:p>
      <w:pPr>
        <w:rPr>
          <w:noProof/>
        </w:rPr>
      </w:pPr>
      <w:r>
        <w:rPr>
          <w:noProof/>
        </w:rPr>
        <w:t xml:space="preserve">Inden for rammerne af Parisaftalememorandummet om havnestatskontrol (Paris MOU) skal Unionen: 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handle i overensstemmelse med de mål, som Unionen forfølger, bl.a. at forbedre søfartssikkerhed, forureningsforebyggelse og leve- og arbejdsvilkår om bord, ved kraftigt at reducere antallet af skibe, der ikke lever op til standarderne, gennem streng håndhævelse af internationale konventioner og kodekser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fremme gennemførelsen af en harmoniseret tilgang blandt parterne i Parisaftalememorandummet til effektiv håndhævelse af disse internationale standarder over for skibe, der besejler farvande under deres jurisdiktion og anløber deres havne 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samarbejde inden for Parisaftalememorandummet om at nå frem til en omfattende inspektionsordning og deling af inspektionsbyrden på en retfærdig måde, navnlig gennem vedtagelse af den årlige inspektionsforpligtelse, der er fastlagt i overensstemmelse med den aftalte metode, jf. bilag 11 til Parisaftalememorandummet 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arbejde inden for Parisaftalememorandummet for at fremme ansættelse, fastholdelse og uddannelse af det fornødne personale hos parterne i Parisaftalememorandummet, herunder kvalificerede skibsinspektører, idet der tages hensyn til skibstrafikkens omfang og karakteristika i hver havn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sikre, at foranstaltninger, som vedtages inden for rammerne af Parisaftalememorandummet, er i overensstemmelse med folkeretten, og navnlig med internationale konventioner og kodekser vedrørende søfartssikkerhed, forureningsforebyggelse og leve- og arbejdsvilkår om bord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fremme udviklingen af fælles tilgange med andre organer, der udfører havnestatskontrol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sikre sammenhæng med Unionens øvrige politikker, navnlig vedrørende eksterne forbindelser, sikkerhed og miljø.</w:t>
      </w:r>
    </w:p>
    <w:p>
      <w:pPr>
        <w:keepNext/>
        <w:spacing w:before="360"/>
        <w:outlineLvl w:val="0"/>
        <w:rPr>
          <w:b/>
          <w:smallCaps/>
          <w:noProof/>
        </w:rPr>
      </w:pPr>
      <w:r>
        <w:rPr>
          <w:b/>
          <w:smallCaps/>
          <w:noProof/>
        </w:rPr>
        <w:t>Retningslinjer</w:t>
      </w:r>
    </w:p>
    <w:p>
      <w:pPr>
        <w:rPr>
          <w:noProof/>
        </w:rPr>
      </w:pPr>
      <w:r>
        <w:rPr>
          <w:noProof/>
        </w:rPr>
        <w:t>For at sikre, at Unionens ordning for havnestatskontrol fungerer gnidningsløst fra år til år i overensstemmelse med direktiv 2009/16/EF, skal Unionen bestræbe sig på at støtte vedtagelsen af følgende tiltag inden for Parisaftalememorandummet: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Følgende elementer af skibets risikoprofil skal anvendes til at målrette fartøjsinspektionen: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den hvide, grå og sorte liste over flagstater i overensstemmelse med den formel, der er udviklet af Parisaftalememorandummet og anført i bilaget til Kommissionens forordning (EU) nr. 801/2010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listen over anerkendte organisationers præstationer efter den metode, som Komitéen for Havnestatskontrol vedtog på det 37. møde i Komitéen for Havnestatskontrol i maj 2004 (dagsordenens punkt 4.5.2)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den gennemsnitlige fejl- og tilbageholdelsesprocent med henblik på formlen til fastlæggelse af rederiets præstationer på grundlag af bilaget til Kommissionens forordning (EU) nr. 802/2010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Det sikres, at eventuelle ændringer eller ajourføringer af procedurerne og retningslinjerne for Parisaftalememorandummet er i overensstemmelse med de mål, som Unionen forfølger, navnlig at forbedre søfartssikkerhed, forureningsforebyggelse og leve- og arbejdsvilkår om bord.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Kommissionens forordning (EU) nr. 801/2010 af 13. september 2010 om gennemførelse af artikel 10, stk. 3, i Europa-Parlamentets og Rådets direktiv 2009/16/EF for så vidt angår flagstatskriterierne (EUT L 241 af 14.9.2010, s.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Kommissionens forordning (EU) nr. 802/2010 af 13. september 2010 om gennemførelse af artikel 10, stk. 3, og artikel 27 i Europa-Parlamentets og Rådets direktiv 2009/16/EF for så vidt angår rederiets præstationer (EUT L 241 af 14.9.2010, s.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B4DE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0474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A7E70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022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4E6B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2047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E0A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8A2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28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427037A-D0A1-4180-824D-78B1E1E1DF53"/>
    <w:docVar w:name="LW_COVERPAGE_TYPE" w:val="1"/>
    <w:docVar w:name="LW_CROSSREFERENCE" w:val="&lt;UNUSED&gt;"/>
    <w:docVar w:name="LW_DocType" w:val="ANNEX"/>
    <w:docVar w:name="LW_EMISSION" w:val="31.3.2020"/>
    <w:docVar w:name="LW_EMISSION_ISODATE" w:val="2020-03-31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den holdning, der skal indtages på Den Europæiske Unions vegne i Komitéen for Havnestatskontrol under Parisaftalememorandummet om havnestatskontrol"/>
    <w:docVar w:name="LW_OBJETACTEPRINCIPAL.CP" w:val="om den holdning, der skal indtages på Den Europæiske Unions vegne i Komitéen for Havnestatskontrol under Parisaftalememorandummet om havnestatskontrol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afgørelse"/>
    <w:docVar w:name="LW_TYPEACTEPRINCIPAL.CP" w:val="forslag til 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405</Words>
  <Characters>2730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WES PDFC Administrator</cp:lastModifiedBy>
  <cp:revision>9</cp:revision>
  <cp:lastPrinted>2015-11-12T14:29:00Z</cp:lastPrinted>
  <dcterms:created xsi:type="dcterms:W3CDTF">2020-03-06T12:07:00Z</dcterms:created>
  <dcterms:modified xsi:type="dcterms:W3CDTF">2020-03-20T11:28:00Z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