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FAE65C2-50EC-4643-8649-2EE1762C2352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 I</w:t>
      </w:r>
    </w:p>
    <w:p>
      <w:pPr>
        <w:pStyle w:val="NormalCentered"/>
        <w:rPr>
          <w:noProof/>
        </w:rPr>
      </w:pPr>
      <w:r>
        <w:rPr>
          <w:noProof/>
        </w:rPr>
        <w:t>Postoj, který má být jménem Evropské unie zaujat v rámci Pařížského memoranda o porozumění o státní přístavní inspekci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Hlavní zásady</w:t>
      </w:r>
    </w:p>
    <w:p>
      <w:pPr>
        <w:rPr>
          <w:noProof/>
        </w:rPr>
      </w:pPr>
      <w:r>
        <w:rPr>
          <w:noProof/>
        </w:rPr>
        <w:t xml:space="preserve">Unie v rámci Pařížského memoranda o porozumění o státní přístavní inspekci (dále jen „Pařížské memorandum“): </w:t>
      </w:r>
    </w:p>
    <w:p>
      <w:pPr>
        <w:ind w:left="851" w:hanging="851"/>
        <w:rPr>
          <w:noProof/>
        </w:rPr>
      </w:pPr>
      <w:r>
        <w:rPr>
          <w:noProof/>
        </w:rPr>
        <w:t>a)</w:t>
      </w:r>
      <w:r>
        <w:rPr>
          <w:noProof/>
        </w:rPr>
        <w:tab/>
        <w:t>jedná v souladu s cíli Unie, zejména s cílem zlepšit námořní bezpečnost, prevenci znečištění a životní a pracovní podmínky na lodích pomocí výrazného omezení přístupu nevyhovujících lodí, a to přísným uplatňováním mezinárodních úmluv a předpisů;</w:t>
      </w:r>
    </w:p>
    <w:p>
      <w:pPr>
        <w:ind w:left="851" w:hanging="85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podporuje provádění harmonizovaného přístupu ze strany členů Pařížského memoranda k účinnému prosazování těchto mezinárodních norem na lodích plujících v jejich výsostných vodách a užívajících jejich přístavy; </w:t>
      </w:r>
    </w:p>
    <w:p>
      <w:pPr>
        <w:ind w:left="851" w:hanging="85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spolupracuje v rámci Pařížského memoranda za účelem vytvoření komplexního režimu inspekcí a sdílení inspekční zátěže spravedlivým způsobem, zejména tím, že každoročně přijímá roční inspekční závazek, který se stanoví podle dohodnuté metodiky uvedené v příloze 11 Pařížského memoranda; </w:t>
      </w:r>
    </w:p>
    <w:p>
      <w:pPr>
        <w:ind w:left="851" w:hanging="851"/>
        <w:rPr>
          <w:noProof/>
        </w:rPr>
      </w:pPr>
      <w:r>
        <w:rPr>
          <w:noProof/>
        </w:rPr>
        <w:t>d)</w:t>
      </w:r>
      <w:r>
        <w:rPr>
          <w:noProof/>
        </w:rPr>
        <w:tab/>
        <w:t>podporuje v rámci Pařížského memoranda nábor potřebného počtu pracovníků, včetně kvalifikovaných inspektorů, a zasazuje se o to, aby tento počet zůstal zachován a pracovníci byli vyškoleni členy Pařížského memoranda, přičemž zohledňuje objem a charakteristiky námořní dopravy v každém přístavu;</w:t>
      </w:r>
    </w:p>
    <w:p>
      <w:pPr>
        <w:ind w:left="851" w:hanging="851"/>
        <w:rPr>
          <w:noProof/>
        </w:rPr>
      </w:pPr>
      <w:r>
        <w:rPr>
          <w:noProof/>
        </w:rPr>
        <w:t>e)</w:t>
      </w:r>
      <w:r>
        <w:rPr>
          <w:noProof/>
        </w:rPr>
        <w:tab/>
        <w:t>zajišťuje, aby opatření přijatá v rámci Pařížského memoranda byla v souladu s mezinárodním právem, a to zejména mezinárodními úmluvami a předpisy týkajícími se námořní bezpečnosti, prevence znečištění a životních a pracovních podmínek na lodích;</w:t>
      </w:r>
    </w:p>
    <w:p>
      <w:pPr>
        <w:ind w:left="851" w:hanging="851"/>
        <w:rPr>
          <w:noProof/>
        </w:rPr>
      </w:pPr>
      <w:r>
        <w:rPr>
          <w:noProof/>
        </w:rPr>
        <w:t>f)</w:t>
      </w:r>
      <w:r>
        <w:rPr>
          <w:noProof/>
        </w:rPr>
        <w:tab/>
        <w:t>podporuje rozvoj společných přístupů s ostatními subjekty provádějícími státní přístavní inspekci;</w:t>
      </w:r>
    </w:p>
    <w:p>
      <w:pPr>
        <w:ind w:left="851" w:hanging="851"/>
        <w:rPr>
          <w:noProof/>
        </w:rPr>
      </w:pPr>
      <w:r>
        <w:rPr>
          <w:noProof/>
        </w:rPr>
        <w:t>g)</w:t>
      </w:r>
      <w:r>
        <w:rPr>
          <w:noProof/>
        </w:rPr>
        <w:tab/>
        <w:t>zajišťuje soudržnost s ostatními politikami Unie, zejména v oblasti vnějších vztahů, bezpečnosti a životního prostředí.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Směry</w:t>
      </w:r>
    </w:p>
    <w:p>
      <w:pPr>
        <w:rPr>
          <w:noProof/>
        </w:rPr>
      </w:pPr>
      <w:r>
        <w:rPr>
          <w:noProof/>
        </w:rPr>
        <w:t>Unie ve snaze zajistit bezproblémové meziroční fungování systému státní přístavní inspekce v Unii v souladu se směrnicí 2009/16/ES usiluje o to, aby byla v rámci Pařížského memoranda přijata tato opatření: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Prvky rizikového profilu lodi používané pro cílený výběr plavidel k inspekci:</w:t>
      </w:r>
    </w:p>
    <w:p>
      <w:pPr>
        <w:ind w:left="1134" w:hanging="425"/>
        <w:rPr>
          <w:noProof/>
        </w:rPr>
      </w:pPr>
      <w:r>
        <w:rPr>
          <w:noProof/>
        </w:rPr>
        <w:t>a)</w:t>
      </w:r>
      <w:r>
        <w:rPr>
          <w:noProof/>
        </w:rPr>
        <w:tab/>
        <w:t>bílá, šedá a černá listina států vlajky podle vzorce vypracovaného Pařížským memorandem a stanoveného v příloze nařízení Komise (EU) č. 801/2010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; </w:t>
      </w:r>
    </w:p>
    <w:p>
      <w:pPr>
        <w:ind w:left="1134" w:hanging="425"/>
        <w:rPr>
          <w:noProof/>
        </w:rPr>
      </w:pPr>
      <w:r>
        <w:rPr>
          <w:noProof/>
        </w:rPr>
        <w:t>b)</w:t>
      </w:r>
      <w:r>
        <w:rPr>
          <w:noProof/>
        </w:rPr>
        <w:tab/>
        <w:t>soupis výkonností uznaných organizací podle metodiky přijaté Výborem pro státní přístavní inspekci na jeho 37. zasedání v květnu 2004 (bod pořadu jednání 4.5.2);</w:t>
      </w:r>
    </w:p>
    <w:p>
      <w:pPr>
        <w:ind w:left="1134" w:hanging="425"/>
        <w:rPr>
          <w:noProof/>
        </w:rPr>
      </w:pPr>
      <w:r>
        <w:rPr>
          <w:noProof/>
        </w:rPr>
        <w:t>c)</w:t>
      </w:r>
      <w:r>
        <w:rPr>
          <w:noProof/>
        </w:rPr>
        <w:tab/>
        <w:t>průměrný poměr počtu závad a zadržení pro vzorec pro stanovení výkonnosti společnosti na základě přílohy nařízení Komise (EU) č. 802/2010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Zajistit, aby všechny změny nebo aktualizace postupů a pokynů Pařížského memoranda byly v souladu s cíli Unie, zejména s cílem zlepšit námořní bezpečnost, prevenci znečištění a životní a pracovní podmínky na lodích.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Nařízení Komise (EU) č. 801/2010 ze dne 13. září 2010, kterým se provádí čl. 10 odst. 3 směrnice Evropského parlamentu a Rady 2009/16/ES, pokud jde o kritéria státu vlajky (Úř. věst. L 241, 14.9.2010, s.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Nařízení Komise (EU) č. 802/2010 ze dne 13. září 2010, kterým se provádí čl. 10 odst. 3 a článek 27 směrnice Evropského parlamentu a Rady 2009/16/ES, pokud jde o výkonnost společnosti (Úř. věst. L 241, 14.9.2010, s. 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B4DE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0474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A7E70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022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4E6B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2047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E0A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8A2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DQCDateTime" w:val="2020-03-20 12:2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FAE65C2-50EC-4643-8649-2EE1762C2352"/>
    <w:docVar w:name="LW_COVERPAGE_TYPE" w:val="1"/>
    <w:docVar w:name="LW_CROSSREFERENCE" w:val="&lt;UNUSED&gt;"/>
    <w:docVar w:name="LW_DocType" w:val="ANNEX"/>
    <w:docVar w:name="LW_EMISSION" w:val="31.3.2020"/>
    <w:docVar w:name="LW_EMISSION_ISODATE" w:val="2020-03-31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stoji, který má být zaujat jménem Evropské unie ve Výboru pro státní p\u345?ístavní inspekci Pa\u345?í\u382?ského memoranda o porozum\u283?ní o státní p\u345?ístavní inspekci"/>
    <w:docVar w:name="LW_OBJETACTEPRINCIPAL.CP" w:val="o postoji, který má být zaujat jménem Evropské unie ve Výboru pro státní p\u345?ístavní inspekci Pa\u345?í\u382?ského memoranda o porozum\u283?ní o státní p\u345?ístavní inspekci"/>
    <w:docVar w:name="LW_PART_NBR" w:val="1"/>
    <w:docVar w:name="LW_PART_NBR_TOTAL" w:val="1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rozhodnutí Rady"/>
    <w:docVar w:name="LW_TYPEACTEPRINCIPAL.CP" w:val="návrhu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386</Words>
  <Characters>2365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TIGANITAKI Maria (MOVE)</dc:creator>
  <cp:keywords/>
  <cp:lastModifiedBy>WES PDFC Administrator</cp:lastModifiedBy>
  <cp:revision>9</cp:revision>
  <cp:lastPrinted>2015-11-12T14:29:00Z</cp:lastPrinted>
  <dcterms:created xsi:type="dcterms:W3CDTF">2020-03-12T08:46:00Z</dcterms:created>
  <dcterms:modified xsi:type="dcterms:W3CDTF">2020-03-20T11:28:00Z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