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A24E33E2-C076-4752-93EE-C0655CE0E47A" style="width:449.75pt;height:397.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I PRIEDAS </w:t>
      </w:r>
      <w:r>
        <w:rPr>
          <w:rStyle w:val="Marker"/>
          <w:noProof/>
        </w:rPr>
        <w:t>[…]</w:t>
      </w:r>
    </w:p>
    <w:p>
      <w:pPr>
        <w:pStyle w:val="NormalCentered"/>
        <w:rPr>
          <w:noProof/>
        </w:rPr>
      </w:pPr>
      <w:r>
        <w:rPr>
          <w:noProof/>
        </w:rPr>
        <w:t>Pozicija, kurios Europos Sąjungos vardu turi būti laikomasi Paryžiaus susitarimo memorandumo dėl uosto valstybės kontrolės organizacijoje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Pagrindiniai principai</w:t>
      </w:r>
    </w:p>
    <w:p>
      <w:pPr>
        <w:rPr>
          <w:noProof/>
        </w:rPr>
      </w:pPr>
      <w:r>
        <w:rPr>
          <w:noProof/>
        </w:rPr>
        <w:t xml:space="preserve">Vykdydama Paryžiaus susitarimo memorandumą (Paryžiaus SM) dėl uosto valstybės kontrolės, Sąjunga: </w:t>
      </w:r>
    </w:p>
    <w:p>
      <w:pPr>
        <w:ind w:left="851" w:hanging="851"/>
        <w:rPr>
          <w:noProof/>
        </w:rPr>
      </w:pPr>
      <w:r>
        <w:rPr>
          <w:noProof/>
        </w:rPr>
        <w:t>a)</w:t>
      </w:r>
      <w:r>
        <w:rPr>
          <w:noProof/>
        </w:rPr>
        <w:tab/>
        <w:t>veikia atsižvelgdama į Sąjungos tikslus, visų pirma, gerinti laivybos saugą, taršos prevenciją ir gyvenimo bei darbo sąlygas laivuose griežtai taikant tarptautines konvencijas ir kodeksus ir taip smarkiai sumažinant standartų neatitinkančių laivų skaičių;</w:t>
      </w:r>
    </w:p>
    <w:p>
      <w:pPr>
        <w:ind w:left="851" w:hanging="851"/>
        <w:rPr>
          <w:noProof/>
        </w:rPr>
      </w:pPr>
      <w:r>
        <w:rPr>
          <w:noProof/>
        </w:rPr>
        <w:t>b)</w:t>
      </w:r>
      <w:r>
        <w:rPr>
          <w:noProof/>
        </w:rPr>
        <w:tab/>
        <w:t xml:space="preserve">skatina Paryžiaus SM nares įgyvendinti suderintą metodą, kad būtų veiksmingai užtikrinamas šių tarptautinių standartų taikymas jų jurisdikcijai priklausančiuose vandenyse plaukiojantiems ir jų uostais besinaudojantiems laivams; </w:t>
      </w:r>
    </w:p>
    <w:p>
      <w:pPr>
        <w:ind w:left="851" w:hanging="85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bendradarbiauja Paryžiaus SM organizacijoje, kad būtų sukurta visapusiška inspektavimo schema ir tolygiai pasidalyta inspektavimo našta, ypač priimant metinius inspektavimo įsipareigojimus, parengtus laikantis sutartos metodikos, išdėstytos Paryžiaus SM 11 priede; </w:t>
      </w:r>
    </w:p>
    <w:p>
      <w:pPr>
        <w:ind w:left="851" w:hanging="851"/>
        <w:rPr>
          <w:noProof/>
        </w:rPr>
      </w:pPr>
      <w:r>
        <w:rPr>
          <w:noProof/>
        </w:rPr>
        <w:t>d)</w:t>
      </w:r>
      <w:r>
        <w:rPr>
          <w:noProof/>
        </w:rPr>
        <w:tab/>
        <w:t>deda pastangas Paryžiaus SM organizacijoje, skatindama, kad Paryžiaus SM narės įdarbintų, išlaikytų ir mokytų reikiamą darbuotojų, įskaitant kvalifikuotus inspektorius, skaičių, atsižvelgdamos į laivų eismo apimtį ir pobūdį kiekviename uoste;</w:t>
      </w:r>
    </w:p>
    <w:p>
      <w:pPr>
        <w:ind w:left="851" w:hanging="851"/>
        <w:rPr>
          <w:noProof/>
        </w:rPr>
      </w:pPr>
      <w:r>
        <w:rPr>
          <w:noProof/>
        </w:rPr>
        <w:t>e)</w:t>
      </w:r>
      <w:r>
        <w:rPr>
          <w:noProof/>
        </w:rPr>
        <w:tab/>
        <w:t>užtikrina, kad Paryžiaus SM organizacijoje priimtos priemonės derėtų su tarptautine teise, ypač su tarptautinėmis konvencijomis ir kodeksais, susijusiais su laivybos sauga, taršos prevencija ir gyvenimo bei darbo sąlygomis laivuose;</w:t>
      </w:r>
    </w:p>
    <w:p>
      <w:pPr>
        <w:ind w:left="851" w:hanging="851"/>
        <w:rPr>
          <w:noProof/>
        </w:rPr>
      </w:pPr>
      <w:r>
        <w:rPr>
          <w:noProof/>
        </w:rPr>
        <w:t>f)</w:t>
      </w:r>
      <w:r>
        <w:rPr>
          <w:noProof/>
        </w:rPr>
        <w:tab/>
        <w:t>skatina kurti bendrus metodus su kitomis uosto valstybės kontrolę vykdančiomis įstaigomis;</w:t>
      </w:r>
    </w:p>
    <w:p>
      <w:pPr>
        <w:ind w:left="851" w:hanging="851"/>
        <w:rPr>
          <w:noProof/>
        </w:rPr>
      </w:pPr>
      <w:r>
        <w:rPr>
          <w:noProof/>
        </w:rPr>
        <w:t>g)</w:t>
      </w:r>
      <w:r>
        <w:rPr>
          <w:noProof/>
        </w:rPr>
        <w:tab/>
        <w:t>užtikrina derėjimą su kitų sričių Sąjungos politika, visų pirma, išorės santykių, saugumo ir aplinkos.</w:t>
      </w:r>
    </w:p>
    <w:p>
      <w:pPr>
        <w:keepNext/>
        <w:tabs>
          <w:tab w:val="left" w:pos="850"/>
        </w:tabs>
        <w:spacing w:before="360"/>
        <w:ind w:left="850" w:hanging="850"/>
        <w:outlineLvl w:val="0"/>
        <w:rPr>
          <w:b/>
          <w:smallCaps/>
          <w:noProof/>
        </w:rPr>
      </w:pPr>
      <w:r>
        <w:rPr>
          <w:b/>
          <w:smallCaps/>
          <w:noProof/>
        </w:rPr>
        <w:t>Gairės</w:t>
      </w:r>
    </w:p>
    <w:p>
      <w:pPr>
        <w:rPr>
          <w:noProof/>
        </w:rPr>
      </w:pPr>
      <w:r>
        <w:rPr>
          <w:noProof/>
        </w:rPr>
        <w:t>Siekdama užtikrinti sklandų kasmetinį Sąjungos uosto valstybės kontrolės tvarkos taikymą pagal Direktyvą 2009/16/EB, Sąjunga siekia, kad Paryžiaus SM organizacija imtųsi šių veiksmų:</w:t>
      </w:r>
    </w:p>
    <w:p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Atrenkant inspektuotinus laivus naudotų šiuos laivo rizikos lygio elementus:</w:t>
      </w:r>
    </w:p>
    <w:p>
      <w:pPr>
        <w:ind w:left="1134" w:hanging="425"/>
        <w:rPr>
          <w:noProof/>
        </w:rPr>
      </w:pPr>
      <w:r>
        <w:rPr>
          <w:noProof/>
        </w:rPr>
        <w:t>a)</w:t>
      </w:r>
      <w:r>
        <w:rPr>
          <w:noProof/>
        </w:rPr>
        <w:tab/>
        <w:t>vėliavos valstybių baltąjį, pilkąjį ir juodąjį sąrašus pagal Paryžiaus SM sukurtą formulę, pateiktą Komisijos reglamento (ES) Nr. 801/2010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priede; </w:t>
      </w:r>
    </w:p>
    <w:p>
      <w:pPr>
        <w:ind w:left="1134" w:hanging="425"/>
        <w:rPr>
          <w:noProof/>
        </w:rPr>
      </w:pPr>
      <w:r>
        <w:rPr>
          <w:noProof/>
        </w:rPr>
        <w:t>b)</w:t>
      </w:r>
      <w:r>
        <w:rPr>
          <w:noProof/>
        </w:rPr>
        <w:tab/>
        <w:t>pripažintų organizacijų veiklos rezultatų sąrašą pagal 2004 m. gegužės mėn. Uosto valstybės kontrolės komiteto 37 posėdyje Uosto valstybės kontrolės komiteto priimtą metodiką (Darbotvarkės punktas 4.5.2);</w:t>
      </w:r>
    </w:p>
    <w:p>
      <w:pPr>
        <w:ind w:left="1134" w:hanging="425"/>
        <w:rPr>
          <w:noProof/>
        </w:rPr>
      </w:pPr>
      <w:r>
        <w:rPr>
          <w:noProof/>
        </w:rPr>
        <w:lastRenderedPageBreak/>
        <w:t>c)</w:t>
      </w:r>
      <w:r>
        <w:rPr>
          <w:noProof/>
        </w:rPr>
        <w:tab/>
        <w:t>vidutinį trūkumų ir sulaikymų santykį, naudotiną kompanijos veiklos rezultatų formulėje, remiantis Komisijos reglamento (ES) Nr. 802/2010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priedu;</w:t>
      </w:r>
    </w:p>
    <w:p>
      <w:pPr>
        <w:rPr>
          <w:noProof/>
        </w:rPr>
      </w:pPr>
      <w:r>
        <w:rPr>
          <w:noProof/>
        </w:rPr>
        <w:t>2.</w:t>
      </w:r>
      <w:r>
        <w:rPr>
          <w:noProof/>
        </w:rPr>
        <w:tab/>
        <w:t>Užtikrintų, kad bet koks Paryžiaus SM organizacijos procedūrų ir gairių pakeitimas ar atnaujinimas derėtų su Sąjungos tikslais, visų pirma, gerinti laivybos saugą, taršos prevenciją ir gyvenimo bei darbo sąlygas laivuose.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LT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2010 m. rugsėjo 13 d. Komisijos reglamentas (ES) Nr. 801/2010, kuriuo įgyvendinamos Europos Parlamento ir Tarybos direktyvos 2009/16/EB 10 straipsnio 3 dalies nuostatos dėl vėliavos valstybės kriterijų (OL L 241, 2010 9 14, p. 1).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2010 m. rugsėjo 13 d. Komisijos reglamentas (ES) Nr. 802/2010, kuriuo įgyvendinamos Europos Parlamento ir Tarybos direktyvos 2009/16/EB 10 straipsnio 3 dalies ir 27 straipsnio nuostatos dėl kompanijų veiklos vertinimo (OL L 241, 2010 9 14, p. 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B4DE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0474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A7E70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A022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54E6B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52047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7E0A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8A2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</w:compat>
  <w:docVars>
    <w:docVar w:name="DQCDateTime" w:val="2020-03-20 12:27:1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24E33E2-C076-4752-93EE-C0655CE0E47A"/>
    <w:docVar w:name="LW_COVERPAGE_TYPE" w:val="1"/>
    <w:docVar w:name="LW_CROSSREFERENCE" w:val="&lt;UNUSED&gt;"/>
    <w:docVar w:name="LW_DocType" w:val="ANNEX"/>
    <w:docVar w:name="LW_EMISSION" w:val="2020 03 31"/>
    <w:docVar w:name="LW_EMISSION_ISODATE" w:val="2020-03-31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pozicijos, kurios Europos S\u261?jungos vardu turi b\u363?ti laikomasi Pary\u382?iaus susitarimo memorandumo d\u279?l uosto valstyb\u279?s kontrol\u279?s organizacijos Uosto valstyb\u279?s kontrol\u279?s komiteto pos\u279?dyje"/>
    <w:docVar w:name="LW_OBJETACTEPRINCIPAL.CP" w:val="d\u279?l pozicijos, kurios Europos S\u261?jungos vardu turi b\u363?ti laikomasi Pary\u382?iaus susitarimo memorandumo d\u279?l uosto valstyb\u279?s kontrol\u279?s organizacijos Uosto valstyb\u279?s kontrol\u279?s komiteto pos\u279?dyje"/>
    <w:docVar w:name="LW_PART_NBR" w:val="1"/>
    <w:docVar w:name="LW_PART_NBR_TOTAL" w:val="1"/>
    <w:docVar w:name="LW_REF.INST.NEW" w:val="COM"/>
    <w:docVar w:name="LW_REF.INST.NEW_ADOPTED" w:val="final"/>
    <w:docVar w:name="LW_REF.INST.NEW_TEXT" w:val="(2020) 11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EDAS"/>
    <w:docVar w:name="LW_TYPE.DOC.CP" w:val="PRIEDAS"/>
    <w:docVar w:name="LW_TYPEACTEPRINCIPAL" w:val="Pasi\u363?lymo d\u279?l Tarybos sprendimo"/>
    <w:docVar w:name="LW_TYPEACTEPRINCIPAL.CP" w:val="Pasi\u363?lymo d\u279?l Tarybos sprendim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337</Words>
  <Characters>2387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TIGANITAKI Maria (MOVE)</dc:creator>
  <cp:keywords/>
  <cp:lastModifiedBy>DIGIT/C6</cp:lastModifiedBy>
  <cp:revision>9</cp:revision>
  <cp:lastPrinted>2015-11-12T14:29:00Z</cp:lastPrinted>
  <dcterms:created xsi:type="dcterms:W3CDTF">2020-03-12T16:06:00Z</dcterms:created>
  <dcterms:modified xsi:type="dcterms:W3CDTF">2020-03-20T11:27:00Z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5.8.4, Build 20141001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Green (DQC version 03)</vt:lpwstr>
  </property>
</Properties>
</file>