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1F183F9-FE8E-4011-865E-785506E7E970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 II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Vsakoletna določitev stališča, ki se zastopa v imenu Unije v odboru za pomorsko inšpekcijo Pariškega memoranduma o soglasju glede nadzora, ki ga opravlja inšpekcija za varnost plovbe</w:t>
      </w:r>
    </w:p>
    <w:p>
      <w:pPr>
        <w:rPr>
          <w:noProof/>
        </w:rPr>
      </w:pPr>
      <w:r>
        <w:rPr>
          <w:noProof/>
        </w:rPr>
        <w:t>Pred vsakim letnim zasedanjem odbora za pomorsko inšpekcijo (v nadaljnjem besedilu: odbor PSCC) Pariškega memoranduma o soglasju glede nadzora, ki ga opravlja inšpekcija za varnost plovbe, se sprejmejo potrebni ukrepi, da se v stališčih, ki naj se izrazijo v imenu Unije, upoštevajo vse ustrezne informacije, poslane Komisiji, kot tudi vsa dokumentacija za razpravo, ki spada v pristojnost Unije v skladu z vodilnimi načeli in usmeritvami iz Priloge I.</w:t>
      </w:r>
    </w:p>
    <w:p>
      <w:pPr>
        <w:rPr>
          <w:noProof/>
        </w:rPr>
      </w:pPr>
      <w:r>
        <w:rPr>
          <w:noProof/>
        </w:rPr>
        <w:t>Službe Komisije v ta namen, na podlagi navedenih dognanj in dovolj časa pred zasedanjem odbora PSCC Svetu ali njegovim pripravljalnim telesom v razpravo in odobritev pošljejo pripravljalni dokument, v katerem navedejo podrobnosti predvidenega stališča.</w:t>
      </w:r>
    </w:p>
    <w:p>
      <w:pPr>
        <w:rPr>
          <w:noProof/>
        </w:rPr>
      </w:pPr>
      <w:r>
        <w:rPr>
          <w:noProof/>
        </w:rPr>
        <w:t>Stališče iz pripravljalnega dokumenta, ki se zastopa v imenu Unije, šteje kot dogovorjeno, razen če mu na sestanku pripravljalnega telesa Sveta ali v dvajsetih dneh od prejema pripravljalnega dokumenta, kar koli nastopi prej, nasprotuje število držav članic, ki ustreza manjšini, ki lahko prepreči sprejetje. V primeru takšnega nasprotovanja se zadeva predloži Svetu.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CCED8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EEAE9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5EA4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0A2C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B2CB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550B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3C459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C40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DQCDateTime" w:val="2020-03-20 12:28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21F183F9-FE8E-4011-865E-785506E7E970"/>
    <w:docVar w:name="LW_COVERPAGE_TYPE" w:val="1"/>
    <w:docVar w:name="LW_CROSSREFERENCE" w:val="&lt;UNUSED&gt;"/>
    <w:docVar w:name="LW_DocType" w:val="ANNEX"/>
    <w:docVar w:name="LW_EMISSION" w:val="31.3.2020"/>
    <w:docVar w:name="LW_EMISSION_ISODATE" w:val="2020-03-31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tali\u353?\u269?u, ki se v imenu Evropske unije zastopa v odboru za pomorsko in\u353?pekcijo Pari\u353?kega memoranduma o soglasju glede nadzora, ki ga opravlja in\u353?pekcija za varnost plovbe"/>
    <w:docVar w:name="LW_OBJETACTEPRINCIPAL.CP" w:val="o stali\u353?\u269?u, ki se v imenu Evropske unije zastopa v odboru za pomorsko in\u353?pekcijo Pari\u353?kega memoranduma o soglasju glede nadzora, ki ga opravlja in\u353?pekcija za varnost plovbe"/>
    <w:docVar w:name="LW_PART_NBR" w:val="1"/>
    <w:docVar w:name="LW_PART_NBR_TOTAL" w:val="1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 sklepa Sveta_x000b_"/>
    <w:docVar w:name="LW_TYPEACTEPRINCIPAL.CP" w:val="predlogu sklepa Svet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183</Words>
  <Characters>1088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TIGANITAKI Maria (MOVE)</dc:creator>
  <cp:keywords/>
  <cp:lastModifiedBy>DIGIT/C6</cp:lastModifiedBy>
  <cp:revision>9</cp:revision>
  <cp:lastPrinted>2015-11-12T14:35:00Z</cp:lastPrinted>
  <dcterms:created xsi:type="dcterms:W3CDTF">2020-03-12T10:11:00Z</dcterms:created>
  <dcterms:modified xsi:type="dcterms:W3CDTF">2020-03-20T11:28:00Z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2</vt:lpwstr>
  </property>
  <property fmtid="{D5CDD505-2E9C-101B-9397-08002B2CF9AE}" pid="7" name="Last annex">
    <vt:lpwstr>2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