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31A74EDD-AB21-47F5-AAB4-A77A13A5E387" style="width:451pt;height:306.5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mallCaps/>
          <w:noProof/>
        </w:rPr>
        <w:lastRenderedPageBreak/>
        <w:t xml:space="preserve">Úvod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Evropská unie (EU) je založena na silném závazku prosazovat a chránit lidská práva, demokracii a právní stát. To představuje střed jejích činností, a to jak interně, tak i ve vztahu k jiným zemím a regionům. V souladu se strategickou agendou pro období 2019–2024 přijatou Evropskou radou a politickými pokyny pro Evropskou komisi pro období 2019–2024</w:t>
      </w:r>
      <w:r>
        <w:rPr>
          <w:rFonts w:ascii="Times New Roman" w:hAnsi="Times New Roman"/>
          <w:noProof/>
          <w:sz w:val="16"/>
          <w:szCs w:val="16"/>
        </w:rPr>
        <w:t xml:space="preserve"> </w:t>
      </w:r>
      <w:r>
        <w:rPr>
          <w:rFonts w:ascii="Times New Roman" w:hAnsi="Times New Roman"/>
          <w:noProof/>
        </w:rPr>
        <w:t xml:space="preserve">má EU strategický zájem na prosazování svého </w:t>
      </w:r>
      <w:r>
        <w:rPr>
          <w:rFonts w:ascii="Times New Roman" w:hAnsi="Times New Roman"/>
          <w:b/>
          <w:noProof/>
        </w:rPr>
        <w:t>globálního vedoucího postavení</w:t>
      </w:r>
      <w:r>
        <w:rPr>
          <w:rFonts w:ascii="Times New Roman" w:hAnsi="Times New Roman"/>
          <w:noProof/>
        </w:rPr>
        <w:t xml:space="preserve"> v oblasti lidských práv a demokracie, a to s cílem přinést hmatatelný užitek lidem na celém světě. Mnoho již bylo vykonáno. Od přijetí strategického rámce EU pro lidská práva a demokracii v roce 2012</w:t>
      </w:r>
      <w:r>
        <w:rPr>
          <w:rStyle w:val="FootnoteReference"/>
          <w:rFonts w:ascii="Times New Roman" w:hAnsi="Times New Roman" w:cs="Times New Roman"/>
          <w:noProof/>
        </w:rPr>
        <w:footnoteReference w:id="1"/>
      </w:r>
      <w:r>
        <w:rPr>
          <w:rFonts w:ascii="Times New Roman" w:hAnsi="Times New Roman"/>
          <w:noProof/>
        </w:rPr>
        <w:t>, prvních dvou akčních plánů EU pro lidská práva a demokracii (2012–2014 a 2015–2019)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>, jmenování prvního zvláštního zástupce EU pro lidská práva v roce 2012 a závěrů Rady o demokracii z roku 2019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 xml:space="preserve"> je EU koordinovanější, aktivnější, viditelnější a účinnější, pokud jde o její angažovanost ve třetích zemích a ve vztahu k nim, a také se více angažuje na mnohostranné úrovni.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měnící se geopolitické situaci zůstává EU silným obhájcem lidských práv a demokracie. Nové geopolitické spory pouze zdůrazňují její roli spolehlivého a stabilního partnera a zastánce mnohostranného řádu založeného na pravidlech. Celkový obraz v souvislosti s lidskými právy a demokracií je smíšený: ačkoli bylo dosaženo významných pokroků, je třeba zabývat se tlaky namířenými proti univerzálnosti a nedělitelnosti lidských práv a ústupem demokracie. V oblasti technologií se posunujeme k novému paradigmatu, v němž jsou lidské schopnosti stále více zdokonalovány pomocí strojů. V popředí stojí nové technologie (zejména umělá inteligence), které představují příležitosti i hrozby. Lidská práva jsou zároveň v čím dál vyšší míře propojena s celosvětovými výzvami v oblasti životního prostředí, jako je změna klimatu. Je proto načase, aby EU předložila </w:t>
      </w:r>
      <w:r>
        <w:rPr>
          <w:rFonts w:ascii="Times New Roman" w:hAnsi="Times New Roman"/>
          <w:b/>
          <w:noProof/>
        </w:rPr>
        <w:t>novou geopolitickou agendu pro lidská práva a demokracii</w:t>
      </w:r>
      <w:r>
        <w:rPr>
          <w:rFonts w:ascii="Times New Roman" w:hAnsi="Times New Roman"/>
          <w:noProof/>
        </w:rPr>
        <w:t>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návaznosti na akční plán EU pro lidská práva a demokracii na období 2015–2019 je důležité převést dlouhodobý závazek EU v oblasti lidských práv a demokracie do obnovené operační agendy. Toto sdělení má za cíl předložit nový akční plán pro lidská práva a demokracii. Stanoví ambice a priority v této oblasti vnějších vztahů na příštích 5 let a přispěje k dosažení </w:t>
      </w:r>
      <w:r>
        <w:rPr>
          <w:rFonts w:ascii="Times New Roman" w:hAnsi="Times New Roman"/>
          <w:b/>
          <w:noProof/>
        </w:rPr>
        <w:t>silnějšího postavení Evropy ve světě</w:t>
      </w:r>
      <w:r>
        <w:rPr>
          <w:rFonts w:ascii="Times New Roman" w:hAnsi="Times New Roman"/>
          <w:noProof/>
        </w:rPr>
        <w:t xml:space="preserve">. Tento akční plán je jedinečný, jelikož se jedná o jediný nástroj svého druhu, jehož cílem je na světové scéně podporovat agendu založenou na hodnotách. 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>
        <w:trPr>
          <w:trHeight w:val="433"/>
        </w:trPr>
        <w:tc>
          <w:tcPr>
            <w:tcW w:w="924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Toto společné sdělení navrhuje:</w:t>
            </w:r>
          </w:p>
        </w:tc>
      </w:tr>
      <w:tr>
        <w:tc>
          <w:tcPr>
            <w:tcW w:w="9242" w:type="dxa"/>
          </w:tcPr>
          <w:p>
            <w:pPr>
              <w:pStyle w:val="ListParagraph"/>
              <w:numPr>
                <w:ilvl w:val="0"/>
                <w:numId w:val="5"/>
              </w:numPr>
              <w:spacing w:after="120"/>
              <w:ind w:left="681" w:hanging="397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posílit </w:t>
            </w:r>
            <w:r>
              <w:rPr>
                <w:rFonts w:ascii="Times New Roman" w:hAnsi="Times New Roman"/>
                <w:b/>
                <w:noProof/>
              </w:rPr>
              <w:t>vedoucí postavení EU</w:t>
            </w:r>
            <w:r>
              <w:rPr>
                <w:rFonts w:ascii="Times New Roman" w:hAnsi="Times New Roman"/>
                <w:noProof/>
              </w:rPr>
              <w:t xml:space="preserve"> v oblasti podpory a ochrany lidských práv a demokracie na celém světě,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20"/>
              <w:ind w:left="681" w:hanging="397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stanovit </w:t>
            </w:r>
            <w:r>
              <w:rPr>
                <w:rFonts w:ascii="Times New Roman" w:hAnsi="Times New Roman"/>
                <w:b/>
                <w:noProof/>
              </w:rPr>
              <w:t>ambice</w:t>
            </w:r>
            <w:r>
              <w:rPr>
                <w:rFonts w:ascii="Times New Roman" w:hAnsi="Times New Roman"/>
                <w:noProof/>
              </w:rPr>
              <w:t xml:space="preserve"> EU, určit </w:t>
            </w:r>
            <w:r>
              <w:rPr>
                <w:rFonts w:ascii="Times New Roman" w:hAnsi="Times New Roman"/>
                <w:b/>
                <w:noProof/>
              </w:rPr>
              <w:t>priority</w:t>
            </w:r>
            <w:r>
              <w:rPr>
                <w:rFonts w:ascii="Times New Roman" w:hAnsi="Times New Roman"/>
                <w:noProof/>
              </w:rPr>
              <w:t xml:space="preserve"> a zaměřit se na </w:t>
            </w:r>
            <w:r>
              <w:rPr>
                <w:rFonts w:ascii="Times New Roman" w:hAnsi="Times New Roman"/>
                <w:b/>
                <w:noProof/>
              </w:rPr>
              <w:t>provádění</w:t>
            </w:r>
            <w:r>
              <w:rPr>
                <w:rFonts w:ascii="Times New Roman" w:hAnsi="Times New Roman"/>
                <w:noProof/>
              </w:rPr>
              <w:t>, a to s ohledem na měnící se geopolitickou situaci, digitální transformaci, výzvy v oblasti životního prostředí a na změnu klimatu,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20"/>
              <w:ind w:left="681" w:hanging="397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maximalizovat úlohu EU na globální scéně rozšířením </w:t>
            </w:r>
            <w:r>
              <w:rPr>
                <w:rFonts w:ascii="Times New Roman" w:hAnsi="Times New Roman"/>
                <w:b/>
                <w:noProof/>
              </w:rPr>
              <w:t>souboru nástrojů pro lidská práva</w:t>
            </w:r>
            <w:r>
              <w:rPr>
                <w:rFonts w:ascii="Times New Roman" w:hAnsi="Times New Roman"/>
                <w:noProof/>
              </w:rPr>
              <w:t>, jeho klíčových nástrojů a politik 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20"/>
              <w:ind w:left="681" w:hanging="397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podporovat </w:t>
            </w:r>
            <w:r>
              <w:rPr>
                <w:rFonts w:ascii="Times New Roman" w:hAnsi="Times New Roman"/>
                <w:b/>
                <w:noProof/>
              </w:rPr>
              <w:t>jednotnou a koordinovaně jednající EU</w:t>
            </w:r>
            <w:r>
              <w:rPr>
                <w:rFonts w:ascii="Times New Roman" w:hAnsi="Times New Roman"/>
                <w:noProof/>
              </w:rPr>
              <w:t xml:space="preserve"> prosazováním účinnějších a soudržnějších postupů.</w:t>
            </w:r>
          </w:p>
        </w:tc>
      </w:tr>
    </w:tbl>
    <w:p>
      <w:pPr>
        <w:spacing w:before="240" w:after="240" w:line="240" w:lineRule="auto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Současně s tímto sdělením a v souladu s čl. 22 odst. 2 Smlouvy o Evropské unii (SEU) předkládají Komise a vysoký představitel Radě společný návrh, aby Rada doporučila Evropské radě přijmout rozhodnutí, kterým by byly sdělení a akční plán přijaty jako rozhodnutí Evropské rady o strategických </w:t>
      </w:r>
      <w:r>
        <w:rPr>
          <w:rFonts w:ascii="Times New Roman" w:hAnsi="Times New Roman"/>
          <w:noProof/>
        </w:rPr>
        <w:lastRenderedPageBreak/>
        <w:t>zájmech a cílech Unie ve smyslu čl. 22 odst. 1 SEU.  Toto rozhodnutí Evropské rady by Radě umožnilo přijmout pro akční plán konkrétní prováděcí opatření podle čl. 31 odst. 2 SEU.</w:t>
      </w:r>
    </w:p>
    <w:p>
      <w:pPr>
        <w:pStyle w:val="ListParagraph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</w:rPr>
        <w:t xml:space="preserve">Zvětšující se výzvy v oblasti lidských práv a demokracie: volání po vedoucím postavení EU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Během posledních let EU jednala strategičtěji a účinněji využila svou politickou váhu i soubor nástrojů pro lidská práva, aby řešila porušování lidských práv a podpořila demokratické, odolné a mírumilovné společnosti. Přispěla k dosažení </w:t>
      </w:r>
      <w:r>
        <w:rPr>
          <w:rFonts w:ascii="Times New Roman" w:hAnsi="Times New Roman"/>
          <w:b/>
          <w:noProof/>
        </w:rPr>
        <w:t>významného pokroku</w:t>
      </w:r>
      <w:r>
        <w:rPr>
          <w:rFonts w:ascii="Times New Roman" w:hAnsi="Times New Roman"/>
          <w:noProof/>
        </w:rPr>
        <w:t xml:space="preserve"> v zemích a regionech, kde byla lidská práva pod tlakem, a to prostřednictvím inovativní spolupráce a investic do hospodářských a sociálních práv, jakož i silné politické a finanční podpory na ochranu a posílení postavení obránců lidských práv, občanské společnosti a aktérů z oblasti médií. Na fórech o lidských právech v rámci Organizace spojených národů (OSN) plnila EU vedoucí úlohu při prosazování rezolucí týkajících se konkrétních zemí a tematických iniciativ, a to vytvářením tematických, meziregionálních koalic, např. s Organizací islámské spolupráce. Díky meziregionální iniciativě „Good Human Rights Stories“ (Pozitivní příběhy o lidských právech) se EU dostala na čelní místo, pokud jde o úsilí o vylepšení obrazu lidských práv propagováním úspěšných příběhů. </w:t>
      </w:r>
    </w:p>
    <w:p>
      <w:pPr>
        <w:spacing w:after="12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Rozsáhlé výzvy však přetrvávají. Lidská práva a demokracie jsou v mnoha zemích po celém světě pod těžkým tlakem. Stále více ohrožovány jsou rovněž základní svobody, jako je svoboda projevu nebo shromažďování a svoboda médií. Dopady </w:t>
      </w:r>
      <w:r>
        <w:rPr>
          <w:rFonts w:ascii="Times New Roman" w:hAnsi="Times New Roman"/>
          <w:b/>
          <w:noProof/>
        </w:rPr>
        <w:t>systematického úsilí o oslabení právního státu, omezení občanského a politického prostoru</w:t>
      </w:r>
      <w:r>
        <w:rPr>
          <w:rFonts w:ascii="Times New Roman" w:hAnsi="Times New Roman"/>
          <w:noProof/>
        </w:rPr>
        <w:t xml:space="preserve"> a oslabení </w:t>
      </w:r>
      <w:r>
        <w:rPr>
          <w:rFonts w:ascii="Times New Roman" w:hAnsi="Times New Roman"/>
          <w:b/>
          <w:noProof/>
        </w:rPr>
        <w:t xml:space="preserve"> mnohostranného řádu založeného na pravidlech</w:t>
      </w:r>
      <w:r>
        <w:rPr>
          <w:rFonts w:ascii="Times New Roman" w:hAnsi="Times New Roman"/>
          <w:noProof/>
        </w:rPr>
        <w:t xml:space="preserve"> byly umocněny ustoupením některých tradičních partnerů EU od aktivního podporování a obrany lidských práv a demokratických hodnot. Dokladem toho je několik trendů včetně následujících: 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zmenšující se prostor pro občanskou společnost, 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oslabování právního státu, 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narůstající hrozby v oblasti integrity voleb a demokratických procesů,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rostoucí zastrašování novinářů a narůstající hrozby pro nezávislá média, 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rostoucí násilí a zastrašování obránců lidských práv (v uplynulých třech letech bylo nahlášeno více než 2 600 útoků),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rozsáhlá beztrestnost v případech porušování lidských práv a útoků na úlohu Mezinárodního trestního soudu,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porušování mezinárodního humanitárního práva v ozbrojených konfliktech, a to včetně konfliktů v Sýrii, Jemenu a Jižním Súdánu,</w:t>
      </w:r>
    </w:p>
    <w:p>
      <w:pPr>
        <w:pStyle w:val="ListParagraph"/>
        <w:numPr>
          <w:ilvl w:val="0"/>
          <w:numId w:val="3"/>
        </w:numPr>
        <w:spacing w:after="120" w:line="20" w:lineRule="atLeast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narůstající odpor vůči právům žen a rovnosti žen a mužů a</w:t>
      </w:r>
    </w:p>
    <w:p>
      <w:pPr>
        <w:pStyle w:val="ListParagraph"/>
        <w:numPr>
          <w:ilvl w:val="0"/>
          <w:numId w:val="3"/>
        </w:numPr>
        <w:spacing w:after="240"/>
        <w:ind w:left="681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přetrvávající zneužívání v oblasti práce, a to včetně dětské práce.</w:t>
      </w:r>
    </w:p>
    <w:p>
      <w:pPr>
        <w:spacing w:after="24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Nové bezprostřední příležitosti a výzvy přináší </w:t>
      </w:r>
      <w:r>
        <w:rPr>
          <w:rFonts w:ascii="Times New Roman" w:hAnsi="Times New Roman"/>
          <w:b/>
          <w:noProof/>
        </w:rPr>
        <w:t>přechod do digitálního věku</w:t>
      </w:r>
      <w:r>
        <w:rPr>
          <w:rFonts w:ascii="Times New Roman" w:hAnsi="Times New Roman"/>
          <w:noProof/>
        </w:rPr>
        <w:t xml:space="preserve">. Digitální technologie mohou lidská práva a demokratizaci posunout vpřed, jelikož usnadňují účast veřejnosti, zvyšují odpovědnost vlády tím, že umožňují monitorovat a dokumentovat porušování a zneužívání, podporují vznikající on-line aktivismus, povědomí a přístup ke vzdělávání a k informacím a dále umožňují hospodářské a sociální začleňování a přístup ke kvalitním veřejným službám. Zároveň však mohou také vést k neoprávněnému a nezákonnému omezování pohybu a projevu. Platformy sociálních médií jsou používány k šíření cílených dezinformací a nenávistných projevů, které často porušují soukromí a ohrožují demokracii a lidská práva. Zneužívání nových technologií, včetně umělé inteligence (UI), s sebou nese riziko zvýšeného monitorování, kontroly a represí. V některých zemích je hromadný dozor nad občany realitou. Data a algoritmy mohou být použity k vědomé či nevědomé diskriminaci jednotlivců a skupin, čímž dochází k upevňování společenských předsudků.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Další klíčová transformace je poháněna celosvětovými výzvami v oblasti životního prostředí, jako jsou například zhoršování životního prostředí, znečištění a </w:t>
      </w:r>
      <w:r>
        <w:rPr>
          <w:rFonts w:ascii="Times New Roman" w:hAnsi="Times New Roman"/>
          <w:b/>
          <w:noProof/>
        </w:rPr>
        <w:t>změna klimatu</w:t>
      </w:r>
      <w:r>
        <w:rPr>
          <w:rFonts w:ascii="Times New Roman" w:hAnsi="Times New Roman"/>
          <w:noProof/>
        </w:rPr>
        <w:t xml:space="preserve">. Souvislost mezi těmito výzvami a lidskými právy je čím dál jasnější. O slovo se hlásí mladí lidé. Občanská společnost a obránci lidských práv v oblasti životního prostředí plní klíčovou úlohu tím, že upozorňují na porušování lidských práv a vyžadují přijetí opatření na ochranu planety a jejího klimatu. Klíčovým cílem, který překračuje tradiční hranice mezi hospodářstvím a bezpečností a mezi vnitřními vnějšími rozměry politiky, je budování udržitelné budoucnosti šetrné k životnímu prostředí. Negativní dopady zhoršování životního prostředí a změny klimatu představují hrozbu pro celou řadu práv – práva na zdraví, potraviny, vodu, všeobecné vzdělání, a dokonce i práva na samotný život – a mohou výzvy v této oblasti znásobit. </w:t>
      </w:r>
    </w:p>
    <w:p>
      <w:pPr>
        <w:spacing w:after="24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Zároveň došlo k prohloubení konfliktů a ke vzniku nových nebezpečí. Konflikty a nestabilita ohrožují živobytí milionů lidí na celém světě a celosvětově jsou v současnosti zaznamenány vůbec nejvyšší počty vysídlených osob. Nejlepším způsobem, jak předejít tomu, aby se společnost ocitla v krizi, je investovat do lidských práv, demokracie a právního státu. Je třeba, aby lidská práva a demokracie zaujaly čelní místo v úsilí EU v oblasti předcházení konfliktům a řešení krizí. Krizové situace představují obzvláštní výzvu pro účinné uplatňování a ochranu lidských práv a ohrožují fungování našich demokracií. Příklady, jako je vypuknutí pandemie COVID-19, ukazují, že jsou naprosto nezbytná jak koordinovaná opatření na celosvětové úrovni, tak i solidarita.</w:t>
      </w:r>
    </w:p>
    <w:p>
      <w:pPr>
        <w:spacing w:after="24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To znamená, že je třeba se včas angažovat v boji proti porušování lidských práv i v podpoře demokracie, a to mimo jiné prostřednictvím mediace a předcházení volebnímu násilí. Opětovné zaměření na lidská práva a demokracii zvýší </w:t>
      </w:r>
      <w:r>
        <w:rPr>
          <w:rFonts w:ascii="Times New Roman" w:hAnsi="Times New Roman"/>
          <w:b/>
          <w:noProof/>
        </w:rPr>
        <w:t>odolnost státu a společnosti</w:t>
      </w:r>
      <w:r>
        <w:rPr>
          <w:rFonts w:ascii="Times New Roman" w:hAnsi="Times New Roman"/>
          <w:noProof/>
        </w:rPr>
        <w:t xml:space="preserve">. Bezpečnost bude lépe zajištěna tehdy, budou-li zaručena občanská a politická práva, jakož i práva hospodářská, sociální a kulturní. Bez lidských práv pro všechny neexistuje udržitelná bezpečnost. V tomto směru je klíčové zajistit odpovědnost a bojovat proti beztrestnosti.  </w:t>
      </w:r>
    </w:p>
    <w:p>
      <w:pPr>
        <w:spacing w:after="24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Agenda OSN pro udržitelný rozvoj 2030 a cíle udržitelného rozvoje představují výjimečnou příležitost zajistit, aby se závazek prosazovat začleňování promítl do podpory lidských práv a demokracie po celém světě. Závazek </w:t>
      </w:r>
      <w:r>
        <w:rPr>
          <w:rFonts w:ascii="Times New Roman" w:hAnsi="Times New Roman"/>
          <w:b/>
          <w:noProof/>
        </w:rPr>
        <w:t>„nikoho neopomíjet“</w:t>
      </w:r>
      <w:r>
        <w:rPr>
          <w:rFonts w:ascii="Times New Roman" w:hAnsi="Times New Roman"/>
          <w:noProof/>
        </w:rPr>
        <w:t xml:space="preserve"> vyzývá k posílení lidských práv pro všechny, a to bez jakékoli diskriminace. Výzvy nikdy nebyly větší než v době rostoucí </w:t>
      </w:r>
      <w:r>
        <w:rPr>
          <w:rFonts w:ascii="Times New Roman" w:hAnsi="Times New Roman"/>
          <w:b/>
          <w:noProof/>
        </w:rPr>
        <w:t>nerovnosti</w:t>
      </w:r>
      <w:r>
        <w:rPr>
          <w:rFonts w:ascii="Times New Roman" w:hAnsi="Times New Roman"/>
          <w:noProof/>
        </w:rPr>
        <w:t xml:space="preserve">, kdy se hospodářské rozdíly stávají politicky zakořeněnými a rozdělují společnost. </w:t>
      </w:r>
      <w:r>
        <w:rPr>
          <w:noProof/>
        </w:rPr>
        <w:t xml:space="preserve"> </w:t>
      </w:r>
    </w:p>
    <w:p>
      <w:pPr>
        <w:pStyle w:val="ListParagraph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</w:rPr>
        <w:t>Další postup: nový akční plán EU pro lidská práva a demokracii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Nový akční plán stanoví ambice EU a stanovuje prioritní akce v oblasti pěti provázaných a vzájemně se posilujících</w:t>
      </w:r>
      <w:r>
        <w:rPr>
          <w:rFonts w:ascii="Times New Roman" w:hAnsi="Times New Roman"/>
          <w:b/>
          <w:noProof/>
        </w:rPr>
        <w:t xml:space="preserve"> směrů činnosti</w:t>
      </w:r>
      <w:r>
        <w:rPr>
          <w:rFonts w:ascii="Times New Roman" w:hAnsi="Times New Roman"/>
          <w:noProof/>
        </w:rPr>
        <w:t xml:space="preserve">: 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964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ochrana a posilování postavení jednotlivců;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964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budování odolné, inkluzivní a demokratické společnosti;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964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podpora globálního systému lidských práv a demokracie;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964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nové technologie: využívání příležitostí a řešení výzev a</w:t>
      </w:r>
    </w:p>
    <w:p>
      <w:pPr>
        <w:pStyle w:val="ListParagraph"/>
        <w:numPr>
          <w:ilvl w:val="0"/>
          <w:numId w:val="4"/>
        </w:numPr>
        <w:spacing w:after="240" w:line="240" w:lineRule="auto"/>
        <w:ind w:left="964" w:hanging="39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dosahování výsledků prostřednictvím spolupráce.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Těchto pět směrů činnosti bude rozvinuto v novém akčním plánu, aby byl zajištěn strategický, zastřešující směr. Akční plán stanoví rámec, který delegacím a úřadům EU, jakož i velvyslanectvím členských států umožní určit konkrétní operativní opatření </w:t>
      </w:r>
      <w:r>
        <w:rPr>
          <w:rFonts w:ascii="Times New Roman" w:hAnsi="Times New Roman"/>
          <w:b/>
          <w:noProof/>
        </w:rPr>
        <w:t>na úrovni jednotlivých zemí, regionů a na mnohostranné úrovni</w:t>
      </w:r>
      <w:r>
        <w:rPr>
          <w:rFonts w:ascii="Times New Roman" w:hAnsi="Times New Roman"/>
          <w:noProof/>
        </w:rPr>
        <w:t xml:space="preserve"> s ohledem na místní podmínky a specifika.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 účelem naplnění těchto pěti nových směrů činnosti EU využije </w:t>
      </w:r>
      <w:r>
        <w:rPr>
          <w:rFonts w:ascii="Times New Roman" w:hAnsi="Times New Roman"/>
          <w:b/>
          <w:noProof/>
        </w:rPr>
        <w:t>širokou škálu politik a nástrojů</w:t>
      </w:r>
      <w:r>
        <w:rPr>
          <w:rFonts w:ascii="Times New Roman" w:hAnsi="Times New Roman"/>
          <w:noProof/>
        </w:rPr>
        <w:t>, které má k dispozici, aby podpořila a ochránila lidská práva, demokracii a právní stát. Patří mezi ně veřejná diplomacie a komunikační kampaně, prohlášení EU, jakož i tematické rezoluce a rezoluce týkající se jednotlivých zemí na mnohostranných fórech o lidských právech. Zahrnují rovněž diskrétnější diplomatické nástroje, jako například demarše, politické dialogy, pravidelné dialogy o lidských právech a dialog o odvětvové politice. Během let se ukázalo, že klíčovým nástrojem pro prosazování agendy EU v oblasti lidských práv jakožto součásti jejích širších politických vztahů jsou dialogy o lidských právech navazované s čím dál větším počtem zemí.</w:t>
      </w:r>
    </w:p>
    <w:p>
      <w:pPr>
        <w:spacing w:after="24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tomto novém světě je komunikace o lidských právech velmi důležitá. Ačkoli je stále nutné ohrazovat se proti porušování lidských práv, zásadní význam má rovněž kladný obraz lidských práv. V polarizovaném informačním prostředí, kde čím dál významnější úlohu plní sociální média, tento úkol vyžaduje konsolidované úsilí. </w:t>
      </w:r>
    </w:p>
    <w:p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Nový akční plán využije </w:t>
      </w:r>
      <w:r>
        <w:rPr>
          <w:rFonts w:ascii="Times New Roman" w:hAnsi="Times New Roman"/>
          <w:b/>
          <w:noProof/>
        </w:rPr>
        <w:t>příležitostí nabízených novým víceletým finančním rámcem (VFR)</w:t>
      </w:r>
      <w:r>
        <w:rPr>
          <w:rFonts w:ascii="Times New Roman" w:hAnsi="Times New Roman"/>
          <w:noProof/>
        </w:rPr>
        <w:t>, zejména větší flexibility k zajištění soudržnosti mezi spoluprací v jednotlivých zemích a podporou pro organizace zabývající se lidskými právy a občanskou společností. Na náhlé zlepšení či zhoršení lidských práv a demokracie by EU měla reagovat přiměřeně a vyvážit svou podporu pro vládní instituce a občanskou společnost.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Co je důležité: akční plán bude usilovat o posílení </w:t>
      </w:r>
      <w:r>
        <w:rPr>
          <w:rFonts w:ascii="Times New Roman" w:hAnsi="Times New Roman"/>
          <w:b/>
          <w:noProof/>
        </w:rPr>
        <w:t>soudržnosti a o překonání hranic mezi oblastmi vnitřních i vnějších politik</w:t>
      </w:r>
      <w:r>
        <w:rPr>
          <w:rFonts w:ascii="Times New Roman" w:hAnsi="Times New Roman"/>
          <w:noProof/>
        </w:rPr>
        <w:t>. EU zvýší úsilí o začlenění ochrany lidských práv, demokracie a právního státu do všech oblastí vnější činnosti. Budou posíleny například synergie mezi obchodní politikou a politikou v oblasti lidských práv, přičemž se bude vycházet z činností vykonaných v rámci opatření EU týkajících se obchodních preferencí. Lidská práva budou začleněna rovněž do vnitřních politik, zejména do prioritních oblastí v rámci Zelené dohody (jako je například životní prostředí), jakož i do oblastí migrace a bezpečnosti, přičemž přístup k rozvoji založený na lidských právech bude rozšířen do dalších oblastí vnější politiky.</w:t>
      </w:r>
    </w:p>
    <w:p>
      <w:pPr>
        <w:spacing w:after="24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</w:rPr>
        <w:t xml:space="preserve">EU bude usilovat o to, aby se stala </w:t>
      </w:r>
      <w:r>
        <w:rPr>
          <w:rFonts w:ascii="Times New Roman" w:hAnsi="Times New Roman"/>
          <w:b/>
          <w:noProof/>
        </w:rPr>
        <w:t xml:space="preserve">rychlejším a účinnějším aktérem </w:t>
      </w:r>
      <w:r>
        <w:rPr>
          <w:rFonts w:ascii="Times New Roman" w:hAnsi="Times New Roman"/>
          <w:noProof/>
        </w:rPr>
        <w:t>v oblasti lidských práv na úrovni jednotlivých zemí tam, kde je to nejdůležitější. Nový akční plán bude usilovat o posílení postavení aktérů pohybujících se v daném prostředí. V této souvislosti hrají zásadní roli, jež se bude dále vyvíjet, vedoucí představitelé delegací EU jakožto aktéři, kteří prosazování lidských práv a demokracie podporují a umožňují. Klíčovým partnerem pro dosažení udržitelné změny a pro monitorování a přezkum pokroku zůstává občanská společnost.</w:t>
      </w:r>
    </w:p>
    <w:p>
      <w:pPr>
        <w:spacing w:after="24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Účinné provádění akčního plánu bude vyžadovat </w:t>
      </w:r>
      <w:r>
        <w:rPr>
          <w:rFonts w:ascii="Times New Roman" w:hAnsi="Times New Roman"/>
          <w:b/>
          <w:noProof/>
        </w:rPr>
        <w:t>jednotnější přístup</w:t>
      </w:r>
      <w:r>
        <w:rPr>
          <w:rFonts w:ascii="Times New Roman" w:hAnsi="Times New Roman"/>
          <w:noProof/>
        </w:rPr>
        <w:t xml:space="preserve">, a to i ze strany členských států, což zajistí větší soudržnost i dopad zapojení EU na všech úrovních a napříč všemi nástroji a politikami. Zvláštní zástupce EU pro lidská práva zůstane v souladu se svým mandátem klíčovým politickým aktérem a bude plnit klíčovou úlohu v dynamickém provádění akčního plánu v zájmu dosažení udržitelného pokroku. </w:t>
      </w:r>
    </w:p>
    <w:p>
      <w:pPr>
        <w:spacing w:after="240" w:line="240" w:lineRule="auto"/>
        <w:jc w:val="both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702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https://www.consilium.europa.eu/uedocs/cms_data/docs/pressdata/EN/foraff/131181.pdf</w:t>
        </w:r>
      </w:hyperlink>
      <w:r>
        <w:t xml:space="preserve"> </w:t>
      </w:r>
    </w:p>
  </w:footnote>
  <w:footnote w:id="2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2" w:history="1">
        <w:r>
          <w:rPr>
            <w:rStyle w:val="Hyperlink"/>
            <w:rFonts w:ascii="Times New Roman" w:hAnsi="Times New Roman"/>
          </w:rPr>
          <w:t>https://eeas.europa.eu/sites/eeas/files/eu_action_plan_on_human_rights_and_democracy_en_0.pdf</w:t>
        </w:r>
      </w:hyperlink>
      <w:r>
        <w:rPr>
          <w:rFonts w:ascii="Times New Roman" w:hAnsi="Times New Roman"/>
        </w:rP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https://data.consilium.europa.eu/doc/document/ST-12836-2019-INIT/cs/pdf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5C0"/>
    <w:multiLevelType w:val="hybridMultilevel"/>
    <w:tmpl w:val="64D24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289"/>
    <w:multiLevelType w:val="hybridMultilevel"/>
    <w:tmpl w:val="44A865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6C7D"/>
    <w:multiLevelType w:val="hybridMultilevel"/>
    <w:tmpl w:val="7C8C9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C69D9"/>
    <w:multiLevelType w:val="hybridMultilevel"/>
    <w:tmpl w:val="F16E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70E48"/>
    <w:multiLevelType w:val="hybridMultilevel"/>
    <w:tmpl w:val="0E42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31A74EDD-AB21-47F5-AAB4-A77A13A5E387"/>
    <w:docVar w:name="LW_COVERPAGE_TYPE" w:val="1"/>
    <w:docVar w:name="LW_CROSSREFERENCE" w:val="&lt;UNUSED&gt;"/>
    <w:docVar w:name="LW_DocType" w:val="NORMAL"/>
    <w:docVar w:name="LW_EMISSION" w:val="25.3.2020"/>
    <w:docVar w:name="LW_EMISSION_ISODATE" w:val="2020-03-25"/>
    <w:docVar w:name="LW_EMISSION_LOCATION" w:val="BRX"/>
    <w:docVar w:name="LW_EMISSION_PREFIX" w:val="V Bruselu dne "/>
    <w:docVar w:name="LW_EMISSION_SUFFIX" w:val=" "/>
    <w:docVar w:name="LW_ID_DOCTYPE_NONLW" w:val="CP-015"/>
    <w:docVar w:name="LW_LANGUE" w:val="CS"/>
    <w:docVar w:name="LW_LEVEL_OF_SENSITIVITY" w:val="Standard treatment"/>
    <w:docVar w:name="LW_NOM.INST" w:val="EVROPSKÁ KOMISE"/>
    <w:docVar w:name="LW_NOM.INST_JOINTDOC" w:val="VYSOKÝ P\u344?EDSTAVITEL _x000b_UNIE PRO ZAHRANI\u268?NÍ_x000b_V\u282?CI A BEZPE\u268?NOSTNÍ _x000b_POLITIKU"/>
    <w:docVar w:name="LW_PART_NBR" w:val="1"/>
    <w:docVar w:name="LW_PART_NBR_TOTAL" w:val="1"/>
    <w:docVar w:name="LW_REF.INST.NEW" w:val="JOIN"/>
    <w:docVar w:name="LW_REF.INST.NEW_ADOPTED" w:val="final"/>
    <w:docVar w:name="LW_REF.INST.NEW_TEXT" w:val="(2020) 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Ak\u269?ní plán EU pro lidská práva a demokracii na období 2020\u8211?2024&lt;/FMT&gt;_x000b_"/>
    <w:docVar w:name="LW_TYPE.DOC.CP" w:val="SPOLE\u268?NÉ SD\u282?LENÍ EVROPSKÉMU PARLAMENTU A RAD\u282?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,WB 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50" w:after="150" w:line="315" w:lineRule="atLeast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,WB 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50" w:after="150" w:line="315" w:lineRule="atLeast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consilium.europa.eu/doc/document/ST-12836-2019-INIT/en/pdf" TargetMode="External"/><Relationship Id="rId2" Type="http://schemas.openxmlformats.org/officeDocument/2006/relationships/hyperlink" Target="https://eeas.europa.eu/sites/eeas/files/eu_action_plan_on_human_rights_and_democracy_en_0.pdf" TargetMode="External"/><Relationship Id="rId1" Type="http://schemas.openxmlformats.org/officeDocument/2006/relationships/hyperlink" Target="https://www.consilium.europa.eu/uedocs/cms_data/docs/pressdata/EN/foraff/1311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D0BA-EEDD-4D22-8FEE-597CA4C5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1971</Words>
  <Characters>11592</Characters>
  <Application>Microsoft Office Word</Application>
  <DocSecurity>0</DocSecurity>
  <Lines>165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2020-03-03T08:09:00Z</cp:lastPrinted>
  <dcterms:created xsi:type="dcterms:W3CDTF">2020-03-21T13:09:00Z</dcterms:created>
  <dcterms:modified xsi:type="dcterms:W3CDTF">2020-04-01T09:43:00Z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CP-015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