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D43C435-66CE-4A7A-B10F-EAE7D810F6A1" style="width:450.7pt;height:333.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szCs w:val="24"/>
        </w:rPr>
      </w:pPr>
      <w:bookmarkStart w:id="1" w:name="_GoBack"/>
      <w:bookmarkEnd w:id="1"/>
      <w:r>
        <w:rPr>
          <w:noProof/>
          <w:szCs w:val="24"/>
        </w:rPr>
        <w:lastRenderedPageBreak/>
        <w:t xml:space="preserve">Introducere </w:t>
      </w:r>
    </w:p>
    <w:p>
      <w:pPr>
        <w:pStyle w:val="ListBullet"/>
        <w:numPr>
          <w:ilvl w:val="0"/>
          <w:numId w:val="0"/>
        </w:numPr>
        <w:spacing w:before="240"/>
        <w:contextualSpacing/>
        <w:rPr>
          <w:noProof/>
          <w:szCs w:val="24"/>
        </w:rPr>
      </w:pPr>
      <w:r>
        <w:rPr>
          <w:noProof/>
          <w:szCs w:val="24"/>
        </w:rPr>
        <w:t>Munca nedeclarată, înțeleasă ca orice activitate remunerată, care este legală în ceea ce privește natura ei, dar nu este declarată autorităților publice</w:t>
      </w:r>
      <w:r>
        <w:rPr>
          <w:rStyle w:val="FootnoteReference"/>
          <w:noProof/>
          <w:szCs w:val="24"/>
        </w:rPr>
        <w:footnoteReference w:id="1"/>
      </w:r>
      <w:r>
        <w:rPr>
          <w:noProof/>
          <w:szCs w:val="24"/>
        </w:rPr>
        <w:t>, poate lua diverse forme, de la o absență totală a documentației până la subraportarea orelor, salarii în plic și activități independente fictive. Munca nedeclarată expune lucrătorii la un număr mare de riscuri, subminează finanțele publice și coeziunea socială mai largă. Pe o piață a forței de muncă aflată în schimbare rapidă și din ce în ce mai mobilă, aceasta accentuează dumpingul social și denaturează concurența loială în statele membre și între acestea. În medie, se estimează că munca nedeclarată reprezintă aproximativ 14,3 % din valoarea adăugată brută (VAB) în sectorul privat din UE, cu variații considerabile între statele membre</w:t>
      </w:r>
      <w:r>
        <w:rPr>
          <w:rStyle w:val="FootnoteReference"/>
          <w:noProof/>
          <w:szCs w:val="24"/>
        </w:rPr>
        <w:footnoteReference w:id="2"/>
      </w:r>
      <w:r>
        <w:rPr>
          <w:noProof/>
          <w:szCs w:val="24"/>
        </w:rPr>
        <w:t>. De asemenea, un sondaj Eurobarometru recent arată că aproximativ unul din 10 europeni (10 %) a raportat că, în ultimul an, a achiziționat bunuri sau servicii despre care crede că au făcut obiectul muncii nedeclarate. 3 % afirmă că ei înșiși au desfășurat activități nedeclarate în ultimele 12 luni, deși o treime dintre europeni cunosc pe cineva care a desfășurat astfel de activități</w:t>
      </w:r>
      <w:r>
        <w:rPr>
          <w:rStyle w:val="FootnoteReference"/>
          <w:noProof/>
          <w:szCs w:val="24"/>
        </w:rPr>
        <w:footnoteReference w:id="3"/>
      </w:r>
      <w:r>
        <w:rPr>
          <w:noProof/>
          <w:szCs w:val="24"/>
        </w:rPr>
        <w:t xml:space="preserve">. </w:t>
      </w:r>
    </w:p>
    <w:p>
      <w:pPr>
        <w:spacing w:before="240" w:after="240" w:line="240" w:lineRule="auto"/>
        <w:jc w:val="both"/>
        <w:rPr>
          <w:noProof/>
          <w:sz w:val="24"/>
          <w:szCs w:val="24"/>
        </w:rPr>
      </w:pPr>
      <w:r>
        <w:rPr>
          <w:rFonts w:ascii="Times New Roman" w:hAnsi="Times New Roman"/>
          <w:noProof/>
          <w:sz w:val="24"/>
          <w:szCs w:val="24"/>
        </w:rPr>
        <w:t xml:space="preserve">Combaterea muncii nedeclarate necesită o abordare cuprinzătoare, care combină politicile din diverse domenii (cum ar fi legislația muncii, securitatea socială, impozitele) și punerea lor în aplicare atât prin măsuri de descurajare (de exemplu, inspecții și sancțiuni), cât și prin măsuri de prevenire (cum ar fi o mai bună informare). Eficacitatea măsurilor de politică variază considerabil de la un stat membru la altul. În plus, deși combaterea muncii nedeclarate este în primul rând responsabilitatea autorităților naționale, această provocare persistentă are o dimensiune transfrontalieră importantă.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Platforma europeană de combatere a muncii nedeclarate a fost lansată în 2016 pentru a intensifica cooperarea între statele membre în materie de combatere a muncii nedeclarate, în conformitate cu Decizia (UE) 2016/344</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Într-un context în care cooperarea transfrontalieră a fost în principal ad hoc, platforma a acționat ca un catalizator al schimbării. Aceasta a reunit autoritățile de aplicare a legii și partenerii sociali din statele membre într-o rețea unică, cu scopul ca aceștia să învețe unii de la alții și să acționeze împreună, contribuind la o piață europeană a forței de muncă mai echitabilă. În acest sens, platforma a contribuit, de asemenea, la realizarea Pilonului european al drepturilor sociale.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În domeniul mobilității forței de muncă, o evoluție recentă importantă a fost instituirea în 2019 a Autorității Europene a Muncii</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(ELA), care va asigura o punere în aplicare echitabilă, simplă și eficace a normelor UE privind mobilitatea forței de muncă. Regulamentul (UE) 2019/1149 al Parlamentului European și al Consiliului din 20 iunie 2019 de instituire a unei Autorități Europene a Muncii prevede integrarea platformei în cadrul ELA sub forma unui grup de lucru permanent, ceea ce va avea loc probabil în 2021</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Această inițiativă va permite activităților platformei din domeniul combaterii muncii nedeclarate să beneficieze de perspectiva mai largă de aplicare a legii și de prevenire a ELA și să dezvolte sinergii cu alte misiuni ale ELA, cum ar fi furnizarea de informații, inspecțiile comune și concertate și consolidarea capacităților. Lansarea, la 2 martie 2020, a primei campanii europene pentru munca declarată, #EU4FairWork, cu participarea ELA, este un pas important în acest sens. </w:t>
      </w:r>
    </w:p>
    <w:p>
      <w:pPr>
        <w:pStyle w:val="Text1"/>
        <w:spacing w:before="240"/>
        <w:ind w:left="0"/>
        <w:rPr>
          <w:noProof/>
          <w:szCs w:val="24"/>
        </w:rPr>
      </w:pPr>
      <w:r>
        <w:rPr>
          <w:noProof/>
          <w:szCs w:val="24"/>
        </w:rPr>
        <w:t>Prezentul raport privind punerea în aplicare și valoarea adăugată a Deciziei (UE) 2016/344 analizează progresele înregistrate în ceea ce privește punerea în aplicare a acesteia, în urma raportului bienal al platformei adoptat în 2018</w:t>
      </w:r>
      <w:r>
        <w:rPr>
          <w:rStyle w:val="FootnoteReference"/>
          <w:noProof/>
          <w:szCs w:val="24"/>
        </w:rPr>
        <w:footnoteReference w:id="7"/>
      </w:r>
      <w:r>
        <w:rPr>
          <w:noProof/>
          <w:szCs w:val="24"/>
        </w:rPr>
        <w:t xml:space="preserve">. În conformitate cu articolul 12 din decizie, raportul evaluează măsura în care platforma a contribuit la realizarea obiectivelor prevăzute la articolul 4, și-a realizat misiunea definită la articolul 5, a realizat activitățile menționate la articolul 6 și a abordat prioritățile stabilite în programele sale de activitate. Raportul integrează rezultatele unui sondaj specific realizat în rândul membrilor platformei în 2019, precum și monitorizarea continuă a activităților platformei. </w:t>
      </w:r>
    </w:p>
    <w:tbl>
      <w:tblPr>
        <w:tblStyle w:val="TableGrid"/>
        <w:tblW w:w="0" w:type="auto"/>
        <w:tblLook w:val="04A0" w:firstRow="1" w:lastRow="0" w:firstColumn="1" w:lastColumn="0" w:noHBand="0" w:noVBand="1"/>
      </w:tblPr>
      <w:tblGrid>
        <w:gridCol w:w="9166"/>
      </w:tblGrid>
      <w:tr>
        <w:tc>
          <w:tcPr>
            <w:tcW w:w="9166" w:type="dxa"/>
          </w:tcPr>
          <w:p>
            <w:pPr>
              <w:pStyle w:val="Text1"/>
              <w:spacing w:before="240"/>
              <w:ind w:left="0"/>
              <w:jc w:val="center"/>
              <w:rPr>
                <w:b/>
                <w:noProof/>
                <w:szCs w:val="24"/>
              </w:rPr>
            </w:pPr>
            <w:r>
              <w:rPr>
                <w:b/>
                <w:noProof/>
                <w:szCs w:val="24"/>
              </w:rPr>
              <w:t>Platforma europeană de combatere a muncii nedeclarate, pe scurt</w:t>
            </w:r>
          </w:p>
          <w:p>
            <w:pPr>
              <w:pStyle w:val="Text1"/>
              <w:spacing w:before="240"/>
              <w:ind w:left="0"/>
              <w:rPr>
                <w:noProof/>
                <w:szCs w:val="24"/>
              </w:rPr>
            </w:pPr>
            <w:r>
              <w:rPr>
                <w:noProof/>
                <w:szCs w:val="24"/>
              </w:rPr>
              <w:t>Platforma europeană de combatere a muncii nedeclarate (denumită în continuare „platforma”) a fost instituită în 2016 pentru a intensifica cooperarea între statele membre, ca răspuns la Rezoluția Consiliului din 2003 și la Comunicarea Comisiei din 2007 privind combaterea muncii nedeclarate</w:t>
            </w:r>
            <w:r>
              <w:rPr>
                <w:rStyle w:val="FootnoteReference"/>
                <w:noProof/>
                <w:szCs w:val="24"/>
              </w:rPr>
              <w:footnoteReference w:id="8"/>
            </w:r>
            <w:r>
              <w:rPr>
                <w:noProof/>
                <w:szCs w:val="24"/>
              </w:rPr>
              <w:t xml:space="preserve">. </w:t>
            </w:r>
          </w:p>
          <w:p>
            <w:pPr>
              <w:pStyle w:val="Text1"/>
              <w:spacing w:before="240"/>
              <w:ind w:left="0"/>
              <w:rPr>
                <w:noProof/>
                <w:szCs w:val="24"/>
              </w:rPr>
            </w:pPr>
            <w:r>
              <w:rPr>
                <w:noProof/>
                <w:szCs w:val="24"/>
              </w:rPr>
              <w:t>Obiectivul său este să contribuie la acțiuni mai eficace la nivelul UE și la nivel național prin a) consolidarea cooperării între autoritățile relevante ale statelor membre și alți actori implicați, b) îmbunătățirea capacității diferitelor autorități relevante și a diferiților actori din statele membre pentru a aborda aspectele transfrontaliere ale muncii nedeclarate, și c) sensibilizarea opiniei publice cu privire la chestiunile legate de munca nedeclarată și încurajarea statelor membre pentru a-și intensifica eforturile (articolul 4, „Obiective”). Aceste obiective ar trebui realizate prin a) schimbul de bune practici și de informații; b) dezvoltarea expertizei și analiză; c) încurajarea și facilitarea abordărilor inovatoare pentru a asigura desfășurarea în mod eficace și eficient a cooperării și a experiențelor de evaluare la nivel transfrontalier; d) contribuția la o înțelegere transsectorială a aspectelor legate de munca nedeclarată (articolul 5, „Misiune”).</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 xml:space="preserve">Platforma reunește peste 50 de părți interesate. Membrii sunt reprezentanți la nivel înalt din ministere și din cadrul autorităților de aplicare a legii (inspectorate de muncă, autorități fiscale și autorități din domeniul asigurărilor sociale), precum și din rândul partenerilor sociali la nivel intersectorial. Aceștia acționează ca un punct de contact unic, stabilind legături cu părțile interesate implicate la nivel național și diseminând rezultatele învățării. Observatorii includ 14 organizații ale partenerilor sociali din sectoare-cheie, precum și Eurofound, Agenția Europeană pentru Securitate și Sănătate în Muncă și Organizația Internațională a Muncii, Norvegia și Islanda, în calitate de membri ai Spațiului Economic European. Biroul, format dintr-un președinte din partea Comisiei și doi copreședinți aleși dintre reprezentanții la nivel înalt, conduce activitatea platformei și oferă o direcție strategică, cu sprijinul secretariatului, localizat în cadrul Comisiei. Adunarea plenară a platformei se întrunește de două ori pe an. </w:t>
            </w:r>
          </w:p>
          <w:p>
            <w:pPr>
              <w:autoSpaceDE w:val="0"/>
              <w:autoSpaceDN w:val="0"/>
              <w:adjustRightInd w:val="0"/>
              <w:spacing w:before="240" w:after="240"/>
              <w:jc w:val="both"/>
              <w:rPr>
                <w:rFonts w:ascii="Times New Roman" w:eastAsia="ECSquareSansPro" w:hAnsi="Times New Roman" w:cs="Times New Roman"/>
                <w:noProof/>
                <w:sz w:val="24"/>
                <w:szCs w:val="24"/>
              </w:rPr>
            </w:pPr>
            <w:r>
              <w:rPr>
                <w:rFonts w:ascii="Times New Roman" w:hAnsi="Times New Roman"/>
                <w:noProof/>
                <w:sz w:val="24"/>
                <w:szCs w:val="24"/>
              </w:rPr>
              <w:t xml:space="preserve">Platforma este sprijinită de un buget anual de 1,35 milioane EUR în cadrul Programului UE pentru ocuparea forței de muncă și inovare socială (EaSI). În plus, în urma unor cereri de propuneri pentru o sumă de 1,67 milioane EUR, au fost sprijinite (prin intermediul EaSI) cinci proiecte de cooperare transfrontalieră privind combaterea muncii nedeclarate, contribuind la obiectivele platformei. </w:t>
            </w:r>
          </w:p>
        </w:tc>
      </w:tr>
    </w:tbl>
    <w:p>
      <w:pPr>
        <w:pStyle w:val="Heading1"/>
        <w:rPr>
          <w:noProof/>
          <w:szCs w:val="24"/>
        </w:rPr>
      </w:pPr>
      <w:r>
        <w:rPr>
          <w:noProof/>
          <w:szCs w:val="24"/>
        </w:rPr>
        <w:t xml:space="preserve">Progresele înregistrate în îndeplinirea misiunii și realizarea activităților platformei </w:t>
      </w:r>
    </w:p>
    <w:p>
      <w:pPr>
        <w:autoSpaceDE w:val="0"/>
        <w:autoSpaceDN w:val="0"/>
        <w:adjustRightInd w:val="0"/>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După ce platforma și-a adoptat programul inițial de lucru, în mai 2016, activitățile au demarat fără probleme. De atunci, aceasta a desfășurat în medie 15 activități anuale și a reunit peste 1 450 de părți interesate cu scopul de a învăța împreună și de a coopera în chestiuni ce variază de la abordări politice promițătoare la structuri organizaționale și acțiuni transfrontaliere. </w:t>
      </w:r>
    </w:p>
    <w:p>
      <w:pPr>
        <w:autoSpaceDE w:val="0"/>
        <w:autoSpaceDN w:val="0"/>
        <w:adjustRightInd w:val="0"/>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Această secțiune prezintă informații în legătură cu aceste activități și cu modul în care ele au contribuit la realizarea misiunii platformei (articolul 5). Secțiunea este structurată și evidențiază modul în care platforma a abordat cele trei priorități strategice identificate în programele sale de lucru pentru perioadele 2017-2018 și 2019-2020</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și anume 1) cooperare și acțiune comună, 2) învățare reciprocă și 3) creșterea nivelului de cunoștințe. </w:t>
      </w:r>
    </w:p>
    <w:p>
      <w:pPr>
        <w:autoSpaceDE w:val="0"/>
        <w:autoSpaceDN w:val="0"/>
        <w:adjustRightInd w:val="0"/>
        <w:spacing w:before="240" w:after="240" w:line="240" w:lineRule="auto"/>
        <w:jc w:val="center"/>
        <w:rPr>
          <w:rFonts w:ascii="Verdana" w:eastAsia="ECSquareSansPro" w:hAnsi="Verdana" w:cs="Times New Roman"/>
          <w:noProof/>
          <w:color w:val="0F5494"/>
          <w:sz w:val="20"/>
          <w:szCs w:val="24"/>
        </w:rPr>
      </w:pPr>
      <w:r>
        <w:rPr>
          <w:rFonts w:ascii="Verdana" w:hAnsi="Verdana"/>
          <w:b/>
          <w:noProof/>
          <w:color w:val="0F5494"/>
          <w:sz w:val="20"/>
          <w:szCs w:val="24"/>
        </w:rPr>
        <w:t>Prezentare generală a activităților platformei începând din 2016</w:t>
      </w:r>
      <w:r>
        <w:rPr>
          <w:rStyle w:val="FootnoteReference"/>
          <w:rFonts w:ascii="Verdana" w:eastAsia="ECSquareSansPro" w:hAnsi="Verdana"/>
          <w:noProof/>
          <w:color w:val="0F5494"/>
          <w:sz w:val="20"/>
          <w:szCs w:val="24"/>
        </w:rPr>
        <w:footnoteReference w:id="10"/>
      </w:r>
    </w:p>
    <w:p>
      <w:pPr>
        <w:autoSpaceDE w:val="0"/>
        <w:autoSpaceDN w:val="0"/>
        <w:adjustRightInd w:val="0"/>
        <w:spacing w:before="240" w:after="240" w:line="240" w:lineRule="auto"/>
        <w:jc w:val="center"/>
        <w:rPr>
          <w:rFonts w:ascii="Times New Roman" w:eastAsia="ECSquareSansPro" w:hAnsi="Times New Roman" w:cs="Times New Roman"/>
          <w:noProof/>
          <w:sz w:val="24"/>
          <w:szCs w:val="24"/>
        </w:rPr>
      </w:pPr>
      <w:r>
        <w:rPr>
          <w:noProof/>
          <w:sz w:val="24"/>
          <w:szCs w:val="24"/>
          <w:lang w:val="en-GB" w:eastAsia="en-GB"/>
        </w:rPr>
        <w:drawing>
          <wp:inline distT="0" distB="0" distL="0" distR="0">
            <wp:extent cx="5730240" cy="3366770"/>
            <wp:effectExtent l="0" t="0" r="381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3366770"/>
                    </a:xfrm>
                    <a:prstGeom prst="rect">
                      <a:avLst/>
                    </a:prstGeom>
                    <a:noFill/>
                  </pic:spPr>
                </pic:pic>
              </a:graphicData>
            </a:graphic>
          </wp:inline>
        </w:drawing>
      </w:r>
    </w:p>
    <w:p>
      <w:pPr>
        <w:autoSpaceDE w:val="0"/>
        <w:autoSpaceDN w:val="0"/>
        <w:adjustRightInd w:val="0"/>
        <w:spacing w:before="240" w:after="240" w:line="240" w:lineRule="auto"/>
        <w:jc w:val="both"/>
        <w:rPr>
          <w:rFonts w:ascii="Times New Roman" w:eastAsia="ECSquareSansPro" w:hAnsi="Times New Roman" w:cs="Times New Roman"/>
          <w:noProof/>
          <w:sz w:val="24"/>
          <w:szCs w:val="24"/>
        </w:rPr>
      </w:pPr>
      <w:r>
        <w:rPr>
          <w:rFonts w:ascii="Times New Roman" w:hAnsi="Times New Roman"/>
          <w:noProof/>
          <w:sz w:val="24"/>
          <w:szCs w:val="24"/>
        </w:rPr>
        <w:t>Conform sondajului din 2019</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majoritatea membrilor și observatorilor din cadrul platformei (84 %) consideră că platforma a înregistrat progrese bune sau foarte bune în direcția realizării misiunii sale. Printre principalele activități care contribuie la aceste progrese se numără: seminarele (84 %), atelierele tematice de evaluare (74 %), grupurile de lucru (68 %), vizitele de învățare pentru personal (45 %). </w:t>
      </w:r>
    </w:p>
    <w:p>
      <w:pPr>
        <w:pStyle w:val="Heading2"/>
        <w:rPr>
          <w:noProof/>
          <w:szCs w:val="24"/>
        </w:rPr>
      </w:pPr>
      <w:r>
        <w:rPr>
          <w:noProof/>
          <w:szCs w:val="24"/>
        </w:rPr>
        <w:t xml:space="preserve">Cooperare și acțiune comună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În perioada cuprinsă între lansarea sa, în 2016, și sfârșitul anului 2019, platforma a organizat </w:t>
      </w:r>
      <w:r>
        <w:rPr>
          <w:rFonts w:ascii="Times New Roman" w:hAnsi="Times New Roman"/>
          <w:b/>
          <w:bCs/>
          <w:noProof/>
          <w:sz w:val="24"/>
          <w:szCs w:val="24"/>
        </w:rPr>
        <w:t>31 de vizite ale personalului și activități comune</w:t>
      </w:r>
      <w:r>
        <w:rPr>
          <w:rFonts w:ascii="Times New Roman" w:hAnsi="Times New Roman"/>
          <w:noProof/>
          <w:sz w:val="24"/>
          <w:szCs w:val="24"/>
        </w:rPr>
        <w:t xml:space="preserve"> în 14 țări gazdă, în cadrul cărora costurile de călătorie și de cazare au fost acoperite prin contractul care sprijină platforma. Acestea au fost utilizate în special pentru a sprijini inspecțiile comune efectuate într-o anumită țară cu participarea altor autorități naționale (42 %), în principal în sectoarele construcțiilor și agriculturii. Alte tipuri de vizite (de exemplu, schimburi de învățare, formare, activități comune) </w:t>
      </w:r>
      <w:r>
        <w:rPr>
          <w:rFonts w:ascii="Times New Roman" w:hAnsi="Times New Roman"/>
          <w:bCs/>
          <w:noProof/>
          <w:sz w:val="24"/>
          <w:szCs w:val="24"/>
        </w:rPr>
        <w:t>au ajutat membrii să dobândească cunoștințe mai aprofundate cu privire la un anumit subiect, o anumită practică sau un anumit proces printr-o experiență de învățare directă și practică. Acestea au abordat în special aspecte legate de structurile organizaționale</w:t>
      </w:r>
      <w:r>
        <w:rPr>
          <w:rFonts w:ascii="Times New Roman" w:hAnsi="Times New Roman"/>
          <w:noProof/>
          <w:sz w:val="24"/>
          <w:szCs w:val="24"/>
        </w:rPr>
        <w:t xml:space="preserve"> ale organismelor de aplicare a legii; evaluarea riscurilor, extragerea de date și analiză; sisteme de informare, baze de date și instrumente online pentru schimbul de informații; detașarea frauduloasă a lucrătorilor. Aproximativ jumătate dintre respondenții la sondajul din 2019 MAR consideră că vizitele de învățare pentru personal reprezintă una dintre primele cinci activități care contribuie la realizarea obiectivelor și a misiunii platformei. </w:t>
      </w:r>
    </w:p>
    <w:tbl>
      <w:tblPr>
        <w:tblStyle w:val="TableGrid"/>
        <w:tblW w:w="9016" w:type="dxa"/>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hAnsi="Times New Roman" w:cs="Times New Roman"/>
                <w:b/>
                <w:bCs/>
                <w:noProof/>
                <w:color w:val="000000"/>
                <w:sz w:val="24"/>
                <w:szCs w:val="24"/>
              </w:rPr>
            </w:pPr>
            <w:r>
              <w:rPr>
                <w:rFonts w:ascii="Times New Roman" w:hAnsi="Times New Roman"/>
                <w:b/>
                <w:bCs/>
                <w:noProof/>
                <w:sz w:val="24"/>
                <w:szCs w:val="24"/>
              </w:rPr>
              <w:t>Sprijinirea unei inspecții comune în sectorul agricol în Spania</w:t>
            </w:r>
          </w:p>
          <w:p>
            <w:pPr>
              <w:spacing w:before="240" w:after="240"/>
              <w:jc w:val="both"/>
              <w:rPr>
                <w:rFonts w:ascii="Times New Roman" w:hAnsi="Times New Roman" w:cs="Times New Roman"/>
                <w:noProof/>
                <w:color w:val="000000"/>
                <w:sz w:val="24"/>
                <w:szCs w:val="24"/>
              </w:rPr>
            </w:pPr>
            <w:r>
              <w:rPr>
                <w:rFonts w:ascii="Times New Roman" w:hAnsi="Times New Roman"/>
                <w:noProof/>
                <w:sz w:val="24"/>
                <w:szCs w:val="24"/>
              </w:rPr>
              <w:t xml:space="preserve">În iulie 2019, Inspectoratul spaniol de muncă a invitat Inspectoratul român de muncă, împreună cu poliția spaniolă și română, să efectueze inspecții comune în timpul sezonului de recoltare a usturoiului în Albacete, cu sprijin operațional din partea platformei. Au fost organizate interviuri și inspecții cu angajatori spanioli, cu agenți temporari spanioli și cu intermediari români. Peste 500 de lucrători au fost identificați și informați în legătură cu drepturile lor. Sunt în curs de desfășurare anchete, patru persoane fiind arestate pentru infracțiuni de trafic de persoane și exploatare a forței de muncă. </w:t>
            </w:r>
          </w:p>
        </w:tc>
      </w:tr>
    </w:tbl>
    <w:p>
      <w:pPr>
        <w:spacing w:before="240" w:after="240" w:line="240" w:lineRule="auto"/>
        <w:jc w:val="both"/>
        <w:rPr>
          <w:rFonts w:ascii="Times New Roman" w:hAnsi="Times New Roman" w:cs="Times New Roman"/>
          <w:bCs/>
          <w:noProof/>
          <w:sz w:val="24"/>
          <w:szCs w:val="24"/>
        </w:rPr>
      </w:pPr>
      <w:r>
        <w:rPr>
          <w:rFonts w:ascii="Times New Roman" w:hAnsi="Times New Roman"/>
          <w:b/>
          <w:bCs/>
          <w:noProof/>
          <w:sz w:val="24"/>
          <w:szCs w:val="24"/>
        </w:rPr>
        <w:t>În total, șapte grupuri de lucru</w:t>
      </w:r>
      <w:r>
        <w:rPr>
          <w:rFonts w:ascii="Times New Roman" w:hAnsi="Times New Roman"/>
          <w:bCs/>
          <w:noProof/>
          <w:sz w:val="24"/>
          <w:szCs w:val="24"/>
        </w:rPr>
        <w:t xml:space="preserve"> au reunit membri ai platformei într-o reflecție comună asupra problemelor fundamentale cu care se confruntă, oferindu-le un rol activ în modelarea activităților platformei. Grupurile au dezvoltat o serie de rezultate practice, cum ar fi o propunere de intensificare a schimbului de informații între autoritățile naționale printr-un potențial modul privind munca nedeclarată în cadrul </w:t>
      </w:r>
      <w:r>
        <w:rPr>
          <w:rStyle w:val="Strong"/>
          <w:rFonts w:ascii="Times New Roman" w:hAnsi="Times New Roman"/>
          <w:noProof/>
          <w:sz w:val="24"/>
          <w:szCs w:val="24"/>
        </w:rPr>
        <w:t>Sistemului de informare al pieței interne</w:t>
      </w:r>
      <w:r>
        <w:rPr>
          <w:rFonts w:ascii="Times New Roman" w:hAnsi="Times New Roman"/>
          <w:bCs/>
          <w:noProof/>
          <w:sz w:val="24"/>
          <w:szCs w:val="24"/>
        </w:rPr>
        <w:t>, precum și printr-un glosar de termeni și măsuri de combatere a muncii nedeclarate.</w:t>
      </w:r>
      <w:r>
        <w:rPr>
          <w:rFonts w:ascii="Times New Roman" w:hAnsi="Times New Roman" w:cs="Times New Roman"/>
          <w:bCs/>
          <w:noProof/>
          <w:sz w:val="24"/>
          <w:szCs w:val="24"/>
          <w:vertAlign w:val="superscript"/>
        </w:rPr>
        <w:footnoteReference w:id="12"/>
      </w:r>
      <w:r>
        <w:rPr>
          <w:rFonts w:ascii="Times New Roman" w:hAnsi="Times New Roman"/>
          <w:bCs/>
          <w:noProof/>
          <w:sz w:val="24"/>
          <w:szCs w:val="24"/>
        </w:rPr>
        <w:t xml:space="preserve"> Alte grupuri de lucru au elaborat programul de lucru al platformei și au răspuns la prioritățile partenerilor naționali și sociali. Majoritatea membrilor platformei (68 %) consideră că grupurile de lucru reprezintă una dintre primele cinci activități care contribuie la realizarea obiectivelor și a misiunii platformei.</w:t>
      </w:r>
    </w:p>
    <w:p>
      <w:pPr>
        <w:pStyle w:val="Heading3"/>
        <w:keepLines/>
        <w:numPr>
          <w:ilvl w:val="0"/>
          <w:numId w:val="0"/>
        </w:numPr>
        <w:spacing w:before="240"/>
        <w:rPr>
          <w:i w:val="0"/>
          <w:noProof/>
          <w:szCs w:val="24"/>
        </w:rPr>
      </w:pPr>
      <w:r>
        <w:rPr>
          <w:i w:val="0"/>
          <w:noProof/>
          <w:szCs w:val="24"/>
        </w:rPr>
        <w:t>În Bulgaria, Cipru, Grecia, Letonia, Lituania, România și Slovacia</w:t>
      </w:r>
      <w:r>
        <w:rPr>
          <w:rStyle w:val="FootnoteReference"/>
          <w:i w:val="0"/>
          <w:noProof/>
          <w:szCs w:val="24"/>
        </w:rPr>
        <w:footnoteReference w:id="13"/>
      </w:r>
      <w:r>
        <w:rPr>
          <w:i w:val="0"/>
          <w:noProof/>
          <w:szCs w:val="24"/>
        </w:rPr>
        <w:t xml:space="preserve"> au fost desfășurate cu succes </w:t>
      </w:r>
      <w:r>
        <w:rPr>
          <w:b/>
          <w:i w:val="0"/>
          <w:noProof/>
          <w:szCs w:val="24"/>
        </w:rPr>
        <w:t>proiecte de asistență reciprocă (PAR)</w:t>
      </w:r>
      <w:r>
        <w:rPr>
          <w:i w:val="0"/>
          <w:noProof/>
          <w:szCs w:val="24"/>
        </w:rPr>
        <w:t>. Acestea le-au oferit membrilor ocazia să beneficieze de consiliere din partea unei echipe de experți din cadrul platformei în domenii strategice ale autorităților de aplicare a legii. Aceste proiecte au apărut adesea în urma priorităților naționale pentru reforma structurală, inclusiv a celor evidențiate prin recomandările specifice fiecărei țări din cadrul semestrului european.</w:t>
      </w:r>
      <w:r>
        <w:rPr>
          <w:noProof/>
          <w:szCs w:val="24"/>
        </w:rPr>
        <w:t xml:space="preserve"> </w:t>
      </w:r>
      <w:r>
        <w:rPr>
          <w:i w:val="0"/>
          <w:noProof/>
          <w:szCs w:val="24"/>
        </w:rPr>
        <w:t xml:space="preserve">O abordare care implică autoreflecție, sprijin practic din partea participanților în cadrul a două vizite și elaborarea unui plan de acțiune a contribuit la generarea unor schimbări semnificative, cum ar fi elaborarea de noi măsuri și o cooperare consolidată între organismele de aplicare a legii. Sondajul din 2019 a indicat faptul că aceasta este una dintre activitățile care au contribuit cel mai mult la îndeplinirea misiunii platformei. </w:t>
      </w:r>
    </w:p>
    <w:tbl>
      <w:tblPr>
        <w:tblStyle w:val="TableGrid"/>
        <w:tblW w:w="9016" w:type="dxa"/>
        <w:tblLook w:val="04A0" w:firstRow="1" w:lastRow="0" w:firstColumn="1" w:lastColumn="0" w:noHBand="0" w:noVBand="1"/>
      </w:tblPr>
      <w:tblGrid>
        <w:gridCol w:w="9016"/>
      </w:tblGrid>
      <w:tr>
        <w:tc>
          <w:tcPr>
            <w:tcW w:w="9016" w:type="dxa"/>
            <w:shd w:val="clear" w:color="auto" w:fill="auto"/>
          </w:tcPr>
          <w:p>
            <w:pPr>
              <w:autoSpaceDE w:val="0"/>
              <w:autoSpaceDN w:val="0"/>
              <w:adjustRightInd w:val="0"/>
              <w:spacing w:before="240" w:after="240"/>
              <w:jc w:val="center"/>
              <w:rPr>
                <w:rFonts w:ascii="Times New Roman" w:eastAsia="ECSquareSansPro" w:hAnsi="Times New Roman" w:cs="Times New Roman"/>
                <w:b/>
                <w:bCs/>
                <w:noProof/>
                <w:sz w:val="24"/>
                <w:szCs w:val="24"/>
              </w:rPr>
            </w:pPr>
            <w:r>
              <w:rPr>
                <w:rFonts w:ascii="Times New Roman" w:hAnsi="Times New Roman"/>
                <w:b/>
                <w:bCs/>
                <w:noProof/>
                <w:sz w:val="24"/>
                <w:szCs w:val="24"/>
              </w:rPr>
              <w:t>Rezultatele asistenței reciproce în Letonia</w:t>
            </w:r>
          </w:p>
          <w:p>
            <w:pPr>
              <w:autoSpaceDE w:val="0"/>
              <w:autoSpaceDN w:val="0"/>
              <w:adjustRightInd w:val="0"/>
              <w:spacing w:before="240" w:after="240"/>
              <w:jc w:val="both"/>
              <w:rPr>
                <w:rFonts w:ascii="Times New Roman" w:eastAsia="ECSquareSansPro" w:hAnsi="Times New Roman" w:cs="Times New Roman"/>
                <w:noProof/>
                <w:sz w:val="24"/>
                <w:szCs w:val="24"/>
              </w:rPr>
            </w:pPr>
            <w:r>
              <w:rPr>
                <w:rFonts w:ascii="Times New Roman" w:hAnsi="Times New Roman"/>
                <w:noProof/>
                <w:sz w:val="24"/>
                <w:szCs w:val="24"/>
              </w:rPr>
              <w:t xml:space="preserve">În urma unei vizite din 2017 în cadrul unui proiect de asistență reciprocă al platformei, </w:t>
            </w:r>
            <w:r>
              <w:rPr>
                <w:rFonts w:ascii="Times New Roman" w:hAnsi="Times New Roman"/>
                <w:bCs/>
                <w:noProof/>
                <w:sz w:val="24"/>
                <w:szCs w:val="24"/>
              </w:rPr>
              <w:t>Inspectoratul de muncă din Letonia</w:t>
            </w:r>
            <w:r>
              <w:rPr>
                <w:rFonts w:ascii="Times New Roman" w:hAnsi="Times New Roman"/>
                <w:noProof/>
                <w:sz w:val="24"/>
                <w:szCs w:val="24"/>
              </w:rPr>
              <w:t xml:space="preserve"> și-a revizuit strategia privind munca nedeclarată, a modernizat obiectivele strategice și a adoptat noi indicatori-cheie de performanță. Rezultatul a fost o trecere către o concentrare mai mare asupra măsurilor preventive. Accentul se pune acum pe transformarea muncii nedeclarate în muncă declarată, 74 % dintre toate cazurile identificate de muncă nedeclarată fiind acum transformate în muncă declarată</w:t>
            </w:r>
            <w:r>
              <w:rPr>
                <w:rStyle w:val="FootnoteReference"/>
                <w:rFonts w:ascii="Times New Roman" w:eastAsia="ECSquareSansPro" w:hAnsi="Times New Roman" w:cs="Times New Roman"/>
                <w:noProof/>
                <w:sz w:val="24"/>
                <w:szCs w:val="24"/>
              </w:rPr>
              <w:footnoteReference w:id="14"/>
            </w:r>
            <w:r>
              <w:rPr>
                <w:rFonts w:ascii="Times New Roman" w:hAnsi="Times New Roman"/>
                <w:noProof/>
                <w:sz w:val="24"/>
                <w:szCs w:val="24"/>
              </w:rPr>
              <w:t xml:space="preserve">. </w:t>
            </w:r>
          </w:p>
        </w:tc>
      </w:tr>
    </w:tbl>
    <w:p>
      <w:pPr>
        <w:pStyle w:val="Heading2"/>
        <w:numPr>
          <w:ilvl w:val="0"/>
          <w:numId w:val="0"/>
        </w:numPr>
        <w:ind w:left="1077"/>
        <w:rPr>
          <w:noProof/>
          <w:szCs w:val="24"/>
        </w:rPr>
      </w:pPr>
    </w:p>
    <w:p>
      <w:pPr>
        <w:pStyle w:val="Heading2"/>
        <w:rPr>
          <w:noProof/>
          <w:szCs w:val="24"/>
        </w:rPr>
      </w:pPr>
      <w:r>
        <w:rPr>
          <w:noProof/>
          <w:szCs w:val="24"/>
        </w:rPr>
        <w:t xml:space="preserve">Învățarea reciprocă </w:t>
      </w:r>
    </w:p>
    <w:p>
      <w:pPr>
        <w:pStyle w:val="NormalWeb"/>
        <w:spacing w:before="240" w:beforeAutospacing="0" w:after="240" w:afterAutospacing="0"/>
        <w:jc w:val="both"/>
        <w:rPr>
          <w:rFonts w:ascii="Times New Roman" w:hAnsi="Times New Roman" w:cs="Times New Roman"/>
          <w:noProof/>
          <w:sz w:val="24"/>
          <w:szCs w:val="24"/>
        </w:rPr>
      </w:pPr>
      <w:r>
        <w:rPr>
          <w:rFonts w:ascii="Times New Roman" w:hAnsi="Times New Roman"/>
          <w:noProof/>
          <w:sz w:val="24"/>
          <w:szCs w:val="24"/>
        </w:rPr>
        <w:t xml:space="preserve">Învățarea reciprocă și schimbul sistematic de informații au fost esențiale pentru activitățile platformei, contribuind la îmbunătățirea eficacității eforturilor de combatere a muncii nedeclarate în UE. </w:t>
      </w:r>
    </w:p>
    <w:p>
      <w:pPr>
        <w:spacing w:before="240" w:after="240" w:line="240" w:lineRule="auto"/>
        <w:jc w:val="both"/>
        <w:rPr>
          <w:rFonts w:ascii="Times New Roman" w:hAnsi="Times New Roman" w:cs="Times New Roman"/>
          <w:bCs/>
          <w:noProof/>
          <w:sz w:val="24"/>
          <w:szCs w:val="24"/>
        </w:rPr>
      </w:pPr>
      <w:r>
        <w:rPr>
          <w:rFonts w:ascii="Times New Roman" w:hAnsi="Times New Roman"/>
          <w:b/>
          <w:bCs/>
          <w:noProof/>
          <w:sz w:val="24"/>
          <w:szCs w:val="24"/>
        </w:rPr>
        <w:t>Seminarele platformei</w:t>
      </w:r>
      <w:r>
        <w:rPr>
          <w:rFonts w:ascii="Times New Roman" w:hAnsi="Times New Roman"/>
          <w:bCs/>
          <w:noProof/>
          <w:sz w:val="24"/>
          <w:szCs w:val="24"/>
        </w:rPr>
        <w:t xml:space="preserve"> au explorat probleme stringente și practici emergente (de exemplu, prevenirea, abordări cuprinzătoare pentru combaterea</w:t>
      </w:r>
      <w:r>
        <w:rPr>
          <w:noProof/>
          <w:sz w:val="24"/>
          <w:szCs w:val="24"/>
        </w:rPr>
        <w:t xml:space="preserve"> </w:t>
      </w:r>
      <w:r>
        <w:rPr>
          <w:rFonts w:ascii="Times New Roman" w:hAnsi="Times New Roman"/>
          <w:bCs/>
          <w:noProof/>
          <w:sz w:val="24"/>
          <w:szCs w:val="24"/>
        </w:rPr>
        <w:t>muncii nedeclarate, sensibilizarea), precum și sectoarele-cheie afectate de munca nedeclarată (de exemplu, construcțiile, agricultura, transporturile). Constatările din urma acestor evenimente au fost incluse în documente ce constituie resurse de învățare, care sunt disponibile publicului pe site-ul platformei</w:t>
      </w:r>
      <w:r>
        <w:rPr>
          <w:rStyle w:val="FootnoteReference"/>
          <w:rFonts w:ascii="Times New Roman" w:hAnsi="Times New Roman" w:cs="Times New Roman"/>
          <w:bCs/>
          <w:noProof/>
          <w:sz w:val="24"/>
          <w:szCs w:val="24"/>
        </w:rPr>
        <w:footnoteReference w:id="15"/>
      </w:r>
      <w:r>
        <w:rPr>
          <w:rFonts w:ascii="Times New Roman" w:hAnsi="Times New Roman"/>
          <w:bCs/>
          <w:noProof/>
          <w:sz w:val="24"/>
          <w:szCs w:val="24"/>
        </w:rPr>
        <w:t xml:space="preserve">. </w:t>
      </w:r>
    </w:p>
    <w:p>
      <w:pPr>
        <w:spacing w:before="240" w:after="24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Șase </w:t>
      </w:r>
      <w:r>
        <w:rPr>
          <w:rFonts w:ascii="Times New Roman" w:hAnsi="Times New Roman"/>
          <w:b/>
          <w:bCs/>
          <w:noProof/>
          <w:sz w:val="24"/>
          <w:szCs w:val="24"/>
        </w:rPr>
        <w:t>ateliere tematice de evaluare</w:t>
      </w:r>
      <w:r>
        <w:rPr>
          <w:rFonts w:ascii="Times New Roman" w:hAnsi="Times New Roman"/>
          <w:noProof/>
          <w:sz w:val="24"/>
          <w:szCs w:val="24"/>
        </w:rPr>
        <w:t xml:space="preserve"> au sprijinit membrii în îmbunătățirea eficienței lor și în intensificarea cooperării transfrontaliere, printr-o învățare reciprocă și prin soluționarea problemelor la un nivel mai aprofundat (care includ o vizită de monitorizare și elaborarea unui set de instrumente pentru practicieni). Temele selectate includ </w:t>
      </w:r>
      <w:r>
        <w:rPr>
          <w:rFonts w:ascii="Times New Roman" w:hAnsi="Times New Roman"/>
          <w:bCs/>
          <w:noProof/>
          <w:sz w:val="24"/>
          <w:szCs w:val="24"/>
        </w:rPr>
        <w:t xml:space="preserve">acorduri bilaterale și memorandumuri de înțelegere; extragerea de date; evaluarea riscurilor; deschiderea către lucrători și întreprinderi; acțiuni concertate și comune la nivel transfrontalier, precum și rolul viitor și profilul de competență al inspectoratelor de muncă. În sondajul din 2019, seminarele platformei (84 %) și atelierele tematice de evaluare (74 %) au fost indicate în mod frecvent ca fiind activități ce contribuie în cea mai mare măsură la îndeplinirea misiunii platformei. </w:t>
      </w:r>
    </w:p>
    <w:tbl>
      <w:tblPr>
        <w:tblStyle w:val="TableGrid"/>
        <w:tblW w:w="0" w:type="auto"/>
        <w:tblLook w:val="04A0" w:firstRow="1" w:lastRow="0" w:firstColumn="1" w:lastColumn="0" w:noHBand="0" w:noVBand="1"/>
      </w:tblPr>
      <w:tblGrid>
        <w:gridCol w:w="9166"/>
      </w:tblGrid>
      <w:tr>
        <w:tc>
          <w:tcPr>
            <w:tcW w:w="9166" w:type="dxa"/>
          </w:tcPr>
          <w:p>
            <w:pPr>
              <w:spacing w:before="240" w:after="240"/>
              <w:jc w:val="center"/>
              <w:rPr>
                <w:rFonts w:ascii="Times New Roman" w:hAnsi="Times New Roman" w:cs="Times New Roman"/>
                <w:b/>
                <w:bCs/>
                <w:noProof/>
                <w:sz w:val="24"/>
                <w:szCs w:val="24"/>
              </w:rPr>
            </w:pPr>
            <w:r>
              <w:rPr>
                <w:rFonts w:ascii="Times New Roman" w:hAnsi="Times New Roman"/>
                <w:b/>
                <w:bCs/>
                <w:noProof/>
                <w:sz w:val="24"/>
                <w:szCs w:val="24"/>
              </w:rPr>
              <w:t>Schimburi de idei și practici eficace transformatoare în Grecia</w:t>
            </w:r>
          </w:p>
          <w:p>
            <w:pPr>
              <w:spacing w:before="240" w:after="240"/>
              <w:jc w:val="both"/>
              <w:rPr>
                <w:rFonts w:ascii="Times New Roman" w:hAnsi="Times New Roman" w:cs="Times New Roman"/>
                <w:bCs/>
                <w:noProof/>
                <w:sz w:val="24"/>
                <w:szCs w:val="24"/>
              </w:rPr>
            </w:pPr>
            <w:r>
              <w:rPr>
                <w:rFonts w:ascii="Times New Roman" w:hAnsi="Times New Roman"/>
                <w:noProof/>
                <w:sz w:val="24"/>
                <w:szCs w:val="24"/>
              </w:rPr>
              <w:t>Atelierul tematic de evaluare pe tema evaluării riscurilor, care a avut loc în Spania în 2018, a inspirat Inspectoratul elen al muncii (HLI) să își perfecționeze instrumentul de analiză a riscurilor pentru a îmbunătăți depistarea angajatorilor ilegali. HLI a utilizat această metodă nouă de evaluare a riscurilor pentru a trimite scrisori de notificare întreprinderilor expuse unui potențial risc. Scrisorile privind inspecțiile anunțate au condus la o creștere cu 31 % a numărului de contracte de muncă pe durată nedeterminată declarate în prima lună după trimiterea scrisorii.</w:t>
            </w:r>
          </w:p>
        </w:tc>
      </w:tr>
    </w:tbl>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În plus, </w:t>
      </w:r>
      <w:r>
        <w:rPr>
          <w:rFonts w:ascii="Times New Roman" w:hAnsi="Times New Roman"/>
          <w:b/>
          <w:noProof/>
          <w:sz w:val="24"/>
          <w:szCs w:val="24"/>
        </w:rPr>
        <w:t>reuniunile plenare bianuale au alocat o zi tematică</w:t>
      </w:r>
      <w:r>
        <w:rPr>
          <w:rFonts w:ascii="Times New Roman" w:hAnsi="Times New Roman"/>
          <w:noProof/>
          <w:sz w:val="24"/>
          <w:szCs w:val="24"/>
        </w:rPr>
        <w:t xml:space="preserve"> pentru a dezbate un anumit domeniu al muncii nedeclarate și abordările politice cu potențial succes. Printre acestea se numără prioritățile evidențiate în Decizia de instituire a platformei, cum ar fi societățile de tip „cutie poștală”, protecția datelor și schimbul de date.</w:t>
      </w:r>
    </w:p>
    <w:p>
      <w:pPr>
        <w:pStyle w:val="Heading2"/>
        <w:rPr>
          <w:noProof/>
          <w:szCs w:val="24"/>
        </w:rPr>
      </w:pPr>
      <w:r>
        <w:rPr>
          <w:noProof/>
          <w:szCs w:val="24"/>
        </w:rPr>
        <w:t xml:space="preserve">Creșterea nivelului de cunoștințe </w:t>
      </w:r>
    </w:p>
    <w:p>
      <w:pPr>
        <w:pStyle w:val="NormalWeb"/>
        <w:spacing w:before="240" w:beforeAutospacing="0" w:after="240" w:afterAutospacing="0"/>
        <w:jc w:val="both"/>
        <w:rPr>
          <w:rFonts w:ascii="Times New Roman" w:hAnsi="Times New Roman" w:cs="Times New Roman"/>
          <w:noProof/>
          <w:color w:val="000000"/>
          <w:sz w:val="24"/>
          <w:szCs w:val="24"/>
        </w:rPr>
      </w:pPr>
      <w:r>
        <w:rPr>
          <w:rFonts w:ascii="Times New Roman" w:hAnsi="Times New Roman"/>
          <w:bCs/>
          <w:noProof/>
          <w:sz w:val="24"/>
          <w:szCs w:val="24"/>
        </w:rPr>
        <w:t xml:space="preserve">Găsirea de soluții pentru combaterea muncii nedeclarate este un proces complex, iar extinderea bazei de cunoștințe în toate aspectele sale contribuie la expertiza actorilor relevanți în chestiuni specifice legate de munca nedeclarată. </w:t>
      </w:r>
      <w:r>
        <w:rPr>
          <w:rFonts w:ascii="Times New Roman" w:hAnsi="Times New Roman"/>
          <w:noProof/>
          <w:sz w:val="24"/>
          <w:szCs w:val="24"/>
        </w:rPr>
        <w:t xml:space="preserve">Platforma a generat </w:t>
      </w:r>
      <w:r>
        <w:rPr>
          <w:rFonts w:ascii="Times New Roman" w:hAnsi="Times New Roman"/>
          <w:b/>
          <w:noProof/>
          <w:sz w:val="24"/>
          <w:szCs w:val="24"/>
        </w:rPr>
        <w:t>cunoștințe noi</w:t>
      </w:r>
      <w:r>
        <w:rPr>
          <w:rFonts w:ascii="Times New Roman" w:hAnsi="Times New Roman"/>
          <w:noProof/>
          <w:sz w:val="24"/>
          <w:szCs w:val="24"/>
        </w:rPr>
        <w:t xml:space="preserve"> cu privire la tipuri specifice de muncă nedeclarată (de exemplu, salariile în plic, munca nedeclarată din cadrul economiei colaborative a platformelor, activitatea independentă fictivă), precum și măsuri pentru prevenirea și descurajarea acestora, cu peste 100 de resurse de învățare și 120 de fișe care prezintă bune practici. </w:t>
      </w:r>
    </w:p>
    <w:p>
      <w:pPr>
        <w:pStyle w:val="NormalWeb"/>
        <w:spacing w:before="240" w:beforeAutospacing="0" w:after="240" w:afterAutospacing="0"/>
        <w:jc w:val="both"/>
        <w:rPr>
          <w:rFonts w:ascii="Times New Roman" w:hAnsi="Times New Roman" w:cs="Times New Roman"/>
          <w:bCs/>
          <w:noProof/>
          <w:sz w:val="24"/>
          <w:szCs w:val="24"/>
        </w:rPr>
      </w:pPr>
      <w:r>
        <w:rPr>
          <w:rFonts w:ascii="Times New Roman" w:hAnsi="Times New Roman"/>
          <w:bCs/>
          <w:noProof/>
          <w:sz w:val="24"/>
          <w:szCs w:val="24"/>
        </w:rPr>
        <w:t xml:space="preserve">În total, au fost publicate </w:t>
      </w:r>
      <w:r>
        <w:rPr>
          <w:rFonts w:ascii="Times New Roman" w:hAnsi="Times New Roman"/>
          <w:b/>
          <w:bCs/>
          <w:noProof/>
          <w:sz w:val="24"/>
          <w:szCs w:val="24"/>
        </w:rPr>
        <w:t>14 studii și sondaje</w:t>
      </w:r>
      <w:r>
        <w:rPr>
          <w:rFonts w:ascii="Times New Roman" w:hAnsi="Times New Roman"/>
          <w:bCs/>
          <w:noProof/>
          <w:sz w:val="24"/>
          <w:szCs w:val="24"/>
        </w:rPr>
        <w:t>, care au contribuit la o abordare bazată într-o măsură mai mare pe probe. Acestea au sintetizat expertiza existentă și au generat cunoștințe noi cu privire la tipurile specifice de muncă nedeclarată, noile tendințe și abordările politice. În conformitate cu prioritățile stabilite în decizie, printre punctele centrale ale acestor studii se numără activitatea independentă fictivă, munca subdeclarată, protecția datelor și schimbul de informații, abordările preventive, cooperarea transfrontalieră și documentarea poveștilor privind angajamentul de succes al partenerilor sociali. Studiile și sondajele realizate de platformă au valorificat experiențele și know-how-ul colective pentru a prezenta soluții bazate pe probe. Cu toate acestea, doar 32 % dintre membrii platformei le poziționează printre primele cinci activități care contribuie la realizarea obiectivelor și a misiunii platformei. S-a sugerat traducerea, ca o modalitate de a îmbunătăți utilitatea acestora.</w:t>
      </w:r>
    </w:p>
    <w:tbl>
      <w:tblPr>
        <w:tblStyle w:val="TableGrid"/>
        <w:tblW w:w="0" w:type="auto"/>
        <w:tblLook w:val="04A0" w:firstRow="1" w:lastRow="0" w:firstColumn="1" w:lastColumn="0" w:noHBand="0" w:noVBand="1"/>
      </w:tblPr>
      <w:tblGrid>
        <w:gridCol w:w="9242"/>
      </w:tblGrid>
      <w:tr>
        <w:tc>
          <w:tcPr>
            <w:tcW w:w="9242" w:type="dxa"/>
          </w:tcPr>
          <w:p>
            <w:pPr>
              <w:spacing w:before="240" w:after="240"/>
              <w:jc w:val="center"/>
              <w:rPr>
                <w:rFonts w:ascii="Times New Roman" w:hAnsi="Times New Roman" w:cs="Times New Roman"/>
                <w:b/>
                <w:noProof/>
                <w:sz w:val="24"/>
                <w:szCs w:val="24"/>
              </w:rPr>
            </w:pPr>
            <w:r>
              <w:rPr>
                <w:rFonts w:ascii="Times New Roman" w:hAnsi="Times New Roman"/>
                <w:b/>
                <w:noProof/>
                <w:sz w:val="24"/>
                <w:szCs w:val="24"/>
              </w:rPr>
              <w:t>Amploarea muncii nedeclarate</w:t>
            </w:r>
          </w:p>
          <w:p>
            <w:pPr>
              <w:spacing w:before="240" w:after="240"/>
              <w:jc w:val="both"/>
              <w:rPr>
                <w:rFonts w:ascii="Times New Roman" w:hAnsi="Times New Roman" w:cs="Times New Roman"/>
                <w:noProof/>
                <w:sz w:val="24"/>
                <w:szCs w:val="24"/>
              </w:rPr>
            </w:pPr>
            <w:r>
              <w:rPr>
                <w:rFonts w:ascii="Times New Roman" w:hAnsi="Times New Roman"/>
                <w:noProof/>
                <w:sz w:val="24"/>
                <w:szCs w:val="24"/>
              </w:rPr>
              <w:t>Amploarea muncii nedeclarate în Europa este dificil de estimat, având în vedere că, prin definiție, aceasta este o activitate ascunsă. Ca un prim pas, fișele informative au prezentat o sinteză a caracteristicilor muncii nedeclarate în toate statele membre ale UE și a instituțiilor implicate în abordarea acesteia</w:t>
            </w:r>
            <w:r>
              <w:rPr>
                <w:rStyle w:val="FootnoteReference"/>
                <w:rFonts w:ascii="Times New Roman" w:hAnsi="Times New Roman"/>
                <w:noProof/>
                <w:sz w:val="24"/>
                <w:szCs w:val="24"/>
              </w:rPr>
              <w:footnoteReference w:id="16"/>
            </w:r>
            <w:r>
              <w:rPr>
                <w:rFonts w:ascii="Times New Roman" w:hAnsi="Times New Roman"/>
                <w:noProof/>
                <w:sz w:val="24"/>
                <w:szCs w:val="24"/>
              </w:rPr>
              <w:t>. De asemenea, în 2017 a fost elaborat un studiu privind amploarea muncii nedeclarate în Europa. Pe baza discrepanțelor dintre aporturile de forță muncă raportate din partea lucrătorilor și a întreprinderilor, studiul a estimat că 9,3 % din aportul total de forță de muncă din sectorul privat din UE este muncă nedeclarată și că munca nedeclarată constituie 14,3 % din valoarea adăugată brută (VAB) în sectorul privat</w:t>
            </w:r>
            <w:r>
              <w:rPr>
                <w:rStyle w:val="FootnoteReference"/>
                <w:rFonts w:ascii="Times New Roman" w:hAnsi="Times New Roman"/>
                <w:noProof/>
                <w:sz w:val="24"/>
                <w:szCs w:val="24"/>
              </w:rPr>
              <w:footnoteReference w:id="17"/>
            </w:r>
            <w:r>
              <w:rPr>
                <w:rFonts w:ascii="Times New Roman" w:hAnsi="Times New Roman"/>
                <w:noProof/>
                <w:sz w:val="24"/>
                <w:szCs w:val="24"/>
              </w:rPr>
              <w:t xml:space="preserve">. Cu toate acestea, există diferențe semnificative în ceea ce privește amploarea sa la nivelul statelor membre, aceasta variind între 7 % și 27 % din VAB. </w:t>
            </w:r>
          </w:p>
        </w:tc>
      </w:tr>
    </w:tbl>
    <w:p>
      <w:pPr>
        <w:pStyle w:val="Heading2"/>
        <w:numPr>
          <w:ilvl w:val="0"/>
          <w:numId w:val="0"/>
        </w:numPr>
        <w:ind w:left="1077"/>
        <w:rPr>
          <w:noProof/>
          <w:szCs w:val="24"/>
        </w:rPr>
      </w:pPr>
    </w:p>
    <w:p>
      <w:pPr>
        <w:pStyle w:val="Heading2"/>
        <w:rPr>
          <w:noProof/>
          <w:szCs w:val="24"/>
        </w:rPr>
      </w:pPr>
      <w:r>
        <w:rPr>
          <w:noProof/>
          <w:szCs w:val="24"/>
        </w:rPr>
        <w:t>Activități de comunicare</w:t>
      </w:r>
    </w:p>
    <w:p>
      <w:pPr>
        <w:pStyle w:val="Text1"/>
        <w:spacing w:before="240"/>
        <w:ind w:left="0"/>
        <w:rPr>
          <w:noProof/>
          <w:szCs w:val="24"/>
        </w:rPr>
      </w:pPr>
      <w:r>
        <w:rPr>
          <w:noProof/>
          <w:szCs w:val="24"/>
        </w:rPr>
        <w:t xml:space="preserve">Platforma a dezvoltat resurse bazate pe probe cu privire la cea mai bună modalitate de abordare a muncii nedeclarate. </w:t>
      </w:r>
      <w:r>
        <w:rPr>
          <w:b/>
          <w:bCs/>
          <w:noProof/>
          <w:szCs w:val="24"/>
        </w:rPr>
        <w:t>Biblioteca sa virtuală</w:t>
      </w:r>
      <w:r>
        <w:rPr>
          <w:rStyle w:val="FootnoteReference"/>
          <w:noProof/>
          <w:szCs w:val="24"/>
        </w:rPr>
        <w:footnoteReference w:id="18"/>
      </w:r>
      <w:r>
        <w:rPr>
          <w:noProof/>
          <w:szCs w:val="24"/>
        </w:rPr>
        <w:t xml:space="preserve"> conține informații și practici valoroase generate de activitatea platformei. Un buletin informativ bianual, trimis după reuniunile plenare, oferă informații actualizate părților interesate cu privire la platformă, activități și membri. Pentru comunicarea internă, membrii și observatorii din cadrul platformei partajează documente și anunță evenimente în propriul lor spațiu de lucru colaborativ. La 2 martie, platforma a lansat # EU4FairWork, prima campanie europeană pentru munca declarată. </w:t>
      </w:r>
    </w:p>
    <w:p>
      <w:pPr>
        <w:pStyle w:val="Heading2"/>
        <w:rPr>
          <w:noProof/>
          <w:szCs w:val="24"/>
        </w:rPr>
      </w:pPr>
      <w:r>
        <w:rPr>
          <w:noProof/>
          <w:szCs w:val="24"/>
        </w:rPr>
        <w:t>Domeniul de aplicare tematic al platformei: colectarea de probe privind o mare varietate de aspecte</w:t>
      </w:r>
    </w:p>
    <w:p>
      <w:pPr>
        <w:jc w:val="both"/>
        <w:rPr>
          <w:rFonts w:ascii="Times New Roman" w:hAnsi="Times New Roman" w:cs="Times New Roman"/>
          <w:noProof/>
          <w:sz w:val="24"/>
          <w:szCs w:val="24"/>
        </w:rPr>
      </w:pPr>
      <w:r>
        <w:rPr>
          <w:rFonts w:ascii="Times New Roman" w:hAnsi="Times New Roman"/>
          <w:noProof/>
          <w:sz w:val="24"/>
          <w:szCs w:val="24"/>
        </w:rPr>
        <w:t xml:space="preserve">În primii săi ani de activitate, platforma a consolidat cunoștințele și a colectat probe suplimentare privind o mare varietate de aspecte, de la abordări în materie de politică până la management strategic și cooperare transfrontalieră. </w:t>
      </w:r>
    </w:p>
    <w:p>
      <w:pPr>
        <w:rPr>
          <w:rFonts w:ascii="Times New Roman" w:hAnsi="Times New Roman" w:cs="Times New Roman"/>
          <w:noProof/>
          <w:sz w:val="24"/>
          <w:szCs w:val="24"/>
        </w:rPr>
      </w:pPr>
      <w:r>
        <w:rPr>
          <w:noProof/>
          <w:sz w:val="24"/>
          <w:szCs w:val="24"/>
        </w:rPr>
        <w:br w:type="page"/>
      </w:r>
    </w:p>
    <w:p>
      <w:pPr>
        <w:jc w:val="both"/>
        <w:rPr>
          <w:rFonts w:ascii="Times New Roman" w:hAnsi="Times New Roman" w:cs="Times New Roman"/>
          <w:noProof/>
          <w:sz w:val="24"/>
          <w:szCs w:val="24"/>
        </w:rPr>
      </w:pPr>
    </w:p>
    <w:p>
      <w:pPr>
        <w:jc w:val="center"/>
        <w:rPr>
          <w:rFonts w:ascii="Verdana" w:hAnsi="Verdana" w:cs="Times New Roman"/>
          <w:b/>
          <w:noProof/>
          <w:color w:val="0F5494"/>
          <w:sz w:val="20"/>
          <w:szCs w:val="24"/>
        </w:rPr>
      </w:pPr>
      <w:r>
        <w:rPr>
          <w:rFonts w:ascii="Verdana" w:hAnsi="Verdana"/>
          <w:b/>
          <w:noProof/>
          <w:color w:val="0F5494"/>
          <w:sz w:val="20"/>
          <w:szCs w:val="24"/>
        </w:rPr>
        <w:t>Câteva subiecte-cheie abordate prin intermediul activităților de învățare</w:t>
      </w:r>
    </w:p>
    <w:p>
      <w:pPr>
        <w:jc w:val="center"/>
        <w:rPr>
          <w:rFonts w:ascii="Verdana" w:hAnsi="Verdana" w:cs="Times New Roman"/>
          <w:b/>
          <w:noProof/>
          <w:color w:val="0F5494"/>
          <w:sz w:val="24"/>
          <w:szCs w:val="24"/>
        </w:rPr>
      </w:pPr>
      <w:r>
        <w:rPr>
          <w:noProof/>
          <w:sz w:val="24"/>
          <w:szCs w:val="24"/>
          <w:lang w:val="en-GB" w:eastAsia="en-GB"/>
        </w:rPr>
        <w:drawing>
          <wp:inline distT="0" distB="0" distL="0" distR="0">
            <wp:extent cx="4820285" cy="180467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0285" cy="1804670"/>
                    </a:xfrm>
                    <a:prstGeom prst="rect">
                      <a:avLst/>
                    </a:prstGeom>
                    <a:noFill/>
                  </pic:spPr>
                </pic:pic>
              </a:graphicData>
            </a:graphic>
          </wp:inline>
        </w:drawing>
      </w:r>
    </w:p>
    <w:p>
      <w:pPr>
        <w:jc w:val="center"/>
        <w:rPr>
          <w:b/>
          <w:noProof/>
          <w:sz w:val="24"/>
          <w:szCs w:val="24"/>
        </w:rPr>
      </w:pPr>
    </w:p>
    <w:tbl>
      <w:tblPr>
        <w:tblStyle w:val="TableGrid"/>
        <w:tblW w:w="0" w:type="auto"/>
        <w:tblLook w:val="04A0" w:firstRow="1" w:lastRow="0" w:firstColumn="1" w:lastColumn="0" w:noHBand="0" w:noVBand="1"/>
      </w:tblPr>
      <w:tblGrid>
        <w:gridCol w:w="9166"/>
      </w:tblGrid>
      <w:tr>
        <w:tc>
          <w:tcPr>
            <w:tcW w:w="9166" w:type="dxa"/>
          </w:tcPr>
          <w:p>
            <w:pPr>
              <w:spacing w:before="240" w:after="240"/>
              <w:jc w:val="center"/>
              <w:rPr>
                <w:rFonts w:ascii="Times New Roman" w:hAnsi="Times New Roman" w:cs="Times New Roman"/>
                <w:b/>
                <w:noProof/>
                <w:sz w:val="24"/>
                <w:szCs w:val="24"/>
              </w:rPr>
            </w:pPr>
            <w:r>
              <w:rPr>
                <w:rFonts w:ascii="Times New Roman" w:hAnsi="Times New Roman"/>
                <w:b/>
                <w:noProof/>
                <w:sz w:val="24"/>
                <w:szCs w:val="24"/>
              </w:rPr>
              <w:t>Abordări eficace: lecții învățate</w:t>
            </w:r>
          </w:p>
          <w:p>
            <w:pPr>
              <w:spacing w:before="240" w:after="240"/>
              <w:jc w:val="both"/>
              <w:rPr>
                <w:b/>
                <w:noProof/>
                <w:sz w:val="24"/>
                <w:szCs w:val="24"/>
              </w:rPr>
            </w:pPr>
            <w:r>
              <w:rPr>
                <w:rFonts w:ascii="Times New Roman" w:hAnsi="Times New Roman"/>
                <w:noProof/>
                <w:sz w:val="24"/>
                <w:szCs w:val="24"/>
              </w:rPr>
              <w:t xml:space="preserve">Elementele-cheie ale abordărilor de succes, evidențiate în primii ani de funcționare, includ: </w:t>
            </w:r>
          </w:p>
          <w:p>
            <w:pPr>
              <w:spacing w:before="240" w:after="240"/>
              <w:jc w:val="both"/>
              <w:rPr>
                <w:rFonts w:ascii="Times New Roman" w:eastAsia="ECSquareSansPro" w:hAnsi="Times New Roman" w:cs="Times New Roman"/>
                <w:noProof/>
                <w:sz w:val="24"/>
                <w:szCs w:val="24"/>
              </w:rPr>
            </w:pPr>
            <w:r>
              <w:rPr>
                <w:rFonts w:ascii="Times New Roman" w:hAnsi="Times New Roman"/>
                <w:b/>
                <w:bCs/>
                <w:noProof/>
                <w:sz w:val="24"/>
                <w:szCs w:val="24"/>
              </w:rPr>
              <w:t xml:space="preserve">Colaborarea: </w:t>
            </w:r>
            <w:r>
              <w:rPr>
                <w:rFonts w:ascii="Times New Roman" w:hAnsi="Times New Roman"/>
                <w:noProof/>
                <w:sz w:val="24"/>
                <w:szCs w:val="24"/>
              </w:rPr>
              <w:t>Responsabilitatea pentru combaterea muncii nedeclarate revine, de obicei, mai multor departamente guvernamentale, ceea ce poate duce la lipsa unei abordări coordonate. Măsura în care statele membre implică partenerii sociali este deseori limitată la schimburi reciproce și consultări. O abordare strategică între agenții oferă un acces mai bun la date și informații, contribuie la dezvoltarea unei înțelegeri reciproce, a unor strategii comune și a unor acțiuni concrete.</w:t>
            </w:r>
          </w:p>
          <w:p>
            <w:pPr>
              <w:autoSpaceDE w:val="0"/>
              <w:autoSpaceDN w:val="0"/>
              <w:adjustRightInd w:val="0"/>
              <w:spacing w:before="240" w:after="240"/>
              <w:jc w:val="both"/>
              <w:rPr>
                <w:rFonts w:ascii="Times New Roman" w:eastAsia="ECSquareSansPro" w:hAnsi="Times New Roman" w:cs="Times New Roman"/>
                <w:noProof/>
                <w:sz w:val="24"/>
                <w:szCs w:val="24"/>
              </w:rPr>
            </w:pPr>
            <w:r>
              <w:rPr>
                <w:rFonts w:ascii="Times New Roman" w:hAnsi="Times New Roman"/>
                <w:b/>
                <w:noProof/>
                <w:sz w:val="24"/>
                <w:szCs w:val="24"/>
              </w:rPr>
              <w:t xml:space="preserve">Direcționarea eforturilor și a resurselor – evaluarea riscurilor și analiza datelor: </w:t>
            </w:r>
            <w:r>
              <w:rPr>
                <w:rFonts w:ascii="Times New Roman" w:hAnsi="Times New Roman"/>
                <w:noProof/>
                <w:sz w:val="24"/>
                <w:szCs w:val="24"/>
              </w:rPr>
              <w:t xml:space="preserve">Unele state membre au dezvoltat modele de evaluare a riscurilor, permițând autorităților de aplicare a legii să evidențieze cele mai riscante cazuri de muncă nedeclarată. Această abordare asigură direcționarea eficace a resurselor și îmbunătățește ratele de succes ale inspecțiilor. Utilizarea datelor într-un mod mai eficace este o parte esențială a evaluării riscurilor. </w:t>
            </w:r>
          </w:p>
          <w:p>
            <w:pPr>
              <w:spacing w:before="240" w:after="240"/>
              <w:jc w:val="both"/>
              <w:rPr>
                <w:rFonts w:ascii="Times New Roman" w:eastAsia="ECSquareSansPro" w:hAnsi="Times New Roman" w:cs="Times New Roman"/>
                <w:noProof/>
                <w:sz w:val="24"/>
                <w:szCs w:val="24"/>
              </w:rPr>
            </w:pPr>
            <w:r>
              <w:rPr>
                <w:rFonts w:ascii="Times New Roman" w:hAnsi="Times New Roman"/>
                <w:b/>
                <w:noProof/>
                <w:sz w:val="24"/>
                <w:szCs w:val="24"/>
              </w:rPr>
              <w:t xml:space="preserve">Combinarea abordărilor disuasive și preventive: </w:t>
            </w:r>
            <w:r>
              <w:rPr>
                <w:rFonts w:ascii="Times New Roman" w:hAnsi="Times New Roman"/>
                <w:noProof/>
                <w:sz w:val="24"/>
                <w:szCs w:val="24"/>
              </w:rPr>
              <w:t xml:space="preserve">Este necesar să se dezvolte o abordare care să combine controale și acțiuni mai eficace de asigurare a respectării legislației după apariția situațiilor de muncă nedeclarată, cu măsuri de prevenire, în primul rând, a apariției acesteia. Membrii platformei utilizează o serie de abordări preventive diferite, inclusiv stimulente legate de cerere și ofertă, campanii de sensibilizare (destinate angajatorilor, lucrătorilor și publicului), precum și reformarea instituțiilor pentru a sprijini acest lucru. </w:t>
            </w:r>
          </w:p>
          <w:p>
            <w:pPr>
              <w:autoSpaceDE w:val="0"/>
              <w:autoSpaceDN w:val="0"/>
              <w:adjustRightInd w:val="0"/>
              <w:spacing w:before="240" w:after="240"/>
              <w:jc w:val="both"/>
              <w:rPr>
                <w:rFonts w:ascii="Times New Roman" w:hAnsi="Times New Roman" w:cs="Times New Roman"/>
                <w:b/>
                <w:noProof/>
                <w:sz w:val="24"/>
                <w:szCs w:val="24"/>
              </w:rPr>
            </w:pPr>
            <w:r>
              <w:rPr>
                <w:rFonts w:ascii="Times New Roman" w:hAnsi="Times New Roman"/>
                <w:b/>
                <w:bCs/>
                <w:noProof/>
                <w:sz w:val="24"/>
                <w:szCs w:val="24"/>
              </w:rPr>
              <w:t xml:space="preserve">Abordări cuprinzătoare, utilizând o serie de măsuri în paralel: </w:t>
            </w:r>
            <w:r>
              <w:rPr>
                <w:rFonts w:ascii="Times New Roman" w:hAnsi="Times New Roman"/>
                <w:noProof/>
                <w:sz w:val="24"/>
                <w:szCs w:val="24"/>
              </w:rPr>
              <w:t xml:space="preserve">Utilizarea unor măsuri directe și indirecte deopotrivă reprezintă mijlocul cel mai eficace și eficient de a combate munca nedeclarată. O abordare cuprinzătoare este atât strategică, cât și coordonată, utilizând o combinație de abordări directe (cum ar fi inspecțiile la locul de muncă și supravegherea reciprocă) și indirecte (cum ar fi campaniile de sensibilizare și inițiativele educaționale), pentru a contribui la transformarea muncii nedeclarate în muncă declarată. </w:t>
            </w:r>
          </w:p>
        </w:tc>
      </w:tr>
    </w:tbl>
    <w:p>
      <w:pPr>
        <w:pStyle w:val="Text1"/>
        <w:spacing w:before="240"/>
        <w:ind w:left="0"/>
        <w:rPr>
          <w:noProof/>
          <w:szCs w:val="24"/>
        </w:rPr>
      </w:pPr>
      <w:r>
        <w:rPr>
          <w:noProof/>
          <w:szCs w:val="24"/>
        </w:rPr>
        <w:t>Potrivit respondenților la sondajul din 2019, platforma ar trebui, în viitor, să se axeze mai mult pe inițiative de sensibilizare și de consolidare a încrederii (65 % dintre respondenți), pe stimulente pentru desfășurarea de activități declarate</w:t>
      </w:r>
      <w:r>
        <w:rPr>
          <w:rStyle w:val="FootnoteReference"/>
          <w:noProof/>
          <w:szCs w:val="24"/>
        </w:rPr>
        <w:footnoteReference w:id="19"/>
      </w:r>
      <w:r>
        <w:rPr>
          <w:noProof/>
          <w:szCs w:val="24"/>
        </w:rPr>
        <w:t xml:space="preserve"> (55 %) și pe operațiuni la nivel transfrontalier (55 %). Respondenții nu consideră că sunt necesare schimbări majore în ceea ce privește activitățile. Accentul ar trebui să se pună în continuare pe evenimente care reunesc membrii cu scopul de a face schimb de practici în cadrul seminarelor (74 %), al atelierelor tematice de evaluare (65 %), al grupurilor de lucru (61 %) și al vizitelor de învățare pentru personal (52 %). Potrivit răspunsurilor furnizate de 48 % dintre respondenți, ar trebui să se continue schimbul de fișe de bune practici și al poveștilor de succes.</w:t>
      </w:r>
    </w:p>
    <w:p>
      <w:pPr>
        <w:pStyle w:val="Text1"/>
        <w:spacing w:before="240"/>
        <w:ind w:left="0"/>
        <w:rPr>
          <w:noProof/>
          <w:szCs w:val="24"/>
        </w:rPr>
      </w:pPr>
    </w:p>
    <w:p>
      <w:pPr>
        <w:pStyle w:val="Heading1"/>
        <w:rPr>
          <w:noProof/>
          <w:szCs w:val="24"/>
        </w:rPr>
      </w:pPr>
      <w:r>
        <w:rPr>
          <w:noProof/>
          <w:szCs w:val="24"/>
        </w:rPr>
        <w:t xml:space="preserve">Progresele înregistrate în direcția îndeplinirii obiectivelor platformei </w:t>
      </w:r>
    </w:p>
    <w:p>
      <w:pPr>
        <w:pStyle w:val="Text1"/>
        <w:spacing w:before="240"/>
        <w:ind w:left="0"/>
        <w:jc w:val="left"/>
        <w:rPr>
          <w:noProof/>
          <w:szCs w:val="24"/>
        </w:rPr>
      </w:pPr>
      <w:r>
        <w:rPr>
          <w:noProof/>
          <w:szCs w:val="24"/>
        </w:rPr>
        <w:t xml:space="preserve">Această secțiune analizează progresele înregistrate în direcția îndeplinirii obiectivelor platformei în conformitate cu articolul 4 din decizie. </w:t>
      </w:r>
    </w:p>
    <w:p>
      <w:pPr>
        <w:pStyle w:val="Text1"/>
        <w:spacing w:before="240"/>
        <w:ind w:left="0"/>
        <w:jc w:val="center"/>
        <w:rPr>
          <w:rFonts w:ascii="Verdana" w:hAnsi="Verdana"/>
          <w:b/>
          <w:noProof/>
          <w:color w:val="0F5494"/>
          <w:sz w:val="20"/>
          <w:szCs w:val="24"/>
        </w:rPr>
      </w:pPr>
      <w:r>
        <w:rPr>
          <w:rFonts w:ascii="Verdana" w:hAnsi="Verdana"/>
          <w:b/>
          <w:noProof/>
          <w:color w:val="0F5494"/>
          <w:sz w:val="20"/>
          <w:szCs w:val="24"/>
        </w:rPr>
        <w:t>Realizările platformei: o imagine de ansamblu</w:t>
      </w:r>
    </w:p>
    <w:p>
      <w:pPr>
        <w:spacing w:before="240" w:after="240" w:line="240" w:lineRule="auto"/>
        <w:jc w:val="center"/>
        <w:rPr>
          <w:rFonts w:ascii="Times New Roman" w:hAnsi="Times New Roman" w:cs="Times New Roman"/>
          <w:noProof/>
          <w:sz w:val="24"/>
          <w:szCs w:val="24"/>
        </w:rPr>
      </w:pPr>
      <w:r>
        <w:rPr>
          <w:rFonts w:ascii="Times New Roman" w:hAnsi="Times New Roman" w:cs="Times New Roman"/>
          <w:noProof/>
          <w:sz w:val="24"/>
          <w:szCs w:val="24"/>
          <w:lang w:val="en-GB" w:eastAsia="en-GB"/>
        </w:rPr>
        <w:drawing>
          <wp:inline distT="0" distB="0" distL="0" distR="0">
            <wp:extent cx="5057029" cy="225785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88340" cy="2271831"/>
                    </a:xfrm>
                    <a:prstGeom prst="rect">
                      <a:avLst/>
                    </a:prstGeom>
                    <a:noFill/>
                  </pic:spPr>
                </pic:pic>
              </a:graphicData>
            </a:graphic>
          </wp:inline>
        </w:drawing>
      </w:r>
    </w:p>
    <w:p>
      <w:pPr>
        <w:pStyle w:val="Heading2"/>
        <w:rPr>
          <w:noProof/>
          <w:szCs w:val="24"/>
        </w:rPr>
      </w:pPr>
      <w:r>
        <w:rPr>
          <w:noProof/>
          <w:szCs w:val="24"/>
        </w:rPr>
        <w:t>Intensificarea cooperării dintre autoritățile relevante ale statelor membre și alți actori relevanți pentru a combate într-un mod mai eficient și mai eficace munca nedeclarată</w:t>
      </w:r>
    </w:p>
    <w:p>
      <w:pPr>
        <w:rPr>
          <w:rFonts w:ascii="Times New Roman" w:hAnsi="Times New Roman" w:cs="Times New Roman"/>
          <w:i/>
          <w:noProof/>
          <w:sz w:val="24"/>
          <w:szCs w:val="24"/>
        </w:rPr>
      </w:pPr>
      <w:r>
        <w:rPr>
          <w:rFonts w:ascii="Times New Roman" w:hAnsi="Times New Roman"/>
          <w:i/>
          <w:noProof/>
          <w:sz w:val="24"/>
          <w:szCs w:val="24"/>
        </w:rPr>
        <w:t>Construirea unei rețele multidimensionale</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Platforma a reunit peste 50 de părți interesate într-o rețea unică, într-un context în care responsabilitatea pentru combaterea muncii nedeclarate este, de regulă, distribuită între diferite organisme și implicarea partenerilor sociali este neuniformă. Înainte de crearea platformei, cazurile de cooperare la nivelul UE au fost puține și de cele mai multe ori ad hoc (de exemplu, prin intermediul Comitetului inspectorilor de muncă principali, al Comitetului de experți privind detașarea lucrătorilor și al Comitetului pentru ocuparea forței de muncă, care nu se concentrează în mod prioritar asupra combaterii muncii nedeclarate), cu puține schimburi de cunoștințe și cu un nivel scăzut de cooperare.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Platforma a </w:t>
      </w:r>
      <w:r>
        <w:rPr>
          <w:rFonts w:ascii="Times New Roman" w:hAnsi="Times New Roman"/>
          <w:b/>
          <w:noProof/>
          <w:sz w:val="24"/>
          <w:szCs w:val="24"/>
        </w:rPr>
        <w:t>extins rețelele existente și a consolidat cooperarea</w:t>
      </w:r>
      <w:r>
        <w:rPr>
          <w:rFonts w:ascii="Times New Roman" w:hAnsi="Times New Roman"/>
          <w:noProof/>
          <w:sz w:val="24"/>
          <w:szCs w:val="24"/>
        </w:rPr>
        <w:t xml:space="preserve"> în materie de combatere a muncii nedeclarate, atât în interiorul țărilor, cât și peste hotare. Aproape toți respondenții (94 %) la sondajul din 2019 au indicat faptul că activitățile rețelei au contribuit la extinderea rețelelor și a contactelor organizațiilor lor. Majoritatea respondenților (68 %) împărtășesc opinia potrivit căreia platforma a contribuit, de asemenea, la intensificarea cooperării dintre autoritățile relevante ale statelor membre și alți actori relevanți.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Membrii și observatorii au fost în general activi, toți participând la activități. Cu toate acestea, au existat diferite niveluri de implicare și participare în cadrul platformei între țări. Rețeaua este încă în curs de maturizare și există un vast potențial neexploatat pentru membri și observatori, inclusiv pentru partenerii sociali, de a se implica pe deplin și de a disemina mai bine învățarea pentru a obține un grad mai mare de adoptare și un impact mai larg. </w:t>
      </w:r>
    </w:p>
    <w:p>
      <w:pPr>
        <w:spacing w:before="240" w:after="240" w:line="240" w:lineRule="auto"/>
        <w:jc w:val="both"/>
        <w:rPr>
          <w:rFonts w:ascii="Times New Roman" w:hAnsi="Times New Roman" w:cs="Times New Roman"/>
          <w:i/>
          <w:noProof/>
          <w:sz w:val="24"/>
          <w:szCs w:val="24"/>
        </w:rPr>
      </w:pPr>
      <w:r>
        <w:rPr>
          <w:rFonts w:ascii="Times New Roman" w:hAnsi="Times New Roman"/>
          <w:i/>
          <w:noProof/>
          <w:sz w:val="24"/>
          <w:szCs w:val="24"/>
        </w:rPr>
        <w:t>Obținerea unui consens privind adoptarea unor abordări eficace în materie de politică</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Atunci când platforma și-a început activitatea, statele membre se aflau în stadii foarte diferite în ceea ce privește nivelul și natura abordării lor generale, capacitatea organizațională și măsura în care munca nedeclarată a fost percepută ca o prioritate. De atunci, platforma </w:t>
      </w:r>
      <w:r>
        <w:rPr>
          <w:rFonts w:ascii="Times New Roman" w:hAnsi="Times New Roman"/>
          <w:b/>
          <w:noProof/>
          <w:sz w:val="24"/>
          <w:szCs w:val="24"/>
        </w:rPr>
        <w:t>a contribuit la stabilirea luptei împotriva muncii nedeclarate ca acțiune prioritară și la obținerea unui consens privind adoptarea unor abordări eficace în materie de politică</w:t>
      </w:r>
      <w:r>
        <w:rPr>
          <w:rFonts w:ascii="Times New Roman" w:hAnsi="Times New Roman"/>
          <w:noProof/>
          <w:sz w:val="24"/>
          <w:szCs w:val="24"/>
        </w:rPr>
        <w:t xml:space="preserve">. Prin cooperarea cu partenerii și, în special, prin acordarea de asistență reciprocă, membrii platformei au primit sprijin direct în elaborarea și adoptarea unor astfel de abordări. </w:t>
      </w:r>
    </w:p>
    <w:p>
      <w:pPr>
        <w:autoSpaceDE w:val="0"/>
        <w:autoSpaceDN w:val="0"/>
        <w:adjustRightInd w:val="0"/>
        <w:spacing w:before="240" w:after="240" w:line="240" w:lineRule="auto"/>
        <w:jc w:val="both"/>
        <w:rPr>
          <w:rFonts w:ascii="Times New Roman" w:eastAsia="ECSquareSansPro" w:hAnsi="Times New Roman" w:cs="Times New Roman"/>
          <w:noProof/>
          <w:sz w:val="24"/>
          <w:szCs w:val="24"/>
        </w:rPr>
      </w:pPr>
      <w:r>
        <w:rPr>
          <w:rFonts w:ascii="Times New Roman" w:hAnsi="Times New Roman"/>
          <w:noProof/>
          <w:sz w:val="24"/>
          <w:szCs w:val="24"/>
        </w:rPr>
        <w:t xml:space="preserve">Feedbackul membrilor sugerează că platforma a contribuit, în special, la </w:t>
      </w:r>
      <w:r>
        <w:rPr>
          <w:rFonts w:ascii="Times New Roman" w:hAnsi="Times New Roman"/>
          <w:b/>
          <w:noProof/>
          <w:sz w:val="24"/>
          <w:szCs w:val="24"/>
        </w:rPr>
        <w:t>dezvoltarea unei abordări mai cuprinzătoare a combaterii muncii nedeclarate</w:t>
      </w:r>
      <w:r>
        <w:rPr>
          <w:rFonts w:ascii="Times New Roman" w:hAnsi="Times New Roman"/>
          <w:noProof/>
          <w:sz w:val="24"/>
          <w:szCs w:val="24"/>
        </w:rPr>
        <w:t xml:space="preserve">. Pe lângă accentul deosebit pus pe informare și sensibilizare, platforma a încurajat, de asemenea, o reorientare spre transformarea muncii nedeclarate în muncă declarată prin abordări mai eficace în ceea ce privește descurajarea, cum ar fi inspecțiile și sancțiunile, bazate pe evaluarea riscurilor și pe un schimb mai bun de date. Membrii platformei au indicat că țara sau organizația lor a adus sau intenționează să aducă modificări (de exemplu, ale cadrelor de politică și ale măsurilor de punere în aplicare) ca urmare a implicării în activitățile platformei, în ceea ce privește: inițiativele de sensibilizare și de consolidare a încrederii (52 %), măsurile de descurajare și depistare (39 %), operațiunile la nivel transfrontalier (32 %), stimulentele pentru desfășurarea activității pe bază de declarație (23 %), modelele organizaționale (16 %) și reformele structurale mai ample (16 %). </w:t>
      </w:r>
    </w:p>
    <w:p>
      <w:pPr>
        <w:autoSpaceDE w:val="0"/>
        <w:autoSpaceDN w:val="0"/>
        <w:adjustRightInd w:val="0"/>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Cu toate acestea, în ceea ce privește abordările de combatere a muncii nedeclarate, platforma a pus în primul rând accentul pe combaterea încălcărilor legislației muncii, și nu pe nerespectarea legislației în domeniul fiscal și al securității sociale, reflectând componența membrilor săi. În plus, baza limitată de probe pe care se poate construi a împiedicat, de asemenea, progresele ulterioare în acest domeniu.</w:t>
      </w:r>
    </w:p>
    <w:tbl>
      <w:tblPr>
        <w:tblStyle w:val="TableGrid"/>
        <w:tblW w:w="0" w:type="auto"/>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hAnsi="Times New Roman" w:cs="Times New Roman"/>
                <w:b/>
                <w:bCs/>
                <w:noProof/>
                <w:sz w:val="24"/>
                <w:szCs w:val="24"/>
              </w:rPr>
            </w:pPr>
            <w:r>
              <w:rPr>
                <w:rFonts w:ascii="Times New Roman" w:hAnsi="Times New Roman"/>
                <w:b/>
                <w:bCs/>
                <w:noProof/>
                <w:sz w:val="24"/>
                <w:szCs w:val="24"/>
              </w:rPr>
              <w:t xml:space="preserve">Către o abordare mai cuprinzătoare </w:t>
            </w:r>
          </w:p>
          <w:p>
            <w:pPr>
              <w:spacing w:before="240" w:after="240"/>
              <w:jc w:val="both"/>
              <w:rPr>
                <w:rFonts w:ascii="Times New Roman" w:eastAsia="Times New Roman" w:hAnsi="Times New Roman" w:cs="Times New Roman"/>
                <w:noProof/>
                <w:sz w:val="24"/>
                <w:szCs w:val="24"/>
              </w:rPr>
            </w:pPr>
            <w:r>
              <w:rPr>
                <w:rFonts w:ascii="Times New Roman" w:hAnsi="Times New Roman"/>
                <w:noProof/>
                <w:sz w:val="24"/>
                <w:szCs w:val="24"/>
              </w:rPr>
              <w:t xml:space="preserve">Potrivit consensului la care au ajuns membrii și observatorii platformei, este nevoie de o „abordare cuprinzătoare” pentru a combate munca nedeclarată la nivel de politică și la nivel operațional, utilizând întregul spectru de măsuri de politică disponibile și cooperarea între principalele organisme și cu partenerii sociali. </w:t>
            </w:r>
          </w:p>
          <w:p>
            <w:pPr>
              <w:spacing w:before="240" w:after="240"/>
              <w:jc w:val="both"/>
              <w:rPr>
                <w:rFonts w:ascii="Times New Roman" w:hAnsi="Times New Roman" w:cs="Times New Roman"/>
                <w:noProof/>
                <w:sz w:val="24"/>
                <w:szCs w:val="24"/>
              </w:rPr>
            </w:pPr>
            <w:r>
              <w:rPr>
                <w:rFonts w:ascii="Times New Roman" w:hAnsi="Times New Roman"/>
                <w:noProof/>
                <w:sz w:val="24"/>
                <w:szCs w:val="24"/>
              </w:rPr>
              <w:t>Sondajul platformei din 2019 a evidențiat îmbunătățiri importante în acest sens, noi organisme naționale de coordonare fiind înființate în Franța, Lituania și România și un proiect-pilot la nivel național fiind derulat în Finlanda</w:t>
            </w:r>
            <w:r>
              <w:rPr>
                <w:rStyle w:val="FootnoteReference"/>
                <w:rFonts w:ascii="Times New Roman" w:hAnsi="Times New Roman"/>
                <w:noProof/>
                <w:sz w:val="24"/>
                <w:szCs w:val="24"/>
              </w:rPr>
              <w:footnoteReference w:id="20"/>
            </w:r>
            <w:r>
              <w:rPr>
                <w:rFonts w:ascii="Times New Roman" w:hAnsi="Times New Roman"/>
                <w:noProof/>
                <w:sz w:val="24"/>
                <w:szCs w:val="24"/>
              </w:rPr>
              <w:t xml:space="preserve">, precum și o gamă mai cuprinzătoare de măsuri și/sau de noi strategii în Franța, Grecia și Letonia. </w:t>
            </w:r>
          </w:p>
        </w:tc>
      </w:tr>
    </w:tbl>
    <w:p>
      <w:pPr>
        <w:spacing w:before="240" w:after="240" w:line="240" w:lineRule="auto"/>
        <w:jc w:val="both"/>
        <w:rPr>
          <w:rFonts w:ascii="Times New Roman" w:hAnsi="Times New Roman" w:cs="Times New Roman"/>
          <w:noProof/>
          <w:sz w:val="24"/>
          <w:szCs w:val="24"/>
        </w:rPr>
      </w:pPr>
    </w:p>
    <w:p>
      <w:pPr>
        <w:pStyle w:val="Heading2"/>
        <w:rPr>
          <w:noProof/>
          <w:szCs w:val="24"/>
        </w:rPr>
      </w:pPr>
      <w:r>
        <w:rPr>
          <w:noProof/>
          <w:szCs w:val="24"/>
        </w:rPr>
        <w:t>Îmbunătățirea capacității autorităților și a actorilor relevanți din statele membre pentru a aborda aspectele transfrontaliere ale muncii nedeclarate</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Tipurile specifice de muncă nedeclarată transfrontalieră, cum ar fi cea desfășurată de lucrătorii mobili din UE nedeclarați sau care are legătură cu detașarea frauduloasă a lucrătorilor – inclusiv prin intermediul societăților de tip „cutie poștală” </w:t>
      </w:r>
      <w:r>
        <w:rPr>
          <w:rFonts w:ascii="Times New Roman" w:hAnsi="Times New Roman"/>
          <w:strike/>
          <w:noProof/>
          <w:sz w:val="24"/>
          <w:szCs w:val="24"/>
        </w:rPr>
        <w:t xml:space="preserve">- </w:t>
      </w:r>
      <w:r>
        <w:rPr>
          <w:rFonts w:ascii="Times New Roman" w:hAnsi="Times New Roman"/>
          <w:noProof/>
          <w:sz w:val="24"/>
          <w:szCs w:val="24"/>
        </w:rPr>
        <w:t xml:space="preserve">necesită o cooperare transfrontalieră mai extinsă și mai bună. În prezent, canalele de cooperare variază, de regulă, de la schimburi de informații și de personal până la inspecții comune, bazate pe acorduri bilaterale și pe memorandumuri de înțelegere. </w:t>
      </w:r>
    </w:p>
    <w:tbl>
      <w:tblPr>
        <w:tblStyle w:val="TableGrid"/>
        <w:tblW w:w="0" w:type="auto"/>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eastAsia="Times New Roman" w:hAnsi="Times New Roman" w:cs="Times New Roman"/>
                <w:b/>
                <w:bCs/>
                <w:noProof/>
                <w:sz w:val="24"/>
                <w:szCs w:val="24"/>
              </w:rPr>
            </w:pPr>
            <w:r>
              <w:rPr>
                <w:rFonts w:ascii="Times New Roman" w:hAnsi="Times New Roman"/>
                <w:b/>
                <w:bCs/>
                <w:noProof/>
                <w:sz w:val="24"/>
                <w:szCs w:val="24"/>
              </w:rPr>
              <w:t>Proiectul comun al țărilor nordice privind munca nedeclarată</w:t>
            </w:r>
          </w:p>
          <w:p>
            <w:pPr>
              <w:spacing w:before="240" w:after="240"/>
              <w:jc w:val="both"/>
              <w:rPr>
                <w:rFonts w:ascii="Times New Roman" w:eastAsia="Times New Roman" w:hAnsi="Times New Roman" w:cs="Times New Roman"/>
                <w:noProof/>
                <w:sz w:val="24"/>
                <w:szCs w:val="24"/>
              </w:rPr>
            </w:pPr>
            <w:r>
              <w:rPr>
                <w:rFonts w:ascii="Times New Roman" w:hAnsi="Times New Roman"/>
                <w:noProof/>
                <w:sz w:val="24"/>
                <w:szCs w:val="24"/>
              </w:rPr>
              <w:t xml:space="preserve">Sprijinite prin finanțare din partea UE în cadrul Programului Uniunii Europene pentru ocuparea forței de muncă și inovare socială (EaSI), Danemarca, Estonia, Finlanda, Islanda, Letonia, Norvegia și Suedia și-au unit forțele pentru a coopera într-un proiect comun al țărilor nordice privind munca nedeclarată. Proiectul se axează pe inspecții comune, pe schimburi de bune practici (în special în domenii precum comunicarea și abordările preventive) și pe evaluarea rezultatelor. Scopul acestuia este să doteze mai bine țările nordice în vederea combaterii muncii nedeclarate prin schimb de informații, colaborare, posibilități de asistență și schimb de cunoștințe. </w:t>
            </w:r>
          </w:p>
        </w:tc>
      </w:tr>
    </w:tbl>
    <w:p>
      <w:pPr>
        <w:spacing w:before="240" w:after="240" w:line="240" w:lineRule="auto"/>
        <w:jc w:val="both"/>
        <w:rPr>
          <w:rFonts w:ascii="Times New Roman" w:hAnsi="Times New Roman" w:cs="Times New Roman"/>
          <w:noProof/>
          <w:sz w:val="24"/>
          <w:szCs w:val="24"/>
        </w:rPr>
      </w:pPr>
      <w:r>
        <w:rPr>
          <w:rFonts w:ascii="Times New Roman" w:hAnsi="Times New Roman"/>
          <w:b/>
          <w:noProof/>
          <w:sz w:val="24"/>
          <w:szCs w:val="24"/>
        </w:rPr>
        <w:t>Platforma a ajutat statele membre să consolideze parteneriatele în ceea ce privește combaterea muncii nedeclarate transfrontaliere</w:t>
      </w:r>
      <w:r>
        <w:rPr>
          <w:rFonts w:ascii="Times New Roman" w:hAnsi="Times New Roman"/>
          <w:noProof/>
          <w:sz w:val="24"/>
          <w:szCs w:val="24"/>
        </w:rPr>
        <w:t xml:space="preserve">, deschizând calea pentru o cooperare viitoare în cadrul Autorității Europene a Muncii. Datorită creșterii încrederii reciproce și a contactelor regulate, statele membre au consolidat parteneriatele existente și au colaborat cu țări noi. În plus, programul de lucru a pus un accent sporit pe aspectele transfrontaliere și a elaborat instrumente care le oferă sprijin în îmbunătățirea practicilor acestora prin studii (de exemplu, privind cooperarea transfrontalieră), prin grupuri de lucru (privind schimbul de date) și prin ateliere tematice de evaluare și seturi de instrumente (privind acordurile bilaterale și memorandumurile de înțelegere, inspecțiile comune și concertate). </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Cu toate acestea, nivelul de </w:t>
      </w:r>
      <w:r>
        <w:rPr>
          <w:rFonts w:ascii="Times New Roman" w:hAnsi="Times New Roman"/>
          <w:b/>
          <w:noProof/>
          <w:sz w:val="24"/>
          <w:szCs w:val="24"/>
        </w:rPr>
        <w:t>implicare în cooperarea transfrontalieră rămâne neuniform</w:t>
      </w:r>
      <w:r>
        <w:rPr>
          <w:rFonts w:ascii="Times New Roman" w:hAnsi="Times New Roman"/>
          <w:noProof/>
          <w:sz w:val="24"/>
          <w:szCs w:val="24"/>
        </w:rPr>
        <w:t>. Autoritățile naționale se concentrează în principal asupra cooperării ad hoc cu țările învecinate, răspunzând provocărilor imediate, mai degrabă decât pe elaborarea unui plan strategic. Majoritatea inspectoratelor de muncă se angajează rareori în inspecții transfrontaliere concertate și comune (o dată sau de două ori pe an)</w:t>
      </w:r>
      <w:r>
        <w:rPr>
          <w:rFonts w:ascii="Times New Roman" w:eastAsia="Times New Roman" w:hAnsi="Times New Roman" w:cs="Times New Roman"/>
          <w:noProof/>
          <w:sz w:val="24"/>
          <w:szCs w:val="24"/>
          <w:vertAlign w:val="superscript"/>
        </w:rPr>
        <w:footnoteReference w:id="21"/>
      </w:r>
      <w:r>
        <w:rPr>
          <w:rFonts w:ascii="Times New Roman" w:hAnsi="Times New Roman"/>
          <w:noProof/>
          <w:sz w:val="24"/>
          <w:szCs w:val="24"/>
        </w:rPr>
        <w:t xml:space="preserve">. Cooperarea în contextul Autorității Europene a Muncii, inclusiv cu organizațiile partenerilor sociali, ar putea permite abordarea câtorva dintre aceste provocări și depășirea capacității operaționale limitate a platformei. </w:t>
      </w:r>
    </w:p>
    <w:tbl>
      <w:tblPr>
        <w:tblStyle w:val="TableGrid"/>
        <w:tblW w:w="0" w:type="auto"/>
        <w:tblLook w:val="04A0" w:firstRow="1" w:lastRow="0" w:firstColumn="1" w:lastColumn="0" w:noHBand="0" w:noVBand="1"/>
      </w:tblPr>
      <w:tblGrid>
        <w:gridCol w:w="9166"/>
      </w:tblGrid>
      <w:tr>
        <w:tc>
          <w:tcPr>
            <w:tcW w:w="9166" w:type="dxa"/>
          </w:tcPr>
          <w:p>
            <w:pPr>
              <w:pStyle w:val="Text1"/>
              <w:spacing w:before="240"/>
              <w:ind w:left="0"/>
              <w:jc w:val="center"/>
              <w:rPr>
                <w:b/>
                <w:bCs/>
                <w:noProof/>
                <w:szCs w:val="24"/>
              </w:rPr>
            </w:pPr>
            <w:r>
              <w:rPr>
                <w:b/>
                <w:bCs/>
                <w:noProof/>
                <w:szCs w:val="24"/>
              </w:rPr>
              <w:t>Intensificarea colaborării transfrontaliere și progresele înregistrate în ceea ce privește îmbunătățirea capacității</w:t>
            </w:r>
          </w:p>
          <w:p>
            <w:pPr>
              <w:autoSpaceDE w:val="0"/>
              <w:autoSpaceDN w:val="0"/>
              <w:adjustRightInd w:val="0"/>
              <w:spacing w:before="240" w:after="240"/>
              <w:jc w:val="both"/>
              <w:rPr>
                <w:rFonts w:ascii="Times New Roman" w:eastAsia="Times New Roman" w:hAnsi="Times New Roman" w:cs="Times New Roman"/>
                <w:noProof/>
                <w:sz w:val="24"/>
                <w:szCs w:val="24"/>
              </w:rPr>
            </w:pPr>
            <w:r>
              <w:rPr>
                <w:rFonts w:ascii="Times New Roman" w:hAnsi="Times New Roman"/>
                <w:noProof/>
                <w:sz w:val="24"/>
                <w:szCs w:val="24"/>
              </w:rPr>
              <w:t xml:space="preserve">În sondajul din 2019, 61 % dintre respondenți au afirmat că platforma a contribuit la îmbunătățirea capacității actorilor relevanți din statele membre pentru a aborda aspectele transfrontaliere ale muncii nedeclarate. Organizațiile s-au angajat sau intenționează să se angajeze în activități transfrontaliere în anul următor, inclusiv: reuniuni transfrontaliere ale funcționarilor (52 %), schimburi de personal/acțiuni comune (41 %), inspecții comune (39 %). </w:t>
            </w:r>
          </w:p>
        </w:tc>
      </w:tr>
    </w:tbl>
    <w:p>
      <w:pPr>
        <w:spacing w:before="240" w:after="240" w:line="240" w:lineRule="auto"/>
        <w:jc w:val="both"/>
        <w:rPr>
          <w:rFonts w:ascii="Times New Roman" w:eastAsia="Times New Roman" w:hAnsi="Times New Roman" w:cs="Times New Roman"/>
          <w:noProof/>
          <w:sz w:val="24"/>
          <w:szCs w:val="24"/>
        </w:rPr>
      </w:pPr>
    </w:p>
    <w:p>
      <w:pPr>
        <w:pStyle w:val="Heading2"/>
        <w:rPr>
          <w:noProof/>
          <w:szCs w:val="24"/>
        </w:rPr>
      </w:pPr>
      <w:r>
        <w:rPr>
          <w:noProof/>
          <w:szCs w:val="24"/>
        </w:rPr>
        <w:t xml:space="preserve">Sensibilizarea opiniei publice cu privire la chestiuni legate de munca nedeclarată și încurajarea statelor membre să își intensifice eforturile </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Platforma a contribuit la </w:t>
      </w:r>
      <w:r>
        <w:rPr>
          <w:rFonts w:ascii="Times New Roman" w:hAnsi="Times New Roman"/>
          <w:b/>
          <w:noProof/>
          <w:sz w:val="24"/>
          <w:szCs w:val="24"/>
        </w:rPr>
        <w:t>acordarea unei importanțe sporite sensibilizării membrilor săi</w:t>
      </w:r>
      <w:r>
        <w:rPr>
          <w:rFonts w:ascii="Times New Roman" w:hAnsi="Times New Roman"/>
          <w:noProof/>
          <w:sz w:val="24"/>
          <w:szCs w:val="24"/>
        </w:rPr>
        <w:t>, jumătate dintre aceștia raportând schimbări în acest domeniu. Activitatea s-a axat în principal pe încurajarea membrilor pentru a face schimb de cunoștințe în ceea ce privește campaniile de sensibilizare prin activități specifice (de exemplu, un atelier tematic de evaluare și un set de instrumente</w:t>
      </w:r>
      <w:r>
        <w:rPr>
          <w:rStyle w:val="FootnoteReference"/>
          <w:rFonts w:ascii="Times New Roman" w:eastAsia="Times New Roman" w:hAnsi="Times New Roman"/>
          <w:noProof/>
          <w:sz w:val="24"/>
          <w:szCs w:val="24"/>
        </w:rPr>
        <w:footnoteReference w:id="22"/>
      </w:r>
      <w:r>
        <w:rPr>
          <w:rFonts w:ascii="Times New Roman" w:hAnsi="Times New Roman"/>
          <w:noProof/>
          <w:sz w:val="24"/>
          <w:szCs w:val="24"/>
        </w:rPr>
        <w:t xml:space="preserve">, seminare pe tema abordărilor preventive și diseminarea activităților platformei). </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Cu toate acestea, </w:t>
      </w:r>
      <w:r>
        <w:rPr>
          <w:rFonts w:ascii="Times New Roman" w:hAnsi="Times New Roman"/>
          <w:b/>
          <w:noProof/>
          <w:sz w:val="24"/>
          <w:szCs w:val="24"/>
        </w:rPr>
        <w:t>impactul direct de sensibilizare a opiniei publice s-a manifestat mai lent</w:t>
      </w:r>
      <w:r>
        <w:rPr>
          <w:rFonts w:ascii="Times New Roman" w:hAnsi="Times New Roman"/>
          <w:noProof/>
          <w:sz w:val="24"/>
          <w:szCs w:val="24"/>
        </w:rPr>
        <w:t xml:space="preserve">. Doar 35 % dintre respondenții la sondajul din 2019 sunt de acord cu faptul că platforma a înregistrat progrese foarte bune sau bune în direcția îndeplinirii acestui obiectiv. Recunoscând necesitatea de a transpune acest obiectiv în fapte, programul de lucru pentru perioada 2019-2020 a pus un accent mai puternic pe comunicare și sensibilizare. Prima campanie a platformei privind avantajele muncii declarate, organizată de membri și observatori, se va desfășura în perioada martie-iunie 2020. Aceasta va acoperi o săptămână de acțiune în cadrul căreia membrii vor fi invitați să își unească eforturile. </w:t>
      </w:r>
    </w:p>
    <w:p>
      <w:pPr>
        <w:pStyle w:val="Heading1"/>
        <w:rPr>
          <w:noProof/>
          <w:szCs w:val="24"/>
        </w:rPr>
      </w:pPr>
      <w:r>
        <w:rPr>
          <w:noProof/>
          <w:szCs w:val="24"/>
        </w:rPr>
        <w:t xml:space="preserve">Concluzii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 la debutul său în 2016, Platforma europeană de combatere a muncii nedeclarate a facilitat o mai mare cooperare între țări și în interiorul acestora. Bazându-se pe o guvernanță solidă, pe un program de lucru cuprinzător și pe o implicare activă a membrilor, aceasta a contribuit la o eficiență sporită și la modernizarea organismelor de aplicare a legii la nivelul întregii Uniuni Europene. Platforma a generat cunoștințe solide bazate pe probe, care permit statelor membre și partenerilor sociali să învețe unii de la alții, să inoveze și să acționeze împreună.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În ceea ce privește provocările rămase, activitățile platformei au evidențiat necesitatea de a consolida angajamentul tuturor membrilor și de a crește capacitatea operațională a platformei. Organismele de aplicare a legii și partenerii sociali trebuie să continue să dezvolte o cooperare mai eficace, atât la nivel național, cât și la nivel transfrontalier, prin dezvoltarea în continuare a unor abordări strategice și operaționale pentru combaterea muncii nedeclarate. Există un mare potențial pentru aprofundarea învățării reciproce între autoritățile statelor membre și pentru îmbunătățirea eficacității măsurilor de combatere a muncii nedeclarate, în special printr-un schimb mai bun de date, prin analiza datelor și evaluarea riscurilor, precum și printr-o mai bună cooperare transfrontalieră. În parte, astfel de îmbunătățiri pot fi obținute prin dezvoltarea în continuare a sistemelor informatice de la nivelul UE, care vor fi utilizate nu numai pentru identificarea întreprinderilor cu grad ridicat de risc în scopuri de inspecție, ci și pentru o mai bună direcționare a abordărilor preventive. De asemenea, în acest sens, este esențială dezvoltarea ulterioară de sinergii cu principalele inițiative și politici ale UE (cum ar fi cele legate de condițiile de muncă ale lucrătorilor angajați prin intermediul platformelor, de semestrul european și de punerea în aplicare a Pilonului european al drepturile sociale, de schimbul de informații în scopuri fiscale, inclusiv de veniturile obținute prin muncă</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și cu instrumentele de finanțare (precum Fondul social european +). Este important să se dezvolte în continuare o abordare cuprinzătoare, care să combine măsuri de descurajare eficiente și eficace cu măsuri destinate să împiedice, în primul rând, apariția muncii nedeclarate. În viitor, se poate pune, de asemenea, mai mult accentul pe educație și pe sensibilizarea cetățenilor, a lucrătorilor și a angajatorilor cu privire la drepturile, responsabilitățile și obligațiile care le revin. #EU4FairWork, prima campanie de informare și sensibilizare a platformei, care se va desfășura în perioada martie-iunie 2020, este un pas important în această direcție, care va trebui consolidat.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Cooperarea dintre statele membre în cadrul Autorității Europene a Muncii se poate baza pe nivelurile ridicate de încredere și cooperarea bine stabilită între membrii platformei și observatori. Aceasta va oferi o bază solidă pentru o mai bună cooperare transfrontalieră și pentru consolidarea capacităților în etapa inițială a ELA, care are un mandat mult mai amplu. Domeniul de aplicare mai amplu ELA va compensa capacitatea operațională mai limitată a platformei și o implicare și implicarea neuniformă a membrilor săi.</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Programul de lucru al platformei pentru perioada 2019-2020 va fi pus în aplicare conform planificării, ceea ce permite o tranziție ușoară. Decizia (UE) 2016/344 va fi abrogată după ce ELA va atinge capacitatea operațională deplină; cu toate acestea, obiectivele, misiunile și activitățile actuale ale platformei au fost confirmate în mare măsură în Regulamentul de instituire a ELA (articolul 12 și anexa)</w:t>
      </w:r>
      <w:r>
        <w:rPr>
          <w:rStyle w:val="FootnoteReference"/>
          <w:rFonts w:ascii="Times New Roman" w:hAnsi="Times New Roman"/>
          <w:noProof/>
          <w:sz w:val="24"/>
          <w:szCs w:val="24"/>
        </w:rPr>
        <w:t xml:space="preserve"> </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În plus, instituirea ELA oferă posibilitatea unor schimbări suplimentare și ocazia de a aborda provocările care decurg din configurația inițială a platformei.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Autoritatea Europeană a Muncii va stabili priorități și va formula propuneri privind modalitățile de abordare pe termen lung a provocărilor evidențiate mai sus. Se poate prevedea faptul că platforma, ca grup de lucru permanent al ELA, se va axa pe sarcina sa principală de a combate munca nedeclarată, în timp ce anumite sarcini mai orizontale, cum ar fi sprijinul pentru cooperarea transfrontalieră operațională, consolidarea capacității organismelor de aplicare a legii și dezvoltarea de instrumente la nivelul UE, pot fi abordate într-un mod mai coerent prin activități mai ample ale ELA. Platforma va beneficia de o structură operațională cuprinzătoare în cadrul ELA și de expertiză din partea personalului specializat în diferite domenii. Datorită sinergiilor cu alte activități ale ELA și a unui mandat ferm de combatere a muncii nedeclarate, activitățile desfășurate de platformă pot fi sporite, îmbunătățite, direcționate și planificate pe termen mai lung. Participarea ELA în cadrul campaniei platformei privind avantajele muncii declarate din 2020</w:t>
      </w:r>
      <w:r>
        <w:rPr>
          <w:rStyle w:val="FootnoteReference"/>
          <w:rFonts w:ascii="Times New Roman" w:eastAsia="Times New Roman" w:hAnsi="Times New Roman" w:cs="Times New Roman"/>
          <w:noProof/>
          <w:sz w:val="24"/>
          <w:szCs w:val="24"/>
        </w:rPr>
        <w:footnoteReference w:id="25"/>
      </w:r>
      <w:r>
        <w:rPr>
          <w:rFonts w:ascii="Times New Roman" w:hAnsi="Times New Roman"/>
          <w:noProof/>
          <w:sz w:val="24"/>
          <w:szCs w:val="24"/>
        </w:rPr>
        <w:t xml:space="preserve"> este un bun exemplu pentru existența sinergiilor și pentru alinierea inițiativelor la nivelul UE în vederea sprijinirii echității pe piața europeană a forței de muncă.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Instituirea ELA va oferi un impuls sporit pentru combaterea mai eficace a muncii nedeclarate și pentru transformarea acesteia în muncă declarată, contribuind la crearea unor condiții de muncă echitabile, a unei concurențe loiale și a unei mobilități echitabile în beneficiul lucrătorilor, al economiei și al societății în ansamblu. </w:t>
      </w:r>
    </w:p>
    <w:p>
      <w:pPr>
        <w:spacing w:before="120" w:after="120" w:line="240" w:lineRule="auto"/>
        <w:jc w:val="both"/>
        <w:rPr>
          <w:rFonts w:ascii="Times New Roman" w:hAnsi="Times New Roman" w:cs="Times New Roman"/>
          <w:b/>
          <w:bCs/>
          <w:noProof/>
          <w:color w:val="000000"/>
          <w:sz w:val="24"/>
          <w:szCs w:val="24"/>
        </w:rPr>
      </w:pPr>
    </w:p>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SquareSansPro">
    <w:altName w:val="MS Gothic"/>
    <w:panose1 w:val="00000000000000000000"/>
    <w:charset w:val="8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05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Comunicarea Comisiei intitulată „Accelerarea luptei împotriva muncii nedeclarate”, COM(2007)628.</w:t>
      </w:r>
    </w:p>
  </w:footnote>
  <w:footnote w:id="2">
    <w:p>
      <w:pPr>
        <w:pStyle w:val="ListBullet"/>
        <w:numPr>
          <w:ilvl w:val="0"/>
          <w:numId w:val="0"/>
        </w:numPr>
        <w:spacing w:after="0"/>
        <w:contextualSpacing/>
        <w:rPr>
          <w:rFonts w:eastAsiaTheme="minorHAnsi"/>
          <w:sz w:val="18"/>
          <w:szCs w:val="18"/>
        </w:rPr>
      </w:pPr>
      <w:r>
        <w:rPr>
          <w:rFonts w:eastAsiaTheme="minorHAnsi"/>
          <w:sz w:val="18"/>
          <w:szCs w:val="18"/>
        </w:rPr>
        <w:footnoteRef/>
      </w:r>
      <w:r>
        <w:rPr>
          <w:sz w:val="18"/>
          <w:szCs w:val="18"/>
        </w:rPr>
        <w:t xml:space="preserve"> Williams, C.C., Horodnic, I.A., Bejakovic,P., Mikulic. D.,Franic, J., Kedir, A. (2017), </w:t>
      </w:r>
      <w:r>
        <w:rPr>
          <w:i/>
          <w:sz w:val="18"/>
          <w:szCs w:val="18"/>
        </w:rPr>
        <w:t>An evaluation of the scale of undeclared work in the European Union and its structural determinants:</w:t>
      </w:r>
      <w:r>
        <w:rPr>
          <w:sz w:val="18"/>
          <w:szCs w:val="18"/>
        </w:rPr>
        <w:t xml:space="preserve"> </w:t>
      </w:r>
      <w:r>
        <w:rPr>
          <w:i/>
          <w:sz w:val="18"/>
          <w:szCs w:val="18"/>
        </w:rPr>
        <w:t>estimates using the Labour Input Method (LIM)</w:t>
      </w:r>
      <w:r>
        <w:rPr>
          <w:sz w:val="18"/>
          <w:szCs w:val="18"/>
        </w:rPr>
        <w:t xml:space="preserve"> [O evaluare a amplorii muncii nedeclarate în Uniunea Europeană și a determinanților săi structurali: estimări folosind metoda referitoare la aportul de forță de muncă (LIM)].</w:t>
      </w:r>
    </w:p>
  </w:footnote>
  <w:footnote w:id="3">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Sondajul Eurobarometru special 498, Munca nedeclarată în UE, septembrie 2019.</w:t>
      </w:r>
    </w:p>
  </w:footnote>
  <w:footnote w:id="4">
    <w:p>
      <w:pPr>
        <w:pStyle w:val="FootnoteText"/>
        <w:spacing w:after="0"/>
        <w:contextualSpacing/>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Decizia (UE) 2016/344 a Parlamentului European și a Consiliului din 9 martie 2016 privind instituirea unei platforme europene pentru intensificarea cooperării în materie de combatere a muncii nedeclarate. </w:t>
      </w:r>
    </w:p>
  </w:footnote>
  <w:footnote w:id="5">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w:t>
      </w:r>
      <w:hyperlink r:id="rId1" w:history="1">
        <w:r>
          <w:rPr>
            <w:rStyle w:val="Hyperlink"/>
            <w:rFonts w:ascii="Times New Roman" w:hAnsi="Times New Roman"/>
            <w:szCs w:val="18"/>
          </w:rPr>
          <w:t>https://ela.europa.eu/index.html</w:t>
        </w:r>
      </w:hyperlink>
    </w:p>
  </w:footnote>
  <w:footnote w:id="6">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Regulamentul (UE) 2019/1149 al Parlamentului European și al Consiliului din 20 iunie 2019 de instituire a unei Autorități Europene a Muncii, de modificare a Regulamentului (CE) nr. 883/2004, a Regulamentului (UE) nr. 492/2011 și a Regulamentului (UE) 2016/589 și de abrogare a Deciziei (UE) 2016/344.</w:t>
      </w:r>
    </w:p>
  </w:footnote>
  <w:footnote w:id="7">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Raportul bienal </w:t>
      </w:r>
      <w:hyperlink r:id="rId2" w:history="1">
        <w:r>
          <w:rPr>
            <w:rStyle w:val="Hyperlink"/>
            <w:rFonts w:ascii="Times New Roman" w:hAnsi="Times New Roman"/>
            <w:szCs w:val="18"/>
          </w:rPr>
          <w:t>https://ec.europa.eu/social/BlobServlet?docId=20472&amp;langId=e</w:t>
        </w:r>
        <w:r>
          <w:rPr>
            <w:rStyle w:val="Hyperlink"/>
          </w:rPr>
          <w:t>n</w:t>
        </w:r>
      </w:hyperlink>
    </w:p>
  </w:footnote>
  <w:footnote w:id="8">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Rezoluția Consiliului privind transformarea muncii nedeclarate în muncă în condiții licite (2003/C 260/01) și Comunicarea Comisiei intitulată „Accelerarea luptei împotriva muncii nedeclarate” (COM(2007)628).</w:t>
      </w:r>
    </w:p>
  </w:footnote>
  <w:footnote w:id="9">
    <w:p>
      <w:pPr>
        <w:spacing w:after="0"/>
        <w:rPr>
          <w:rFonts w:ascii="Times New Roman" w:hAnsi="Times New Roman"/>
          <w:szCs w:val="18"/>
        </w:rPr>
      </w:pPr>
      <w:r>
        <w:rPr>
          <w:rStyle w:val="FootnoteReference"/>
          <w:rFonts w:ascii="Times New Roman" w:hAnsi="Times New Roman"/>
          <w:sz w:val="18"/>
          <w:szCs w:val="18"/>
        </w:rPr>
        <w:footnoteRef/>
      </w:r>
      <w:r>
        <w:rPr>
          <w:rFonts w:ascii="Times New Roman" w:hAnsi="Times New Roman"/>
          <w:sz w:val="18"/>
          <w:szCs w:val="18"/>
        </w:rPr>
        <w:t xml:space="preserve"> Programele de lucru pentru perioadele 2017-2018 și 2019-2020 se pot găsi la următoarele adrese: </w:t>
      </w:r>
      <w:hyperlink r:id="rId3" w:history="1">
        <w:r>
          <w:rPr>
            <w:rStyle w:val="Hyperlink"/>
            <w:rFonts w:ascii="Times New Roman" w:hAnsi="Times New Roman"/>
            <w:sz w:val="18"/>
            <w:szCs w:val="18"/>
          </w:rPr>
          <w:t>https://ec.europa.eu/social/BlobServlet?docId=22305&amp;langId=en</w:t>
        </w:r>
      </w:hyperlink>
      <w:r>
        <w:rPr>
          <w:rFonts w:ascii="Times New Roman" w:hAnsi="Times New Roman"/>
          <w:sz w:val="18"/>
          <w:szCs w:val="18"/>
        </w:rPr>
        <w:t xml:space="preserve">, </w:t>
      </w:r>
      <w:hyperlink r:id="rId4" w:history="1">
        <w:r>
          <w:rPr>
            <w:rStyle w:val="Hyperlink"/>
            <w:rFonts w:ascii="Times New Roman" w:hAnsi="Times New Roman"/>
            <w:sz w:val="18"/>
            <w:szCs w:val="18"/>
          </w:rPr>
          <w:t>https://ec.europa.eu/social/BlobServlet?docId=16358&amp;langId=en</w:t>
        </w:r>
      </w:hyperlink>
      <w:r>
        <w:rPr>
          <w:rFonts w:ascii="Times New Roman" w:hAnsi="Times New Roman"/>
          <w:sz w:val="18"/>
          <w:szCs w:val="18"/>
        </w:rPr>
        <w:t xml:space="preserve">. </w:t>
      </w:r>
    </w:p>
  </w:footnote>
  <w:footnote w:id="10">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Cifrele acoperă activitățile desfășurate până la sfârșitul anului 2019.</w:t>
      </w:r>
    </w:p>
  </w:footnote>
  <w:footnote w:id="11">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În total, 31 de membri și observatori din cadrul platformei au răspuns la sondajul din 2019 privind satisfacția și acceptarea, inclusiv 27 de membri ai platformei care își reprezintă statul membru; precum și 1 observator și 3 reprezentanți ai partenerilor sociali.</w:t>
      </w:r>
    </w:p>
  </w:footnote>
  <w:footnote w:id="12">
    <w:p>
      <w:pPr>
        <w:pStyle w:val="FootnoteText"/>
        <w:rPr>
          <w:rFonts w:ascii="Times New Roman" w:hAnsi="Times New Roman"/>
          <w:szCs w:val="18"/>
        </w:rPr>
      </w:pPr>
      <w:r>
        <w:rPr>
          <w:rStyle w:val="FootnoteReference"/>
          <w:rFonts w:ascii="Times New Roman" w:hAnsi="Times New Roman"/>
          <w:szCs w:val="18"/>
        </w:rPr>
        <w:footnoteRef/>
      </w:r>
      <w:r>
        <w:fldChar w:fldCharType="begin"/>
      </w:r>
      <w:r>
        <w:rPr>
          <w:rFonts w:ascii="Times New Roman" w:hAnsi="Times New Roman"/>
          <w:szCs w:val="18"/>
        </w:rPr>
        <w:instrText>https://ec.europa.eu/social/main.jsp?catId=1323&amp;langId=en</w:instrText>
      </w:r>
      <w:r>
        <w:fldChar w:fldCharType="separate"/>
      </w:r>
      <w:r>
        <w:rPr>
          <w:rStyle w:val="Hyperlink"/>
          <w:rFonts w:ascii="Times New Roman" w:hAnsi="Times New Roman"/>
          <w:szCs w:val="18"/>
        </w:rPr>
        <w:t>https://ec.europa.eu/social/main.jsp?catId=1323&amp;langId=en</w:t>
      </w:r>
      <w:r>
        <w:rPr>
          <w:rStyle w:val="Hyperlink"/>
          <w:rFonts w:ascii="Times New Roman" w:hAnsi="Times New Roman"/>
          <w:szCs w:val="18"/>
        </w:rPr>
        <w:fldChar w:fldCharType="end"/>
      </w:r>
      <w:r>
        <w:rPr>
          <w:rFonts w:ascii="Times New Roman" w:hAnsi="Times New Roman"/>
          <w:szCs w:val="18"/>
        </w:rPr>
        <w:t xml:space="preserve"> Disponibil la adresa: </w:t>
      </w:r>
      <w:hyperlink r:id="rId5" w:history="1">
        <w:r>
          <w:rPr>
            <w:rStyle w:val="Hyperlink"/>
            <w:rFonts w:ascii="Times New Roman" w:hAnsi="Times New Roman"/>
            <w:szCs w:val="18"/>
          </w:rPr>
          <w:t>https://ec.europa.eu/social/main.jsp?catId=1323&amp;langId=ro</w:t>
        </w:r>
      </w:hyperlink>
      <w:r>
        <w:rPr>
          <w:rFonts w:ascii="Times New Roman" w:hAnsi="Times New Roman"/>
          <w:szCs w:val="18"/>
        </w:rPr>
        <w:t xml:space="preserve"> </w:t>
      </w:r>
    </w:p>
  </w:footnote>
  <w:footnote w:id="13">
    <w:p>
      <w:pPr>
        <w:pStyle w:val="FootnoteText"/>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In 2020 este prevăzută acordarea de sprijin Belgiei.</w:t>
      </w:r>
    </w:p>
  </w:footnote>
  <w:footnote w:id="14">
    <w:p>
      <w:pPr>
        <w:pStyle w:val="FootnoteText"/>
      </w:pPr>
      <w:r>
        <w:rPr>
          <w:rStyle w:val="FootnoteReference"/>
          <w:rFonts w:ascii="Times New Roman" w:hAnsi="Times New Roman"/>
          <w:szCs w:val="18"/>
        </w:rPr>
        <w:footnoteRef/>
      </w:r>
      <w:r>
        <w:rPr>
          <w:rFonts w:ascii="Times New Roman" w:hAnsi="Times New Roman"/>
          <w:szCs w:val="18"/>
        </w:rPr>
        <w:t xml:space="preserve"> Aceasta poate include, de exemplu, asigurarea faptului că lucrătorii nedeclarați primesc un contract de muncă formal.</w:t>
      </w:r>
      <w:r>
        <w:rPr>
          <w:rFonts w:ascii="Times New Roman" w:hAnsi="Times New Roman"/>
        </w:rPr>
        <w:t xml:space="preserve"> </w:t>
      </w:r>
    </w:p>
  </w:footnote>
  <w:footnote w:id="15">
    <w:p>
      <w:pPr>
        <w:pStyle w:val="FootnoteText"/>
        <w:rPr>
          <w:rFonts w:ascii="Times New Roman" w:hAnsi="Times New Roman"/>
        </w:rPr>
      </w:pPr>
      <w:r>
        <w:rPr>
          <w:rFonts w:ascii="Times New Roman" w:hAnsi="Times New Roman"/>
          <w:szCs w:val="18"/>
        </w:rPr>
        <w:footnoteRef/>
      </w:r>
      <w:r>
        <w:rPr>
          <w:rFonts w:ascii="Times New Roman" w:hAnsi="Times New Roman"/>
          <w:szCs w:val="18"/>
        </w:rPr>
        <w:t xml:space="preserve"> </w:t>
      </w:r>
      <w:hyperlink r:id="rId6" w:history="1">
        <w:r>
          <w:rPr>
            <w:rStyle w:val="Hyperlink"/>
            <w:rFonts w:ascii="Times New Roman" w:hAnsi="Times New Roman"/>
          </w:rPr>
          <w:t>https://ec.europa.eu/social/main.jsp?catId=1299&amp;langId=ro</w:t>
        </w:r>
      </w:hyperlink>
    </w:p>
  </w:footnote>
  <w:footnote w:id="16">
    <w:p>
      <w:pPr>
        <w:pStyle w:val="FootnoteText"/>
        <w:spacing w:after="0"/>
        <w:jc w:val="both"/>
        <w:rPr>
          <w:rFonts w:ascii="Times New Roman" w:hAnsi="Times New Roman"/>
          <w:szCs w:val="18"/>
        </w:rPr>
      </w:pPr>
      <w:r>
        <w:rPr>
          <w:rStyle w:val="FootnoteReference"/>
          <w:rFonts w:ascii="Times New Roman" w:hAnsi="Times New Roman"/>
          <w:sz w:val="20"/>
        </w:rPr>
        <w:footnoteRef/>
      </w:r>
      <w:r>
        <w:rPr>
          <w:rFonts w:ascii="Times New Roman" w:hAnsi="Times New Roman"/>
          <w:sz w:val="20"/>
        </w:rPr>
        <w:t xml:space="preserve"> </w:t>
      </w:r>
      <w:hyperlink r:id="rId7" w:history="1">
        <w:r>
          <w:rPr>
            <w:rStyle w:val="Hyperlink"/>
            <w:rFonts w:ascii="Times New Roman" w:hAnsi="Times New Roman"/>
            <w:szCs w:val="18"/>
          </w:rPr>
          <w:t>https://ec.europa.eu/social/main.jsp?catId=1322&amp;langId=ro</w:t>
        </w:r>
      </w:hyperlink>
    </w:p>
  </w:footnote>
  <w:footnote w:id="17">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Williams, C.C., Horodnic, I.A., Bejakovic,P., Mikulic. D.,Franic, J., Kedir, A. (2017), </w:t>
      </w:r>
      <w:r>
        <w:rPr>
          <w:rFonts w:ascii="Times New Roman" w:hAnsi="Times New Roman"/>
          <w:i/>
          <w:szCs w:val="18"/>
        </w:rPr>
        <w:t>An evaluation of the scale of undeclared work in the European Union and its structural determinants:</w:t>
      </w:r>
      <w:r>
        <w:rPr>
          <w:rFonts w:ascii="Times New Roman" w:hAnsi="Times New Roman"/>
          <w:szCs w:val="18"/>
        </w:rPr>
        <w:t xml:space="preserve"> </w:t>
      </w:r>
      <w:r>
        <w:rPr>
          <w:rFonts w:ascii="Times New Roman" w:hAnsi="Times New Roman"/>
          <w:i/>
          <w:szCs w:val="18"/>
        </w:rPr>
        <w:t>estimates using the Labour Input Method (LIM)</w:t>
      </w:r>
      <w:r>
        <w:rPr>
          <w:rFonts w:ascii="Times New Roman" w:hAnsi="Times New Roman"/>
          <w:szCs w:val="18"/>
        </w:rPr>
        <w:t xml:space="preserve"> [O evaluare a amplorii muncii nedeclarate în Uniunea Europeană și a determinanților săi structurali: estimări folosind metoda referitoare la aportul de forță de muncă (LIM)], disponibilă la adresa </w:t>
      </w:r>
      <w:hyperlink r:id="rId8" w:history="1">
        <w:r>
          <w:rPr>
            <w:rStyle w:val="Hyperlink"/>
            <w:rFonts w:ascii="Times New Roman" w:hAnsi="Times New Roman"/>
            <w:szCs w:val="18"/>
          </w:rPr>
          <w:t>http://ec.europa.eu/social/BlobServlet?docId=18799&amp;langId=en</w:t>
        </w:r>
      </w:hyperlink>
      <w:r>
        <w:rPr>
          <w:rFonts w:ascii="Times New Roman" w:hAnsi="Times New Roman"/>
          <w:szCs w:val="18"/>
        </w:rPr>
        <w:t xml:space="preserve"> </w:t>
      </w:r>
    </w:p>
  </w:footnote>
  <w:footnote w:id="18">
    <w:p>
      <w:pPr>
        <w:pStyle w:val="FootnoteText"/>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hyperlink r:id="rId9" w:history="1">
        <w:r>
          <w:rPr>
            <w:rStyle w:val="Hyperlink"/>
            <w:rFonts w:ascii="Times New Roman" w:hAnsi="Times New Roman"/>
          </w:rPr>
          <w:t>https://ec.europa.eu/social/main.jsp?catId=1299&amp;langId=ro</w:t>
        </w:r>
      </w:hyperlink>
    </w:p>
  </w:footnote>
  <w:footnote w:id="19">
    <w:p>
      <w:pPr>
        <w:pStyle w:val="FootnoteText"/>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Astfel de stimulente acoperă o gamă largă de măsuri, inclusiv, de exemplu, inspecții consultative, servicii de formalizare și reducerea direcționată a TVA-ului în sectoarele expuse riscurilor. </w:t>
      </w:r>
    </w:p>
  </w:footnote>
  <w:footnote w:id="20">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Proiectul-pilot la nivel național privind infracționalitatea în domeniul muncii a inclus autorități din domeniul securității și sănătății în muncă, autorități fiscale și polițienești, pentru a coopera într-un mod mai strategic în acțiuni comune și proiecte de cooperare.</w:t>
      </w:r>
    </w:p>
  </w:footnote>
  <w:footnote w:id="21">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Stefanov R., Mineva D., Terziev P. (2019). Acțiuni transfrontaliere de combatere a muncii nedeclarate. Platforma europeană de combatere a muncii nedeclarate: Bruxelles.</w:t>
      </w:r>
    </w:p>
  </w:footnote>
  <w:footnote w:id="22">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Instrumente de informare și abordări care vin în ajutorul angajatorilor și al lucrătorilor în lupta împotriva muncii nedeclarate</w:t>
      </w:r>
      <w:r>
        <w:t>.</w:t>
      </w:r>
      <w:hyperlink r:id="rId10" w:history="1">
        <w:r>
          <w:rPr>
            <w:rStyle w:val="Hyperlink"/>
            <w:rFonts w:ascii="Times New Roman" w:hAnsi="Times New Roman"/>
            <w:szCs w:val="18"/>
          </w:rPr>
          <w:t>https://ec.europa.eu/social/BlobServlet?docId=20864&amp;langId=en</w:t>
        </w:r>
      </w:hyperlink>
    </w:p>
  </w:footnote>
  <w:footnote w:id="2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Cs/>
        </w:rPr>
        <w:t>Directiva privind cooperarea administrativă în domeniul fiscal, Directiva Consiliului 2011/16/EU din 15 februarie 2011</w:t>
      </w:r>
      <w:r>
        <w:rPr>
          <w:rFonts w:ascii="Times New Roman" w:hAnsi="Times New Roman"/>
        </w:rPr>
        <w:t>.</w:t>
      </w:r>
    </w:p>
  </w:footnote>
  <w:footnote w:id="24">
    <w:p>
      <w:pPr>
        <w:pStyle w:val="FootnoteText"/>
        <w:spacing w:after="0"/>
      </w:pPr>
      <w:r>
        <w:rPr>
          <w:rFonts w:ascii="Times New Roman" w:hAnsi="Times New Roman"/>
          <w:szCs w:val="18"/>
        </w:rPr>
        <w:footnoteRef/>
      </w:r>
      <w:r>
        <w:rPr>
          <w:rFonts w:ascii="Times New Roman" w:hAnsi="Times New Roman"/>
          <w:szCs w:val="18"/>
        </w:rPr>
        <w:t xml:space="preserve"> Regulamentul (UE) 2019/1149 al Parlamentului European și al Consiliului din 20 iunie 2019 de instituire a unei Autorități Europene a Muncii, de modificare a Regulamentului (CE) nr. 883/2004, a Regulamentului (UE) nr. 492/2011 și a Regulamentului (UE) 2016/589 și de abrogare a Deciziei (UE) 2016/344.</w:t>
      </w:r>
    </w:p>
  </w:footnote>
  <w:footnote w:id="25">
    <w:p>
      <w:pPr>
        <w:pStyle w:val="FootnoteText"/>
        <w:spacing w:after="0"/>
      </w:pPr>
      <w:r>
        <w:rPr>
          <w:rFonts w:ascii="Times New Roman" w:hAnsi="Times New Roman"/>
          <w:szCs w:val="18"/>
        </w:rPr>
        <w:footnoteRef/>
      </w:r>
      <w:r>
        <w:rPr>
          <w:rFonts w:ascii="Times New Roman" w:hAnsi="Times New Roman"/>
          <w:szCs w:val="18"/>
        </w:rPr>
        <w:t xml:space="preserve"> Autoritatea Europeană a Muncii, Programul de lucru pentru 2020, </w:t>
      </w:r>
      <w:hyperlink r:id="rId11" w:history="1">
        <w:r>
          <w:rPr>
            <w:rStyle w:val="Hyperlink"/>
            <w:rFonts w:ascii="Times New Roman" w:hAnsi="Times New Roman"/>
            <w:szCs w:val="18"/>
          </w:rPr>
          <w:t>https://ela.europa.eu/documents/ELA_Work_Programme_2020.pdf</w:t>
        </w:r>
      </w:hyperlink>
      <w:r>
        <w:rPr>
          <w:rFonts w:ascii="Times New Roman" w:hAnsi="Times New Roman"/>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982C"/>
    <w:multiLevelType w:val="multilevel"/>
    <w:tmpl w:val="1CFEA59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67905027"/>
    <w:multiLevelType w:val="multilevel"/>
    <w:tmpl w:val="58D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5145E"/>
    <w:multiLevelType w:val="multilevel"/>
    <w:tmpl w:val="B7A8466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
    <w:nsid w:val="7F3E3783"/>
    <w:multiLevelType w:val="hybridMultilevel"/>
    <w:tmpl w:val="D0E0B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revisionView w:markup="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D43C435-66CE-4A7A-B10F-EAE7D810F6A1"/>
    <w:docVar w:name="LW_COVERPAGE_TYPE" w:val="1"/>
    <w:docVar w:name="LW_CROSSREFERENCE" w:val="&lt;UNUSED&gt;"/>
    <w:docVar w:name="LW_DocType" w:val="NORMAL"/>
    <w:docVar w:name="LW_EMISSION" w:val="2.4.2020"/>
    <w:docVar w:name="LW_EMISSION_ISODATE" w:val="2020-04-02"/>
    <w:docVar w:name="LW_EMISSION_LOCATION" w:val="BRX"/>
    <w:docVar w:name="LW_EMISSION_PREFIX" w:val="Bruxelles, "/>
    <w:docVar w:name="LW_EMISSION_SUFFIX" w:val=" "/>
    <w:docVar w:name="LW_ID_DOCTYPE_NONLW" w:val="CP-008"/>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rivind punerea în aplicare a &lt;/FMT&gt;Deciziei (UE) 2016/344 privind instituirea unei platforme europene pentru intensificarea cooper\u259?rii în materie de combatere a muncii nedeclarate"/>
    <w:docVar w:name="LW_TYPE.DOC.CP" w:val="RAPORT AL COMISIEI C\u258?TRE PARLAMENT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3 Heading 1 - Section,Section,Section Heading,Lev 1,Numbered - 1,CBC Heading 1,h1,Heading,H1,H11,H12,H111,H13,H112,H14,H113,H15,H114,H16,H115,H17,H116,H18,H117,H19,H118,H110,H119,H120,H1110,H121,H1111,H131,H1121,H141,H1131,H151,H1141,H161,S,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aliases w:val="F4 Heading 2 - SubSection,(SubSection),(Main Heading),h2,Paragraph,Para Nos,Sub Heading,Numbered - 2,ignorer2,Oscar Faber 2,HAA-Section,Heading 2a,1.1 Heading 2,level 1 subhead,Para,Main Heading,Main Headi,ASection,Headline 2,2,headi,heading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aliases w:val="F5 Heading 3,level 2 subhead,Numbered - 3,h3,para number,h31,3,Titre 3,Numbered Heading 3,(12pt),PARA3,PA Minor Section,sub-sub,H3,H31,Headline 3,h32,Sub Paragraph,Voorwoord,ASAPHeading 3,Level 1 - 1,Heading 3 - old,Heading 2.3,uh,3m,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aliases w:val="itth4,TABLE,heading 4 Char,Numbered - 4,heading 4,- Niveau 4,level 3 subhead,PA Micro Section,(Alt+4),H41,(Alt+4)1,H42,(Alt+4)2,H43,(Alt+4)3,H44,(Alt+4)4,H45,(Alt+4)5,H411,(Alt+4)11,H421,(Alt+4)21,H431,(Alt+4)31,H46,(Alt+4)6,H412,(Alt+4)12,H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qFormat/>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Section Heading Char,Lev 1 Char,Numbered - 1 Char,CBC Heading 1 Char,h1 Char,Heading Char,H1 Char,H11 Char,H12 Char,H111 Char,H13 Char,H112 Char,H14 Char,H113 Char,H15 Char,H114 Char,H16 Char"/>
    <w:basedOn w:val="DefaultParagraphFont"/>
    <w:link w:val="Heading1"/>
    <w:rPr>
      <w:rFonts w:ascii="Times New Roman" w:eastAsia="Times New Roman" w:hAnsi="Times New Roman" w:cs="Times New Roman"/>
      <w:b/>
      <w:smallCaps/>
      <w:sz w:val="24"/>
      <w:szCs w:val="20"/>
      <w:lang w:val="ro-RO" w:eastAsia="en-GB"/>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Para Char"/>
    <w:basedOn w:val="DefaultParagraphFont"/>
    <w:link w:val="Heading2"/>
    <w:rPr>
      <w:rFonts w:ascii="Times New Roman" w:eastAsia="Times New Roman" w:hAnsi="Times New Roman" w:cs="Times New Roman"/>
      <w:b/>
      <w:sz w:val="24"/>
      <w:szCs w:val="20"/>
      <w:lang w:val="ro-RO" w:eastAsia="en-GB"/>
    </w:rPr>
  </w:style>
  <w:style w:type="character" w:customStyle="1" w:styleId="Heading3Char">
    <w:name w:val="Heading 3 Char"/>
    <w:aliases w:val="F5 Heading 3 Char,level 2 subhead Char,Numbered - 3 Char,h3 Char,para number Char,h31 Char,3 Char,Titre 3 Char,Numbered Heading 3 Char,(12pt) Char,PARA3 Char,PA Minor Section Char,sub-sub Char,H3 Char,H31 Char,Headline 3 Char,h32 Char"/>
    <w:basedOn w:val="DefaultParagraphFont"/>
    <w:link w:val="Heading3"/>
    <w:rPr>
      <w:rFonts w:ascii="Times New Roman" w:eastAsia="Times New Roman" w:hAnsi="Times New Roman" w:cs="Times New Roman"/>
      <w:i/>
      <w:sz w:val="24"/>
      <w:szCs w:val="20"/>
      <w:lang w:val="ro-RO" w:eastAsia="en-GB"/>
    </w:rPr>
  </w:style>
  <w:style w:type="character" w:customStyle="1" w:styleId="Heading4Char">
    <w:name w:val="Heading 4 Char"/>
    <w:aliases w:val="itth4 Char,TABLE Char,heading 4 Char Char,Numbered - 4 Char,heading 4 Char1,- Niveau 4 Char,level 3 subhead Char,PA Micro Section Char,(Alt+4) Char,H41 Char,(Alt+4)1 Char,H42 Char,(Alt+4)2 Char,H43 Char,(Alt+4)3 Char,H44 Char,H45 Char"/>
    <w:basedOn w:val="DefaultParagraphFont"/>
    <w:link w:val="Heading4"/>
    <w:rPr>
      <w:rFonts w:ascii="Times New Roman" w:eastAsia="Times New Roman" w:hAnsi="Times New Roman" w:cs="Times New Roman"/>
      <w:sz w:val="24"/>
      <w:szCs w:val="20"/>
      <w:lang w:val="ro-RO" w:eastAsia="en-GB"/>
    </w:r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Times New Roman" w:eastAsia="Times New Roman" w:hAnsi="Times New Roman" w:cs="Times New Roman"/>
      <w:sz w:val="24"/>
      <w:szCs w:val="20"/>
      <w:lang w:val="ro-RO"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ro-RO"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ro-RO"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ro-RO"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ro-RO"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en-GB"/>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aliases w:val="Footnote Reference Superscript,EN Footnote Reference,number,SUPERS,Odwołanie przypisu,Footnote symbol,Footnote reference number,Times 10 Point,Exposant 3 Point,note TESI, BVI fnr,Voetnootverwijzing,Footnote Reference/,BVI fnr,Ref,B2,F"/>
    <w:basedOn w:val="DefaultParagraphFont"/>
    <w:link w:val="fr"/>
    <w:uiPriority w:val="99"/>
    <w:qFormat/>
    <w:rPr>
      <w:vertAlign w:val="superscript"/>
    </w:rPr>
  </w:style>
  <w:style w:type="paragraph" w:customStyle="1" w:styleId="fr">
    <w:name w:val="fr"/>
    <w:aliases w:val="Odwo&lt;0142&gt;anie przypisu,SUPER,BVI fnr Char1 Char"/>
    <w:basedOn w:val="Normal"/>
    <w:next w:val="Normal"/>
    <w:link w:val="FootnoteReference"/>
    <w:uiPriority w:val="99"/>
    <w:pPr>
      <w:spacing w:line="240" w:lineRule="exact"/>
    </w:pPr>
    <w:rPr>
      <w:vertAlign w:val="superscript"/>
    </w:rPr>
  </w:style>
  <w:style w:type="paragraph" w:styleId="FootnoteText">
    <w:name w:val="footnote text"/>
    <w:aliases w:val="Footnote,Fußnote,Voetnoottekst Char,Voetnoottekst Char1 Char,Voetnoottekst Char Char1 Char,Voetnoottekst Char1 Char Char Char,Voetnoottekst Char Char1 Char Char Char,Voetnoottekst Char1 Char Char Char Char Char,Schriftart: 9 pt,o,ft,fn"/>
    <w:basedOn w:val="Normal"/>
    <w:link w:val="FootnoteTextChar"/>
    <w:qFormat/>
    <w:pPr>
      <w:spacing w:after="60" w:line="240" w:lineRule="auto"/>
    </w:pPr>
    <w:rPr>
      <w:rFonts w:ascii="Arial" w:hAnsi="Arial" w:cs="Times New Roman"/>
      <w:sz w:val="18"/>
      <w:szCs w:val="20"/>
    </w:rPr>
  </w:style>
  <w:style w:type="character" w:customStyle="1" w:styleId="FootnoteTextChar">
    <w:name w:val="Footnote Text Char"/>
    <w:aliases w:val="Footnote Char,Fußnote Char,Voetnoottekst Char Char,Voetnoottekst Char1 Char Char,Voetnoottekst Char Char1 Char Char,Voetnoottekst Char1 Char Char Char Char,Voetnoottekst Char Char1 Char Char Char Char,Schriftart: 9 pt Char,o Char"/>
    <w:basedOn w:val="DefaultParagraphFont"/>
    <w:link w:val="FootnoteText"/>
    <w:rPr>
      <w:rFonts w:ascii="Arial" w:hAnsi="Arial" w:cs="Times New Roman"/>
      <w:sz w:val="18"/>
      <w:szCs w:val="20"/>
      <w:lang w:val="ro-RO"/>
    </w:rPr>
  </w:style>
  <w:style w:type="table" w:styleId="TableGrid">
    <w:name w:val="Table Grid"/>
    <w:aliases w:val="Table Format 1,HTG,TabelEcorys,Tabela Renova"/>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ro-RO"/>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Text1"/>
    <w:pPr>
      <w:numPr>
        <w:ilvl w:val="1"/>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4">
    <w:name w:val="List Bullet (Level 4)"/>
    <w:basedOn w:val="Text1"/>
    <w:semiHidden/>
    <w:unhideWhenUsed/>
    <w:pPr>
      <w:numPr>
        <w:ilvl w:val="3"/>
        <w:numId w:val="2"/>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ro-RO"/>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eastAsia="en-GB"/>
    </w:rPr>
  </w:style>
  <w:style w:type="paragraph" w:styleId="Revision">
    <w:name w:val="Revision"/>
    <w:hidden/>
    <w:uiPriority w:val="99"/>
    <w:semiHidden/>
    <w:pPr>
      <w:spacing w:after="0" w:line="240" w:lineRule="auto"/>
    </w:pPr>
  </w:style>
  <w:style w:type="paragraph" w:customStyle="1" w:styleId="ecl-paragraph">
    <w:name w:val="ecl-paragraph"/>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ro-RO"/>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3 Heading 1 - Section,Section,Section Heading,Lev 1,Numbered - 1,CBC Heading 1,h1,Heading,H1,H11,H12,H111,H13,H112,H14,H113,H15,H114,H16,H115,H17,H116,H18,H117,H19,H118,H110,H119,H120,H1110,H121,H1111,H131,H1121,H141,H1131,H151,H1141,H161,S,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aliases w:val="F4 Heading 2 - SubSection,(SubSection),(Main Heading),h2,Paragraph,Para Nos,Sub Heading,Numbered - 2,ignorer2,Oscar Faber 2,HAA-Section,Heading 2a,1.1 Heading 2,level 1 subhead,Para,Main Heading,Main Headi,ASection,Headline 2,2,headi,heading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aliases w:val="F5 Heading 3,level 2 subhead,Numbered - 3,h3,para number,h31,3,Titre 3,Numbered Heading 3,(12pt),PARA3,PA Minor Section,sub-sub,H3,H31,Headline 3,h32,Sub Paragraph,Voorwoord,ASAPHeading 3,Level 1 - 1,Heading 3 - old,Heading 2.3,uh,3m,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aliases w:val="itth4,TABLE,heading 4 Char,Numbered - 4,heading 4,- Niveau 4,level 3 subhead,PA Micro Section,(Alt+4),H41,(Alt+4)1,H42,(Alt+4)2,H43,(Alt+4)3,H44,(Alt+4)4,H45,(Alt+4)5,H411,(Alt+4)11,H421,(Alt+4)21,H431,(Alt+4)31,H46,(Alt+4)6,H412,(Alt+4)12,H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qFormat/>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Section Heading Char,Lev 1 Char,Numbered - 1 Char,CBC Heading 1 Char,h1 Char,Heading Char,H1 Char,H11 Char,H12 Char,H111 Char,H13 Char,H112 Char,H14 Char,H113 Char,H15 Char,H114 Char,H16 Char"/>
    <w:basedOn w:val="DefaultParagraphFont"/>
    <w:link w:val="Heading1"/>
    <w:rPr>
      <w:rFonts w:ascii="Times New Roman" w:eastAsia="Times New Roman" w:hAnsi="Times New Roman" w:cs="Times New Roman"/>
      <w:b/>
      <w:smallCaps/>
      <w:sz w:val="24"/>
      <w:szCs w:val="20"/>
      <w:lang w:val="ro-RO" w:eastAsia="en-GB"/>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Para Char"/>
    <w:basedOn w:val="DefaultParagraphFont"/>
    <w:link w:val="Heading2"/>
    <w:rPr>
      <w:rFonts w:ascii="Times New Roman" w:eastAsia="Times New Roman" w:hAnsi="Times New Roman" w:cs="Times New Roman"/>
      <w:b/>
      <w:sz w:val="24"/>
      <w:szCs w:val="20"/>
      <w:lang w:val="ro-RO" w:eastAsia="en-GB"/>
    </w:rPr>
  </w:style>
  <w:style w:type="character" w:customStyle="1" w:styleId="Heading3Char">
    <w:name w:val="Heading 3 Char"/>
    <w:aliases w:val="F5 Heading 3 Char,level 2 subhead Char,Numbered - 3 Char,h3 Char,para number Char,h31 Char,3 Char,Titre 3 Char,Numbered Heading 3 Char,(12pt) Char,PARA3 Char,PA Minor Section Char,sub-sub Char,H3 Char,H31 Char,Headline 3 Char,h32 Char"/>
    <w:basedOn w:val="DefaultParagraphFont"/>
    <w:link w:val="Heading3"/>
    <w:rPr>
      <w:rFonts w:ascii="Times New Roman" w:eastAsia="Times New Roman" w:hAnsi="Times New Roman" w:cs="Times New Roman"/>
      <w:i/>
      <w:sz w:val="24"/>
      <w:szCs w:val="20"/>
      <w:lang w:val="ro-RO" w:eastAsia="en-GB"/>
    </w:rPr>
  </w:style>
  <w:style w:type="character" w:customStyle="1" w:styleId="Heading4Char">
    <w:name w:val="Heading 4 Char"/>
    <w:aliases w:val="itth4 Char,TABLE Char,heading 4 Char Char,Numbered - 4 Char,heading 4 Char1,- Niveau 4 Char,level 3 subhead Char,PA Micro Section Char,(Alt+4) Char,H41 Char,(Alt+4)1 Char,H42 Char,(Alt+4)2 Char,H43 Char,(Alt+4)3 Char,H44 Char,H45 Char"/>
    <w:basedOn w:val="DefaultParagraphFont"/>
    <w:link w:val="Heading4"/>
    <w:rPr>
      <w:rFonts w:ascii="Times New Roman" w:eastAsia="Times New Roman" w:hAnsi="Times New Roman" w:cs="Times New Roman"/>
      <w:sz w:val="24"/>
      <w:szCs w:val="20"/>
      <w:lang w:val="ro-RO" w:eastAsia="en-GB"/>
    </w:r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Times New Roman" w:eastAsia="Times New Roman" w:hAnsi="Times New Roman" w:cs="Times New Roman"/>
      <w:sz w:val="24"/>
      <w:szCs w:val="20"/>
      <w:lang w:val="ro-RO"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ro-RO"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ro-RO"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ro-RO"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ro-RO"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en-GB"/>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aliases w:val="Footnote Reference Superscript,EN Footnote Reference,number,SUPERS,Odwołanie przypisu,Footnote symbol,Footnote reference number,Times 10 Point,Exposant 3 Point,note TESI, BVI fnr,Voetnootverwijzing,Footnote Reference/,BVI fnr,Ref,B2,F"/>
    <w:basedOn w:val="DefaultParagraphFont"/>
    <w:link w:val="fr"/>
    <w:uiPriority w:val="99"/>
    <w:qFormat/>
    <w:rPr>
      <w:vertAlign w:val="superscript"/>
    </w:rPr>
  </w:style>
  <w:style w:type="paragraph" w:customStyle="1" w:styleId="fr">
    <w:name w:val="fr"/>
    <w:aliases w:val="Odwo&lt;0142&gt;anie przypisu,SUPER,BVI fnr Char1 Char"/>
    <w:basedOn w:val="Normal"/>
    <w:next w:val="Normal"/>
    <w:link w:val="FootnoteReference"/>
    <w:uiPriority w:val="99"/>
    <w:pPr>
      <w:spacing w:line="240" w:lineRule="exact"/>
    </w:pPr>
    <w:rPr>
      <w:vertAlign w:val="superscript"/>
    </w:rPr>
  </w:style>
  <w:style w:type="paragraph" w:styleId="FootnoteText">
    <w:name w:val="footnote text"/>
    <w:aliases w:val="Footnote,Fußnote,Voetnoottekst Char,Voetnoottekst Char1 Char,Voetnoottekst Char Char1 Char,Voetnoottekst Char1 Char Char Char,Voetnoottekst Char Char1 Char Char Char,Voetnoottekst Char1 Char Char Char Char Char,Schriftart: 9 pt,o,ft,fn"/>
    <w:basedOn w:val="Normal"/>
    <w:link w:val="FootnoteTextChar"/>
    <w:qFormat/>
    <w:pPr>
      <w:spacing w:after="60" w:line="240" w:lineRule="auto"/>
    </w:pPr>
    <w:rPr>
      <w:rFonts w:ascii="Arial" w:hAnsi="Arial" w:cs="Times New Roman"/>
      <w:sz w:val="18"/>
      <w:szCs w:val="20"/>
    </w:rPr>
  </w:style>
  <w:style w:type="character" w:customStyle="1" w:styleId="FootnoteTextChar">
    <w:name w:val="Footnote Text Char"/>
    <w:aliases w:val="Footnote Char,Fußnote Char,Voetnoottekst Char Char,Voetnoottekst Char1 Char Char,Voetnoottekst Char Char1 Char Char,Voetnoottekst Char1 Char Char Char Char,Voetnoottekst Char Char1 Char Char Char Char,Schriftart: 9 pt Char,o Char"/>
    <w:basedOn w:val="DefaultParagraphFont"/>
    <w:link w:val="FootnoteText"/>
    <w:rPr>
      <w:rFonts w:ascii="Arial" w:hAnsi="Arial" w:cs="Times New Roman"/>
      <w:sz w:val="18"/>
      <w:szCs w:val="20"/>
      <w:lang w:val="ro-RO"/>
    </w:rPr>
  </w:style>
  <w:style w:type="table" w:styleId="TableGrid">
    <w:name w:val="Table Grid"/>
    <w:aliases w:val="Table Format 1,HTG,TabelEcorys,Tabela Renova"/>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ro-RO"/>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Text1"/>
    <w:pPr>
      <w:numPr>
        <w:ilvl w:val="1"/>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4">
    <w:name w:val="List Bullet (Level 4)"/>
    <w:basedOn w:val="Text1"/>
    <w:semiHidden/>
    <w:unhideWhenUsed/>
    <w:pPr>
      <w:numPr>
        <w:ilvl w:val="3"/>
        <w:numId w:val="2"/>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ro-RO"/>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eastAsia="en-GB"/>
    </w:rPr>
  </w:style>
  <w:style w:type="paragraph" w:styleId="Revision">
    <w:name w:val="Revision"/>
    <w:hidden/>
    <w:uiPriority w:val="99"/>
    <w:semiHidden/>
    <w:pPr>
      <w:spacing w:after="0" w:line="240" w:lineRule="auto"/>
    </w:pPr>
  </w:style>
  <w:style w:type="paragraph" w:customStyle="1" w:styleId="ecl-paragraph">
    <w:name w:val="ecl-paragraph"/>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ro-RO"/>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723">
      <w:bodyDiv w:val="1"/>
      <w:marLeft w:val="0"/>
      <w:marRight w:val="0"/>
      <w:marTop w:val="0"/>
      <w:marBottom w:val="0"/>
      <w:divBdr>
        <w:top w:val="none" w:sz="0" w:space="0" w:color="auto"/>
        <w:left w:val="none" w:sz="0" w:space="0" w:color="auto"/>
        <w:bottom w:val="none" w:sz="0" w:space="0" w:color="auto"/>
        <w:right w:val="none" w:sz="0" w:space="0" w:color="auto"/>
      </w:divBdr>
    </w:div>
    <w:div w:id="15959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social/BlobServlet?docId=18799&amp;langId=en" TargetMode="External"/><Relationship Id="rId3" Type="http://schemas.openxmlformats.org/officeDocument/2006/relationships/hyperlink" Target="https://ec.europa.eu/social/BlobServlet?docId=22305&amp;langId=en" TargetMode="External"/><Relationship Id="rId7" Type="http://schemas.openxmlformats.org/officeDocument/2006/relationships/hyperlink" Target="https://ec.europa.eu/social/main.jsp?catId=1322&amp;langId=ro" TargetMode="External"/><Relationship Id="rId2" Type="http://schemas.openxmlformats.org/officeDocument/2006/relationships/hyperlink" Target="https://ec.europa.eu/social/BlobServlet?docId=20472&amp;langId=en" TargetMode="External"/><Relationship Id="rId1" Type="http://schemas.openxmlformats.org/officeDocument/2006/relationships/hyperlink" Target="https://ela.europa.eu/index.html" TargetMode="External"/><Relationship Id="rId6" Type="http://schemas.openxmlformats.org/officeDocument/2006/relationships/hyperlink" Target="https://ec.europa.eu/social/main.jsp?catId=1299&amp;langId=ro" TargetMode="External"/><Relationship Id="rId11" Type="http://schemas.openxmlformats.org/officeDocument/2006/relationships/hyperlink" Target="https://ela.europa.eu/documents/ELA_Work_Programme_2020.pdf" TargetMode="External"/><Relationship Id="rId5" Type="http://schemas.openxmlformats.org/officeDocument/2006/relationships/hyperlink" Target="https://ec.europa.eu/social/main.jsp?catId=1323&amp;langId=ro" TargetMode="External"/><Relationship Id="rId10" Type="http://schemas.openxmlformats.org/officeDocument/2006/relationships/hyperlink" Target="https://ec.europa.eu/social/BlobServlet?docId=20864&amp;langId=en" TargetMode="External"/><Relationship Id="rId4" Type="http://schemas.openxmlformats.org/officeDocument/2006/relationships/hyperlink" Target="https://ec.europa.eu/social/BlobServlet?docId=16358&amp;langId=en" TargetMode="External"/><Relationship Id="rId9" Type="http://schemas.openxmlformats.org/officeDocument/2006/relationships/hyperlink" Target="https://ec.europa.eu/social/main.jsp?catId=1299&amp;langI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2599977-1CFA-45E1-9B76-D832DD4A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5331</Words>
  <Characters>31885</Characters>
  <Application>Microsoft Office Word</Application>
  <DocSecurity>0</DocSecurity>
  <Lines>462</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2020-03-24T12:46:00Z</dcterms:created>
  <dcterms:modified xsi:type="dcterms:W3CDTF">2020-03-26T17:04:00Z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CP-008</vt:lpwstr>
  </property>
</Properties>
</file>