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7FA7ADAD-C8AD-42C9-9D57-B21FBC0C7CE9" style="width:451.35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keepNext/>
        <w:numPr>
          <w:ilvl w:val="0"/>
          <w:numId w:val="1"/>
        </w:numPr>
        <w:shd w:val="clear" w:color="auto" w:fill="FFFFFF"/>
        <w:spacing w:before="360" w:after="120" w:line="240" w:lineRule="auto"/>
        <w:jc w:val="both"/>
        <w:outlineLvl w:val="0"/>
        <w:rPr>
          <w:rFonts w:ascii="Times New Roman" w:hAnsi="Times New Roman"/>
          <w:b/>
          <w:bCs/>
          <w:smallCaps/>
          <w:noProof/>
          <w:sz w:val="24"/>
          <w:szCs w:val="28"/>
        </w:rPr>
      </w:pPr>
      <w:bookmarkStart w:id="1" w:name="_GoBack"/>
      <w:bookmarkEnd w:id="1"/>
      <w:r>
        <w:rPr>
          <w:rFonts w:ascii="Times New Roman" w:hAnsi="Times New Roman"/>
          <w:b/>
          <w:bCs/>
          <w:smallCaps/>
          <w:noProof/>
          <w:szCs w:val="28"/>
        </w:rPr>
        <w:lastRenderedPageBreak/>
        <w:t>Tausta</w:t>
      </w:r>
    </w:p>
    <w:p>
      <w:pPr>
        <w:spacing w:before="120" w:after="120" w:line="240" w:lineRule="auto"/>
        <w:jc w:val="both"/>
        <w:rPr>
          <w:rFonts w:ascii="Times New Roman" w:hAnsi="Times New Roman" w:cs="Times New Roman"/>
          <w:noProof/>
          <w:sz w:val="24"/>
          <w:szCs w:val="24"/>
        </w:rPr>
      </w:pPr>
      <w:r>
        <w:rPr>
          <w:rFonts w:ascii="Times New Roman" w:hAnsi="Times New Roman"/>
          <w:noProof/>
        </w:rPr>
        <w:t>Kalatalousalan tietojen keruuta, hallintaa ja käyttöä koskevista unionin puitteista sekä yhteistä kalastuspolitiikkaa koskevien tieteellisten lausuntojen tukemisesta annetussa Euroopan parlamentin ja neuvoston asetuksessa (EU) 2017/1004 siirretään komissiolle valta antaa delegoituja säädöksiä.</w:t>
      </w:r>
      <w:r>
        <w:rPr>
          <w:rStyle w:val="FootnoteReference"/>
          <w:rFonts w:ascii="Times New Roman" w:hAnsi="Times New Roman" w:cs="Times New Roman"/>
          <w:noProof/>
        </w:rPr>
        <w:footnoteReference w:id="1"/>
      </w:r>
      <w:r>
        <w:rPr>
          <w:rFonts w:ascii="Times New Roman" w:hAnsi="Times New Roman"/>
          <w:noProof/>
        </w:rPr>
        <w:t xml:space="preserve"> Asetuksen 4 artiklan mukaan komissio hyväksyy monivuotisen ohjelman kalatalous- ja vesiviljelyalaa koskevien biologisten, ympäristöön liittyvien, teknisten ja sosioekonomisten tietojen keruuta, hallintaa ja käyttöä varten. Komissiolle siirretään 4 artiklan 1 kohdassa valta hyväksyä delegoidulla säädöksellä tähän EU:n monivuotiseen ohjelmaan osana kuuluva yksityiskohtainen luettelo tietovaatimuksista, jotka ovat tarpeen yhteisestä kalastuspolitiikasta annetun asetuksen (EU) N:o 1380/2013</w:t>
      </w:r>
      <w:r>
        <w:rPr>
          <w:rStyle w:val="FootnoteReference"/>
          <w:rFonts w:ascii="Times New Roman" w:hAnsi="Times New Roman" w:cs="Times New Roman"/>
          <w:noProof/>
        </w:rPr>
        <w:footnoteReference w:id="2"/>
      </w:r>
      <w:r>
        <w:rPr>
          <w:rFonts w:ascii="Times New Roman" w:hAnsi="Times New Roman"/>
          <w:noProof/>
        </w:rPr>
        <w:t xml:space="preserve"> 2 ja 25 artiklan mukaisten tavoitteiden saavuttamiseksi.</w:t>
      </w:r>
    </w:p>
    <w:p>
      <w:pPr>
        <w:spacing w:before="120" w:after="120" w:line="240" w:lineRule="auto"/>
        <w:jc w:val="both"/>
        <w:rPr>
          <w:rFonts w:ascii="Times New Roman" w:hAnsi="Times New Roman" w:cs="Times New Roman"/>
          <w:noProof/>
          <w:sz w:val="24"/>
          <w:szCs w:val="24"/>
        </w:rPr>
      </w:pPr>
      <w:r>
        <w:rPr>
          <w:rFonts w:ascii="Times New Roman" w:hAnsi="Times New Roman"/>
          <w:noProof/>
        </w:rPr>
        <w:t>Valta antaa delegoituja säädöksiä on siirretty kolmen vuoden ajaksi 10 päivästä heinäkuuta 2017 alkaen. Säädösvallan siirtoa jatketaan ilman eri toimenpiteitä kolmen vuoden pituisiksi kausiksi, jollei Euroopan parlamentti tai neuvosto vastusta sitä. Asetuksen 24 artiklan 2 kohdan mukaan komissio laatii kertomuksen siirretyn säädösvallan käytöstä.</w:t>
      </w:r>
      <w:r>
        <w:rPr>
          <w:rStyle w:val="FootnoteReference"/>
          <w:rFonts w:ascii="Times New Roman" w:hAnsi="Times New Roman" w:cs="Times New Roman"/>
          <w:noProof/>
        </w:rPr>
        <w:footnoteReference w:id="3"/>
      </w:r>
      <w:r>
        <w:rPr>
          <w:rFonts w:ascii="Times New Roman" w:hAnsi="Times New Roman"/>
          <w:noProof/>
        </w:rPr>
        <w:t xml:space="preserve"> Tällä kertomuksella täytetään kyseinen velvollisuus.</w:t>
      </w:r>
    </w:p>
    <w:p>
      <w:pPr>
        <w:keepNext/>
        <w:numPr>
          <w:ilvl w:val="0"/>
          <w:numId w:val="1"/>
        </w:numPr>
        <w:shd w:val="clear" w:color="auto" w:fill="FFFFFF"/>
        <w:spacing w:before="360" w:after="120" w:line="240" w:lineRule="auto"/>
        <w:jc w:val="both"/>
        <w:outlineLvl w:val="0"/>
        <w:rPr>
          <w:rFonts w:ascii="Times New Roman" w:hAnsi="Times New Roman"/>
          <w:b/>
          <w:bCs/>
          <w:smallCaps/>
          <w:noProof/>
          <w:sz w:val="24"/>
          <w:szCs w:val="28"/>
        </w:rPr>
      </w:pPr>
      <w:r>
        <w:rPr>
          <w:rFonts w:ascii="Times New Roman" w:hAnsi="Times New Roman"/>
          <w:b/>
          <w:bCs/>
          <w:smallCaps/>
          <w:noProof/>
          <w:szCs w:val="28"/>
        </w:rPr>
        <w:t>Komission harjoittama siirretyn säädösvallan käyttäminen asetuksen (EU) 2017/1004 nojalla</w:t>
      </w:r>
    </w:p>
    <w:p>
      <w:pPr>
        <w:spacing w:before="120" w:after="120" w:line="240" w:lineRule="auto"/>
        <w:jc w:val="both"/>
        <w:rPr>
          <w:rFonts w:ascii="Times New Roman" w:hAnsi="Times New Roman" w:cs="Times New Roman"/>
          <w:noProof/>
          <w:sz w:val="24"/>
          <w:szCs w:val="24"/>
        </w:rPr>
      </w:pPr>
      <w:r>
        <w:rPr>
          <w:rFonts w:ascii="Times New Roman" w:hAnsi="Times New Roman"/>
          <w:noProof/>
        </w:rPr>
        <w:t>Vuosia 2017–2019 koskevan EU:n monivuotisen ohjelman</w:t>
      </w:r>
      <w:r>
        <w:rPr>
          <w:rStyle w:val="FootnoteReference"/>
          <w:rFonts w:ascii="Times New Roman" w:hAnsi="Times New Roman" w:cs="Times New Roman"/>
          <w:noProof/>
        </w:rPr>
        <w:footnoteReference w:id="4"/>
      </w:r>
      <w:r>
        <w:rPr>
          <w:rFonts w:ascii="Times New Roman" w:hAnsi="Times New Roman"/>
          <w:noProof/>
        </w:rPr>
        <w:t xml:space="preserve"> voimassaolo päättyi 31. joulukuuta 2019. Komissio käytti sille siirrettyä säädösvaltaa hyväksymällä kalastus- ja vesiviljelyalan biologisten, ympäristöä koskevien, teknisten ja sosioekonomisten tietojen keruuta ja hallintaa koskevan unionin monivuotisen ohjelman perustamisesta 13 päivänä maaliskuuta 2019 annetun komission delegoidun päätöksen (EU) 2019/910</w:t>
      </w:r>
      <w:r>
        <w:rPr>
          <w:rStyle w:val="FootnoteReference"/>
          <w:rFonts w:ascii="Times New Roman" w:hAnsi="Times New Roman" w:cs="Times New Roman"/>
          <w:noProof/>
        </w:rPr>
        <w:footnoteReference w:id="5"/>
      </w:r>
      <w:r>
        <w:rPr>
          <w:rFonts w:ascii="Times New Roman" w:hAnsi="Times New Roman"/>
          <w:noProof/>
        </w:rPr>
        <w:t>. Kyseisellä komission delegoidulla päätöksellä jatketaan komission täytäntöönpanopäätöksen (EU) 2016/1251 vastaavien säännösten ja sääntöjen soveltamista vuosiksi 2020–2021 muuttamatta säännösten asiasisältöä.</w:t>
      </w:r>
    </w:p>
    <w:p>
      <w:pPr>
        <w:spacing w:before="120" w:after="120" w:line="240" w:lineRule="auto"/>
        <w:jc w:val="both"/>
        <w:rPr>
          <w:rFonts w:ascii="Times New Roman" w:hAnsi="Times New Roman" w:cs="Times New Roman"/>
          <w:noProof/>
          <w:sz w:val="24"/>
          <w:szCs w:val="24"/>
        </w:rPr>
      </w:pPr>
      <w:r>
        <w:rPr>
          <w:rFonts w:ascii="Times New Roman" w:hAnsi="Times New Roman"/>
          <w:noProof/>
        </w:rPr>
        <w:t>Komission delegoitu päätös (EU) 2019/910 annettiin EU:n monivuotisen ohjelman perustamiseksi vuosiksi 2020–2021. EU:n monivuotisen ohjelman soveltamista varten kyseistä päätöstä on tarkasteltava yhdessä komission täytäntöönpanopäätöksen (EU) 2019/909</w:t>
      </w:r>
      <w:r>
        <w:rPr>
          <w:rStyle w:val="FootnoteReference"/>
          <w:rFonts w:ascii="Times New Roman" w:hAnsi="Times New Roman" w:cs="Times New Roman"/>
          <w:noProof/>
        </w:rPr>
        <w:footnoteReference w:id="6"/>
      </w:r>
      <w:r>
        <w:rPr>
          <w:rFonts w:ascii="Times New Roman" w:hAnsi="Times New Roman"/>
          <w:noProof/>
        </w:rPr>
        <w:t xml:space="preserve"> kanssa; se annettiin 18. helmikuuta 2019, ja myös sitä sovelletaan vuosina 2020–2021.</w:t>
      </w:r>
    </w:p>
    <w:p>
      <w:pPr>
        <w:keepNext/>
        <w:numPr>
          <w:ilvl w:val="0"/>
          <w:numId w:val="1"/>
        </w:numPr>
        <w:shd w:val="clear" w:color="auto" w:fill="FFFFFF"/>
        <w:spacing w:before="360" w:after="120" w:line="240" w:lineRule="auto"/>
        <w:jc w:val="both"/>
        <w:outlineLvl w:val="0"/>
        <w:rPr>
          <w:rFonts w:ascii="Times New Roman" w:hAnsi="Times New Roman"/>
          <w:b/>
          <w:bCs/>
          <w:smallCaps/>
          <w:noProof/>
          <w:sz w:val="24"/>
          <w:szCs w:val="28"/>
        </w:rPr>
      </w:pPr>
      <w:r>
        <w:rPr>
          <w:rFonts w:ascii="Times New Roman" w:hAnsi="Times New Roman"/>
          <w:b/>
          <w:bCs/>
          <w:smallCaps/>
          <w:noProof/>
          <w:szCs w:val="28"/>
        </w:rPr>
        <w:t>Päätelmät</w:t>
      </w:r>
    </w:p>
    <w:p>
      <w:pPr>
        <w:spacing w:before="120" w:after="120" w:line="240" w:lineRule="auto"/>
        <w:jc w:val="both"/>
        <w:rPr>
          <w:noProof/>
        </w:rPr>
      </w:pPr>
      <w:r>
        <w:rPr>
          <w:rFonts w:ascii="Times New Roman" w:hAnsi="Times New Roman"/>
          <w:noProof/>
        </w:rPr>
        <w:t>Komissio on käyttänyt sille siirrettyä säädösvaltaa komission täytäntöönpanopäätöksen (EU) 2016/1251 voimassaolon päätyttyä vuonna 2019. Komission delegoidulla päätöksellä (EU) 2019/910 varmistetaan puitteet, säännökset ja säännöt kalastus- ja vesiviljelyalan biologisten, ympäristöä koskevien, teknisten ja sosioekonomisten tietojen keruuta ja hallintaa koskevan unionin monivuotisen ohjelman perustamiseksi vuosiksi 2020–2021, ja näin varmistetaan asetuksen (EU) 2017/1004 täytäntöönpano kyseisellä kaudella. Komissio katsoo tarpeelliseksi jatkaa säädösvallan siirtoa monivuotisten unionin ohjelmien perustamista koskevien delegoitujen säädösten antamista varten myös vuoden 2021 jälkeen.</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00422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sv-SE"/>
        </w:rPr>
      </w:pPr>
      <w:r>
        <w:rPr>
          <w:rStyle w:val="FootnoteReference"/>
        </w:rPr>
        <w:footnoteRef/>
      </w:r>
      <w:r>
        <w:rPr>
          <w:lang w:val="sv-SE"/>
        </w:rPr>
        <w:tab/>
        <w:t>EUVL L 157, 20.6.2017, s. 1–21, 24 artikla.</w:t>
      </w:r>
    </w:p>
  </w:footnote>
  <w:footnote w:id="2">
    <w:p>
      <w:pPr>
        <w:pStyle w:val="FootnoteText"/>
        <w:rPr>
          <w:lang w:val="sv-SE"/>
        </w:rPr>
      </w:pPr>
      <w:r>
        <w:rPr>
          <w:rStyle w:val="FootnoteReference"/>
        </w:rPr>
        <w:footnoteRef/>
      </w:r>
      <w:r>
        <w:rPr>
          <w:lang w:val="sv-SE"/>
        </w:rPr>
        <w:tab/>
        <w:t>EUVL L 354, 28.12.2013, s. 22–61.</w:t>
      </w:r>
    </w:p>
  </w:footnote>
  <w:footnote w:id="3">
    <w:p>
      <w:pPr>
        <w:pStyle w:val="FootnoteText"/>
      </w:pPr>
      <w:r>
        <w:rPr>
          <w:rStyle w:val="FootnoteReference"/>
        </w:rPr>
        <w:footnoteRef/>
      </w:r>
      <w:r>
        <w:tab/>
        <w:t xml:space="preserve">EUVL L 157, 20.6.2017, s. 1–21, 24 artikla. </w:t>
      </w:r>
    </w:p>
  </w:footnote>
  <w:footnote w:id="4">
    <w:p>
      <w:pPr>
        <w:pStyle w:val="FootnoteText"/>
      </w:pPr>
      <w:r>
        <w:rPr>
          <w:rStyle w:val="FootnoteReference"/>
        </w:rPr>
        <w:footnoteRef/>
      </w:r>
      <w:r>
        <w:tab/>
        <w:t>Komission täytäntöönpanopäätös (EU) 2016/1251, annettu 12 päivänä heinäkuuta 2016, unionin monivuotisesta ohjelmasta kalastus- ja vesiviljelyalan tietojen keruuta, hallintaa ja käyttöä varten kaudella 2017–2019 (EUVL L 207, 1.8.2016, s. 113–177).</w:t>
      </w:r>
    </w:p>
  </w:footnote>
  <w:footnote w:id="5">
    <w:p>
      <w:pPr>
        <w:pStyle w:val="FootnoteText"/>
      </w:pPr>
      <w:r>
        <w:rPr>
          <w:rStyle w:val="FootnoteReference"/>
        </w:rPr>
        <w:footnoteRef/>
      </w:r>
      <w:r>
        <w:tab/>
        <w:t>EUVL L 145, 4.6.2019, s. 27–84.</w:t>
      </w:r>
    </w:p>
  </w:footnote>
  <w:footnote w:id="6">
    <w:p>
      <w:pPr>
        <w:pStyle w:val="FootnoteText"/>
      </w:pPr>
      <w:r>
        <w:rPr>
          <w:rStyle w:val="FootnoteReference"/>
        </w:rPr>
        <w:footnoteRef/>
      </w:r>
      <w:r>
        <w:tab/>
        <w:t>EUVL L 145, 4.6.2019, s. 21-26.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3CB"/>
    <w:multiLevelType w:val="hybridMultilevel"/>
    <w:tmpl w:val="93B2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FA7ADAD-C8AD-42C9-9D57-B21FBC0C7CE9"/>
    <w:docVar w:name="LW_COVERPAGE_TYPE" w:val="1"/>
    <w:docVar w:name="LW_CROSSREFERENCE" w:val="&lt;UNUSED&gt;"/>
    <w:docVar w:name="LW_DocType" w:val="NORMAL"/>
    <w:docVar w:name="LW_EMISSION" w:val="2.4.2020"/>
    <w:docVar w:name="LW_EMISSION_ISODATE" w:val="2020-04-02"/>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0)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kalatalousalan tietojen keruuta, hallintaa ja käyttöä koskevista unionin puitteista annetulla asetuksella (EU) 2017/1004 komissiolle siirretyn delegoitujen säädösten antamisvallan käyttämisestä"/>
    <w:docVar w:name="LW_TYPE.DOC.CP" w:val="KOMISSION KERTOMUS EUROOPAN PARLAMENTILLE JA NEUVOSTOLLE"/>
    <w:docVar w:name="Stamp" w:val="\\dossiers.dgt.cec.eu.int\dossiers\ESTAT\ESTAT-2017-10252\ESTAT-2017-10252-00-00-EN-REV-00.201710300923489574172.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ind w:left="720"/>
      <w:contextualSpacing/>
    </w:pPr>
    <w:rPr>
      <w:rFonts w:cs="Times New Roma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cs="Times New Roman"/>
      <w:sz w:val="24"/>
    </w:rPr>
  </w:style>
  <w:style w:type="character" w:customStyle="1" w:styleId="HeaderChar">
    <w:name w:val="Header Char"/>
    <w:basedOn w:val="DefaultParagraphFont"/>
    <w:link w:val="Header"/>
    <w:uiPriority w:val="99"/>
    <w:rPr>
      <w:rFonts w:ascii="Times New Roman" w:eastAsiaTheme="minorHAnsi"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cs="Times New Roman"/>
      <w:sz w:val="24"/>
    </w:rPr>
  </w:style>
  <w:style w:type="character" w:customStyle="1" w:styleId="FooterChar">
    <w:name w:val="Footer Char"/>
    <w:basedOn w:val="DefaultParagraphFont"/>
    <w:link w:val="Footer"/>
    <w:uiPriority w:val="99"/>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uiPriority w:val="99"/>
    <w:semiHidden/>
    <w:unhideWhenUsed/>
    <w:pPr>
      <w:spacing w:after="0" w:line="240" w:lineRule="auto"/>
    </w:pPr>
    <w:rPr>
      <w:rFonts w:cs="Times New Roman"/>
      <w:sz w:val="20"/>
      <w:szCs w:val="20"/>
    </w:rPr>
  </w:style>
  <w:style w:type="character" w:customStyle="1" w:styleId="FootnoteTextChar">
    <w:name w:val="Footnote Text Char"/>
    <w:basedOn w:val="DefaultParagraphFont"/>
    <w:uiPriority w:val="99"/>
    <w:semiHidden/>
    <w:rPr>
      <w:rFonts w:ascii="Calibri" w:hAnsi="Calibri" w:cs="Times New Roman"/>
      <w:sz w:val="20"/>
      <w:szCs w:val="20"/>
    </w:rPr>
  </w:style>
  <w:style w:type="character" w:styleId="FootnoteReference">
    <w:name w:val="footnote reference"/>
    <w:uiPriority w:val="99"/>
    <w:unhideWhenUsed/>
    <w:rPr>
      <w:shd w:val="clear" w:color="auto" w:fill="auto"/>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eastAsia="en-GB"/>
    </w:rPr>
  </w:style>
  <w:style w:type="paragraph" w:customStyle="1" w:styleId="CM1">
    <w:name w:val="CM1"/>
    <w:basedOn w:val="Default"/>
    <w:next w:val="Default"/>
    <w:uiPriority w:val="99"/>
    <w:rPr>
      <w:rFonts w:cs="Times New Roman"/>
      <w:color w:val="aut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paragraph" w:styleId="Revision">
    <w:name w:val="Revision"/>
    <w:hidden/>
    <w:uiPriority w:val="99"/>
    <w:semiHidden/>
    <w:pPr>
      <w:spacing w:after="0" w:line="240" w:lineRule="auto"/>
    </w:pPr>
    <w:rPr>
      <w:rFonts w:ascii="Calibri" w:hAnsi="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eastAsiaTheme="minorHAnsi" w:hAnsi="Times New Roman" w:cs="Times New Roman"/>
      <w:sz w:val="24"/>
    </w:rPr>
  </w:style>
  <w:style w:type="paragraph" w:customStyle="1" w:styleId="SecurityMarking">
    <w:name w:val="SecurityMarking"/>
    <w:basedOn w:val="Normal"/>
    <w:pPr>
      <w:spacing w:after="0"/>
      <w:ind w:left="5103"/>
    </w:pPr>
    <w:rPr>
      <w:rFonts w:ascii="Times New Roman" w:eastAsiaTheme="minorHAnsi" w:hAnsi="Times New Roman" w:cs="Times New Roman"/>
      <w:sz w:val="28"/>
    </w:rPr>
  </w:style>
  <w:style w:type="paragraph" w:customStyle="1" w:styleId="DateMarking">
    <w:name w:val="DateMarking"/>
    <w:basedOn w:val="Normal"/>
    <w:pPr>
      <w:spacing w:after="0"/>
      <w:ind w:left="5103"/>
    </w:pPr>
    <w:rPr>
      <w:rFonts w:ascii="Times New Roman" w:eastAsiaTheme="minorHAnsi" w:hAnsi="Times New Roman" w:cs="Times New Roman"/>
      <w:i/>
      <w:sz w:val="28"/>
    </w:rPr>
  </w:style>
  <w:style w:type="paragraph" w:customStyle="1" w:styleId="ReleasableTo">
    <w:name w:val="ReleasableTo"/>
    <w:basedOn w:val="Normal"/>
    <w:pPr>
      <w:spacing w:after="0"/>
      <w:ind w:left="5103"/>
    </w:pPr>
    <w:rPr>
      <w:rFonts w:ascii="Times New Roman" w:eastAsiaTheme="minorHAnsi"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ind w:left="720"/>
      <w:contextualSpacing/>
    </w:pPr>
    <w:rPr>
      <w:rFonts w:cs="Times New Roma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cs="Times New Roman"/>
      <w:sz w:val="24"/>
    </w:rPr>
  </w:style>
  <w:style w:type="character" w:customStyle="1" w:styleId="HeaderChar">
    <w:name w:val="Header Char"/>
    <w:basedOn w:val="DefaultParagraphFont"/>
    <w:link w:val="Header"/>
    <w:uiPriority w:val="99"/>
    <w:rPr>
      <w:rFonts w:ascii="Times New Roman" w:eastAsiaTheme="minorHAnsi"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cs="Times New Roman"/>
      <w:sz w:val="24"/>
    </w:rPr>
  </w:style>
  <w:style w:type="character" w:customStyle="1" w:styleId="FooterChar">
    <w:name w:val="Footer Char"/>
    <w:basedOn w:val="DefaultParagraphFont"/>
    <w:link w:val="Footer"/>
    <w:uiPriority w:val="99"/>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uiPriority w:val="99"/>
    <w:semiHidden/>
    <w:unhideWhenUsed/>
    <w:pPr>
      <w:spacing w:after="0" w:line="240" w:lineRule="auto"/>
    </w:pPr>
    <w:rPr>
      <w:rFonts w:cs="Times New Roman"/>
      <w:sz w:val="20"/>
      <w:szCs w:val="20"/>
    </w:rPr>
  </w:style>
  <w:style w:type="character" w:customStyle="1" w:styleId="FootnoteTextChar">
    <w:name w:val="Footnote Text Char"/>
    <w:basedOn w:val="DefaultParagraphFont"/>
    <w:uiPriority w:val="99"/>
    <w:semiHidden/>
    <w:rPr>
      <w:rFonts w:ascii="Calibri" w:hAnsi="Calibri" w:cs="Times New Roman"/>
      <w:sz w:val="20"/>
      <w:szCs w:val="20"/>
    </w:rPr>
  </w:style>
  <w:style w:type="character" w:styleId="FootnoteReference">
    <w:name w:val="footnote reference"/>
    <w:uiPriority w:val="99"/>
    <w:unhideWhenUsed/>
    <w:rPr>
      <w:shd w:val="clear" w:color="auto" w:fill="auto"/>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eastAsia="en-GB"/>
    </w:rPr>
  </w:style>
  <w:style w:type="paragraph" w:customStyle="1" w:styleId="CM1">
    <w:name w:val="CM1"/>
    <w:basedOn w:val="Default"/>
    <w:next w:val="Default"/>
    <w:uiPriority w:val="99"/>
    <w:rPr>
      <w:rFonts w:cs="Times New Roman"/>
      <w:color w:val="aut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paragraph" w:styleId="Revision">
    <w:name w:val="Revision"/>
    <w:hidden/>
    <w:uiPriority w:val="99"/>
    <w:semiHidden/>
    <w:pPr>
      <w:spacing w:after="0" w:line="240" w:lineRule="auto"/>
    </w:pPr>
    <w:rPr>
      <w:rFonts w:ascii="Calibri" w:hAnsi="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eastAsiaTheme="minorHAnsi" w:hAnsi="Times New Roman" w:cs="Times New Roman"/>
      <w:sz w:val="24"/>
    </w:rPr>
  </w:style>
  <w:style w:type="paragraph" w:customStyle="1" w:styleId="SecurityMarking">
    <w:name w:val="SecurityMarking"/>
    <w:basedOn w:val="Normal"/>
    <w:pPr>
      <w:spacing w:after="0"/>
      <w:ind w:left="5103"/>
    </w:pPr>
    <w:rPr>
      <w:rFonts w:ascii="Times New Roman" w:eastAsiaTheme="minorHAnsi" w:hAnsi="Times New Roman" w:cs="Times New Roman"/>
      <w:sz w:val="28"/>
    </w:rPr>
  </w:style>
  <w:style w:type="paragraph" w:customStyle="1" w:styleId="DateMarking">
    <w:name w:val="DateMarking"/>
    <w:basedOn w:val="Normal"/>
    <w:pPr>
      <w:spacing w:after="0"/>
      <w:ind w:left="5103"/>
    </w:pPr>
    <w:rPr>
      <w:rFonts w:ascii="Times New Roman" w:eastAsiaTheme="minorHAnsi" w:hAnsi="Times New Roman" w:cs="Times New Roman"/>
      <w:i/>
      <w:sz w:val="28"/>
    </w:rPr>
  </w:style>
  <w:style w:type="paragraph" w:customStyle="1" w:styleId="ReleasableTo">
    <w:name w:val="ReleasableTo"/>
    <w:basedOn w:val="Normal"/>
    <w:pPr>
      <w:spacing w:after="0"/>
      <w:ind w:left="5103"/>
    </w:pPr>
    <w:rPr>
      <w:rFonts w:ascii="Times New Roman" w:eastAsiaTheme="minorHAnsi"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21D6-B104-418B-9216-FBA881FF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330</Words>
  <Characters>2682</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2020-03-12T10:27:00Z</dcterms:created>
  <dcterms:modified xsi:type="dcterms:W3CDTF">2020-03-26T13:03:00Z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7.0.1, Build 20190916</vt:lpwstr>
  </property>
  <property fmtid="{D5CDD505-2E9C-101B-9397-08002B2CF9AE}" pid="7" name="CPTemplateID">
    <vt:lpwstr>CP-006</vt:lpwstr>
  </property>
</Properties>
</file>