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CD405F0-A750-4F1B-BA78-0E81B5FDA19D"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ΠΑΡΑΡΤΗΜΑ </w:t>
      </w:r>
    </w:p>
    <w:p>
      <w:pPr>
        <w:jc w:val="center"/>
        <w:rPr>
          <w:noProof/>
        </w:rPr>
      </w:pPr>
      <w:r>
        <w:rPr>
          <w:noProof/>
        </w:rPr>
        <w:t>ΠΑΡΑΡΤΗΜΑ I</w:t>
      </w:r>
    </w:p>
    <w:p>
      <w:pPr>
        <w:jc w:val="center"/>
        <w:rPr>
          <w:b/>
          <w:noProof/>
        </w:rPr>
      </w:pPr>
      <w:r>
        <w:rPr>
          <w:b/>
          <w:noProof/>
        </w:rPr>
        <w:t>ΣΧΕΤΙΚΑ ΜΕ ΤΙΣ ΔΑΣΜΟΛΟΓΙΚΕΣ ΠΟΣΟΣΤΩΣΕΙΣ ΠΟΥ ΑΝΑΦΕΡΟΝΤΑΙ ΣΤΟ ΑΡΘΡΟ 1 ΠΑΡΑΓΡΑΦΟΣ 2</w:t>
      </w:r>
    </w:p>
    <w:p>
      <w:pPr>
        <w:rPr>
          <w:noProof/>
        </w:rPr>
      </w:pPr>
      <w:r>
        <w:rPr>
          <w:noProof/>
        </w:rPr>
        <w:t>Με την επιφύλαξη των κανόνων για την ερμηνεία της Συνδυασμένης Ονοματολογίας, η διατύπωση περιγραφής των εμπορευμάτων θεωρείται ότι έχει μόνον ενδεικτική αξία, δεδομένου ότι το προτιμησιακό καθεστώς καθορίζεται, στο πλαίσιο του παρόντος παραρτήματος, από το πεδίο εφαρμογής των κωδικών ΣΟ. Όταν η ένδειξη «ex» προηγείται των κωδικών ΣΟ, το προτιμησιακό καθεστώς καθορίζεται με εφαρμογή των κωδικών ΣΟ και την αντίστοιχη περιγραφή από κοινού.</w:t>
      </w:r>
    </w:p>
    <w:tbl>
      <w:tblPr>
        <w:tblW w:w="10207" w:type="dxa"/>
        <w:tblInd w:w="-34" w:type="dxa"/>
        <w:tblLayout w:type="fixed"/>
        <w:tblLook w:val="0000" w:firstRow="0" w:lastRow="0" w:firstColumn="0" w:lastColumn="0" w:noHBand="0" w:noVBand="0"/>
      </w:tblPr>
      <w:tblGrid>
        <w:gridCol w:w="1055"/>
        <w:gridCol w:w="2206"/>
        <w:gridCol w:w="1984"/>
        <w:gridCol w:w="1418"/>
        <w:gridCol w:w="1701"/>
        <w:gridCol w:w="1843"/>
      </w:tblGrid>
      <w:tr>
        <w:trPr>
          <w:tblHeader/>
        </w:trPr>
        <w:tc>
          <w:tcPr>
            <w:tcW w:w="1055" w:type="dxa"/>
            <w:tcBorders>
              <w:top w:val="single" w:sz="2" w:space="0" w:color="auto"/>
              <w:bottom w:val="single" w:sz="4" w:space="0" w:color="000000"/>
              <w:right w:val="single" w:sz="2" w:space="0" w:color="auto"/>
            </w:tcBorders>
          </w:tcPr>
          <w:p>
            <w:pPr>
              <w:spacing w:before="360"/>
              <w:jc w:val="center"/>
              <w:rPr>
                <w:noProof/>
                <w:sz w:val="22"/>
              </w:rPr>
            </w:pPr>
            <w:r>
              <w:rPr>
                <w:noProof/>
                <w:sz w:val="22"/>
              </w:rPr>
              <w:t>Αύξων αριθ.</w:t>
            </w:r>
          </w:p>
        </w:tc>
        <w:tc>
          <w:tcPr>
            <w:tcW w:w="2206" w:type="dxa"/>
            <w:tcBorders>
              <w:top w:val="single" w:sz="2" w:space="0" w:color="auto"/>
              <w:left w:val="single" w:sz="2" w:space="0" w:color="auto"/>
              <w:bottom w:val="single" w:sz="2" w:space="0" w:color="auto"/>
              <w:right w:val="single" w:sz="2" w:space="0" w:color="auto"/>
            </w:tcBorders>
          </w:tcPr>
          <w:p>
            <w:pPr>
              <w:spacing w:before="480"/>
              <w:jc w:val="center"/>
              <w:rPr>
                <w:noProof/>
                <w:sz w:val="22"/>
              </w:rPr>
            </w:pPr>
            <w:r>
              <w:rPr>
                <w:noProof/>
                <w:sz w:val="22"/>
              </w:rPr>
              <w:t>Κωδικός ΣΟ</w:t>
            </w:r>
          </w:p>
        </w:tc>
        <w:tc>
          <w:tcPr>
            <w:tcW w:w="1984" w:type="dxa"/>
            <w:tcBorders>
              <w:top w:val="single" w:sz="2" w:space="0" w:color="auto"/>
              <w:left w:val="single" w:sz="2" w:space="0" w:color="auto"/>
              <w:bottom w:val="single" w:sz="2" w:space="0" w:color="auto"/>
              <w:right w:val="single" w:sz="2" w:space="0" w:color="auto"/>
            </w:tcBorders>
          </w:tcPr>
          <w:p>
            <w:pPr>
              <w:spacing w:before="480"/>
              <w:jc w:val="center"/>
              <w:rPr>
                <w:noProof/>
                <w:sz w:val="22"/>
              </w:rPr>
            </w:pPr>
            <w:r>
              <w:rPr>
                <w:noProof/>
                <w:sz w:val="22"/>
              </w:rPr>
              <w:t>Περιγραφή εμπορευμάτων</w:t>
            </w:r>
          </w:p>
        </w:tc>
        <w:tc>
          <w:tcPr>
            <w:tcW w:w="1418" w:type="dxa"/>
            <w:tcBorders>
              <w:top w:val="single" w:sz="2" w:space="0" w:color="auto"/>
              <w:left w:val="single" w:sz="2" w:space="0" w:color="auto"/>
              <w:bottom w:val="single" w:sz="2" w:space="0" w:color="auto"/>
              <w:right w:val="single" w:sz="2" w:space="0" w:color="auto"/>
            </w:tcBorders>
          </w:tcPr>
          <w:p>
            <w:pPr>
              <w:jc w:val="center"/>
              <w:rPr>
                <w:noProof/>
                <w:sz w:val="22"/>
              </w:rPr>
            </w:pPr>
            <w:r>
              <w:rPr>
                <w:noProof/>
                <w:sz w:val="22"/>
              </w:rPr>
              <w:t>Όγκος ποσόστωσης ανά έτος</w:t>
            </w:r>
            <w:r>
              <w:rPr>
                <w:rStyle w:val="FootnoteReference"/>
                <w:noProof/>
                <w:sz w:val="22"/>
              </w:rPr>
              <w:footnoteReference w:id="1"/>
            </w:r>
          </w:p>
        </w:tc>
        <w:tc>
          <w:tcPr>
            <w:tcW w:w="1701" w:type="dxa"/>
            <w:tcBorders>
              <w:top w:val="single" w:sz="2" w:space="0" w:color="auto"/>
              <w:left w:val="single" w:sz="2" w:space="0" w:color="auto"/>
              <w:bottom w:val="single" w:sz="2" w:space="0" w:color="auto"/>
              <w:right w:val="single" w:sz="2" w:space="0" w:color="auto"/>
            </w:tcBorders>
          </w:tcPr>
          <w:p>
            <w:pPr>
              <w:spacing w:before="480"/>
              <w:jc w:val="center"/>
              <w:rPr>
                <w:noProof/>
                <w:sz w:val="22"/>
              </w:rPr>
            </w:pPr>
            <w:r>
              <w:rPr>
                <w:noProof/>
                <w:sz w:val="22"/>
              </w:rPr>
              <w:t>Δικαιούχοι</w:t>
            </w:r>
          </w:p>
        </w:tc>
        <w:tc>
          <w:tcPr>
            <w:tcW w:w="1843" w:type="dxa"/>
            <w:tcBorders>
              <w:top w:val="single" w:sz="2" w:space="0" w:color="auto"/>
              <w:left w:val="single" w:sz="2" w:space="0" w:color="auto"/>
              <w:bottom w:val="single" w:sz="2" w:space="0" w:color="auto"/>
            </w:tcBorders>
          </w:tcPr>
          <w:p>
            <w:pPr>
              <w:spacing w:before="360"/>
              <w:jc w:val="center"/>
              <w:rPr>
                <w:noProof/>
                <w:sz w:val="22"/>
              </w:rPr>
            </w:pPr>
            <w:r>
              <w:rPr>
                <w:noProof/>
                <w:sz w:val="22"/>
              </w:rPr>
              <w:t>Συντελεστής δασμού</w:t>
            </w:r>
          </w:p>
        </w:tc>
      </w:tr>
      <w:tr>
        <w:trPr>
          <w:cantSplit/>
        </w:trPr>
        <w:tc>
          <w:tcPr>
            <w:tcW w:w="1055" w:type="dxa"/>
            <w:tcBorders>
              <w:bottom w:val="single" w:sz="2" w:space="0" w:color="auto"/>
              <w:right w:val="single" w:sz="2" w:space="0" w:color="auto"/>
            </w:tcBorders>
          </w:tcPr>
          <w:p>
            <w:pPr>
              <w:rPr>
                <w:noProof/>
                <w:sz w:val="22"/>
              </w:rPr>
            </w:pPr>
            <w:r>
              <w:rPr>
                <w:noProof/>
                <w:sz w:val="22"/>
              </w:rPr>
              <w:t>09.1530</w:t>
            </w:r>
          </w:p>
        </w:tc>
        <w:tc>
          <w:tcPr>
            <w:tcW w:w="2206" w:type="dxa"/>
            <w:tcBorders>
              <w:top w:val="single" w:sz="2" w:space="0" w:color="auto"/>
              <w:left w:val="single" w:sz="2" w:space="0" w:color="auto"/>
              <w:bottom w:val="single" w:sz="4" w:space="0" w:color="auto"/>
              <w:right w:val="single" w:sz="2" w:space="0" w:color="auto"/>
            </w:tcBorders>
          </w:tcPr>
          <w:p>
            <w:pPr>
              <w:jc w:val="left"/>
              <w:rPr>
                <w:noProof/>
                <w:sz w:val="22"/>
              </w:rPr>
            </w:pPr>
            <w:r>
              <w:rPr>
                <w:noProof/>
                <w:sz w:val="22"/>
              </w:rPr>
              <w:t>ex 2204 21 94</w:t>
            </w:r>
          </w:p>
          <w:p>
            <w:pPr>
              <w:jc w:val="left"/>
              <w:rPr>
                <w:noProof/>
                <w:sz w:val="22"/>
              </w:rPr>
            </w:pPr>
            <w:r>
              <w:rPr>
                <w:noProof/>
                <w:sz w:val="22"/>
              </w:rPr>
              <w:t>ex 2204 21 95</w:t>
            </w:r>
          </w:p>
          <w:p>
            <w:pPr>
              <w:jc w:val="left"/>
              <w:rPr>
                <w:noProof/>
                <w:sz w:val="22"/>
              </w:rPr>
            </w:pPr>
            <w:r>
              <w:rPr>
                <w:noProof/>
                <w:sz w:val="22"/>
              </w:rPr>
              <w:t>ex 2204 21 96</w:t>
            </w:r>
          </w:p>
          <w:p>
            <w:pPr>
              <w:jc w:val="left"/>
              <w:rPr>
                <w:noProof/>
                <w:sz w:val="22"/>
              </w:rPr>
            </w:pPr>
            <w:r>
              <w:rPr>
                <w:noProof/>
                <w:sz w:val="22"/>
              </w:rPr>
              <w:t>ex 2204 21 97</w:t>
            </w:r>
          </w:p>
          <w:p>
            <w:pPr>
              <w:jc w:val="left"/>
              <w:rPr>
                <w:noProof/>
                <w:sz w:val="22"/>
              </w:rPr>
            </w:pPr>
            <w:r>
              <w:rPr>
                <w:noProof/>
                <w:sz w:val="22"/>
              </w:rPr>
              <w:t>ex 2204 21 98</w:t>
            </w:r>
          </w:p>
          <w:p>
            <w:pPr>
              <w:jc w:val="left"/>
              <w:rPr>
                <w:noProof/>
                <w:sz w:val="22"/>
              </w:rPr>
            </w:pPr>
            <w:r>
              <w:rPr>
                <w:noProof/>
                <w:sz w:val="22"/>
              </w:rPr>
              <w:t>ex 2204 22 93</w:t>
            </w:r>
          </w:p>
          <w:p>
            <w:pPr>
              <w:jc w:val="left"/>
              <w:rPr>
                <w:noProof/>
                <w:sz w:val="22"/>
              </w:rPr>
            </w:pPr>
            <w:r>
              <w:rPr>
                <w:noProof/>
                <w:sz w:val="22"/>
              </w:rPr>
              <w:t>ex 2204 22 94</w:t>
            </w:r>
          </w:p>
          <w:p>
            <w:pPr>
              <w:jc w:val="left"/>
              <w:rPr>
                <w:noProof/>
                <w:sz w:val="22"/>
              </w:rPr>
            </w:pPr>
            <w:r>
              <w:rPr>
                <w:noProof/>
                <w:sz w:val="22"/>
              </w:rPr>
              <w:t>ex 2204 22 95</w:t>
            </w:r>
          </w:p>
          <w:p>
            <w:pPr>
              <w:jc w:val="left"/>
              <w:rPr>
                <w:noProof/>
                <w:sz w:val="22"/>
              </w:rPr>
            </w:pPr>
            <w:r>
              <w:rPr>
                <w:noProof/>
                <w:sz w:val="22"/>
              </w:rPr>
              <w:t>ex 2204 29 93</w:t>
            </w:r>
          </w:p>
          <w:p>
            <w:pPr>
              <w:jc w:val="left"/>
              <w:rPr>
                <w:noProof/>
                <w:sz w:val="22"/>
              </w:rPr>
            </w:pPr>
            <w:r>
              <w:rPr>
                <w:noProof/>
                <w:sz w:val="22"/>
              </w:rPr>
              <w:t>ex 2204 29 94</w:t>
            </w:r>
          </w:p>
          <w:p>
            <w:pPr>
              <w:jc w:val="left"/>
              <w:rPr>
                <w:noProof/>
                <w:sz w:val="22"/>
              </w:rPr>
            </w:pPr>
            <w:r>
              <w:rPr>
                <w:noProof/>
                <w:sz w:val="22"/>
              </w:rPr>
              <w:t>ex 2204 29 95</w:t>
            </w:r>
          </w:p>
        </w:tc>
        <w:tc>
          <w:tcPr>
            <w:tcW w:w="1984" w:type="dxa"/>
            <w:tcBorders>
              <w:left w:val="single" w:sz="2" w:space="0" w:color="auto"/>
              <w:bottom w:val="single" w:sz="2" w:space="0" w:color="auto"/>
              <w:right w:val="single" w:sz="2" w:space="0" w:color="auto"/>
            </w:tcBorders>
          </w:tcPr>
          <w:p>
            <w:pPr>
              <w:jc w:val="left"/>
              <w:rPr>
                <w:noProof/>
                <w:sz w:val="22"/>
              </w:rPr>
            </w:pPr>
            <w:r>
              <w:rPr>
                <w:noProof/>
                <w:sz w:val="22"/>
              </w:rPr>
              <w:t>Κρασιά από νωπά σταφύλια, με αποκτημένο κατ’ όγκο αλκοολικό τίτλο που δεν υπερβαίνει το 15 %, εκτός του αφρώδους οίνου</w:t>
            </w:r>
          </w:p>
        </w:tc>
        <w:tc>
          <w:tcPr>
            <w:tcW w:w="1418" w:type="dxa"/>
            <w:tcBorders>
              <w:left w:val="single" w:sz="2" w:space="0" w:color="auto"/>
              <w:bottom w:val="single" w:sz="2" w:space="0" w:color="auto"/>
              <w:right w:val="single" w:sz="2" w:space="0" w:color="auto"/>
            </w:tcBorders>
          </w:tcPr>
          <w:p>
            <w:pPr>
              <w:jc w:val="left"/>
              <w:rPr>
                <w:noProof/>
                <w:sz w:val="22"/>
              </w:rPr>
            </w:pPr>
            <w:r>
              <w:rPr>
                <w:noProof/>
                <w:sz w:val="22"/>
              </w:rPr>
              <w:t>30 000 εκατόλιτρα</w:t>
            </w:r>
          </w:p>
        </w:tc>
        <w:tc>
          <w:tcPr>
            <w:tcW w:w="1701" w:type="dxa"/>
            <w:tcBorders>
              <w:left w:val="single" w:sz="2" w:space="0" w:color="auto"/>
              <w:bottom w:val="single" w:sz="2" w:space="0" w:color="auto"/>
              <w:right w:val="single" w:sz="2" w:space="0" w:color="auto"/>
            </w:tcBorders>
          </w:tcPr>
          <w:p>
            <w:pPr>
              <w:jc w:val="left"/>
              <w:rPr>
                <w:noProof/>
                <w:sz w:val="22"/>
              </w:rPr>
            </w:pPr>
            <w:r>
              <w:rPr>
                <w:noProof/>
                <w:sz w:val="22"/>
              </w:rPr>
              <w:t>Αλβανία</w:t>
            </w:r>
            <w:r>
              <w:rPr>
                <w:rStyle w:val="FootnoteReference"/>
                <w:noProof/>
                <w:sz w:val="22"/>
              </w:rPr>
              <w:footnoteReference w:id="2"/>
            </w:r>
            <w:r>
              <w:rPr>
                <w:noProof/>
                <w:sz w:val="22"/>
              </w:rPr>
              <w:t>, Βοσνία-Ερζεγοβίνη</w:t>
            </w:r>
            <w:r>
              <w:rPr>
                <w:rStyle w:val="FootnoteReference"/>
                <w:noProof/>
                <w:sz w:val="22"/>
              </w:rPr>
              <w:footnoteReference w:id="3"/>
            </w:r>
            <w:r>
              <w:rPr>
                <w:noProof/>
                <w:sz w:val="22"/>
              </w:rPr>
              <w:t>, Κοσσυφοπέδιο</w:t>
            </w:r>
            <w:r>
              <w:rPr>
                <w:rStyle w:val="FootnoteReference"/>
                <w:noProof/>
                <w:sz w:val="22"/>
              </w:rPr>
              <w:footnoteReference w:id="4"/>
            </w:r>
            <w:r>
              <w:rPr>
                <w:noProof/>
                <w:sz w:val="22"/>
              </w:rPr>
              <w:t>, Μαυροβούνιο</w:t>
            </w:r>
            <w:r>
              <w:rPr>
                <w:rStyle w:val="FootnoteReference"/>
                <w:noProof/>
                <w:sz w:val="22"/>
              </w:rPr>
              <w:footnoteReference w:id="5"/>
            </w:r>
            <w:r>
              <w:rPr>
                <w:noProof/>
                <w:sz w:val="22"/>
              </w:rPr>
              <w:t>, Βόρεια Μακεδονία</w:t>
            </w:r>
            <w:r>
              <w:rPr>
                <w:rStyle w:val="FootnoteReference"/>
                <w:noProof/>
                <w:sz w:val="22"/>
              </w:rPr>
              <w:footnoteReference w:id="6"/>
            </w:r>
            <w:r>
              <w:rPr>
                <w:noProof/>
                <w:sz w:val="22"/>
              </w:rPr>
              <w:t>, Σερβία</w:t>
            </w:r>
            <w:r>
              <w:rPr>
                <w:rStyle w:val="FootnoteReference"/>
                <w:noProof/>
                <w:sz w:val="22"/>
              </w:rPr>
              <w:footnoteReference w:id="7"/>
            </w:r>
            <w:r>
              <w:rPr>
                <w:noProof/>
                <w:sz w:val="22"/>
              </w:rPr>
              <w:t>.</w:t>
            </w:r>
          </w:p>
        </w:tc>
        <w:tc>
          <w:tcPr>
            <w:tcW w:w="1843" w:type="dxa"/>
            <w:tcBorders>
              <w:left w:val="single" w:sz="2" w:space="0" w:color="auto"/>
              <w:bottom w:val="single" w:sz="2" w:space="0" w:color="auto"/>
            </w:tcBorders>
          </w:tcPr>
          <w:p>
            <w:pPr>
              <w:jc w:val="left"/>
              <w:rPr>
                <w:noProof/>
                <w:sz w:val="22"/>
              </w:rPr>
            </w:pPr>
            <w:r>
              <w:rPr>
                <w:noProof/>
                <w:sz w:val="22"/>
              </w:rPr>
              <w:t>Εξαίρεση</w:t>
            </w:r>
          </w:p>
        </w:tc>
      </w:tr>
    </w:tbl>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Συνολικός όγκος ανά δασμολογική ποσόστωση για τις εισαγωγές καταγωγής των δικαιούχων μερών.</w:t>
      </w:r>
    </w:p>
  </w:footnote>
  <w:footnote w:id="2">
    <w:p>
      <w:pPr>
        <w:pStyle w:val="FootnoteText"/>
      </w:pPr>
      <w:r>
        <w:rPr>
          <w:rStyle w:val="FootnoteReference"/>
        </w:rPr>
        <w:footnoteRef/>
      </w:r>
      <w:r>
        <w:tab/>
        <w:t>Η υπαγωγή του οίνου καταγωγής Αλβανίας σ’ αυτή τη συνολική δασμολογική ποσόστωση εξαρτάται από την προηγούμενη εξάντληση της μεμονωμένης δασμολογικής ποσόστωσης που προβλέπεται στο πρωτόκολλο που έχει συναφθεί με την Αλβανία για τον οίνο. Το άνοιγμα αυτών των μεμονωμένων δασμολογικών ποσοστώσεων έγινε υπό τους αύξοντες αριθμούς 09.1512 και 09.15.13.</w:t>
      </w:r>
    </w:p>
  </w:footnote>
  <w:footnote w:id="3">
    <w:p>
      <w:pPr>
        <w:pStyle w:val="FootnoteText"/>
      </w:pPr>
      <w:r>
        <w:rPr>
          <w:rStyle w:val="FootnoteReference"/>
        </w:rPr>
        <w:footnoteRef/>
      </w:r>
      <w:r>
        <w:tab/>
        <w:t>Η υπαγωγή του οίνου καταγωγής Βοσνίας-Ερζεγοβίνης σ’ αυτή τη συνολική δασμολογική ποσόστωση εξαρτάται από την προηγούμενη εξάντληση και των δύο μεμονωμένων δασμολογικών ποσοστώσεων που προβλέπονται στο πρωτόκολλο που έχει συναφθεί με τη Βοσνία-Ερζεγοβίνη για τον οίνο. Το άνοιγμα αυτών των μεμονωμένων δασμολογικών ποσοστώσεων έγινε υπό τους αύξοντες αριθμούς 09.1528 και 09.1529.</w:t>
      </w:r>
    </w:p>
  </w:footnote>
  <w:footnote w:id="4">
    <w:p>
      <w:pPr>
        <w:pStyle w:val="FootnoteText"/>
      </w:pPr>
      <w:r>
        <w:rPr>
          <w:rStyle w:val="FootnoteReference"/>
        </w:rPr>
        <w:footnoteRef/>
      </w:r>
      <w:r>
        <w:tab/>
        <w:t>Η υπαγωγή του οίνου καταγωγής Κοσσυφοπεδίου σ’ αυτή τη συνολική δασμολογική ποσόστωση εξαρτάται από την προηγούμενη εξάντληση και των δύο μεμονωμένων δασμολογικών ποσοστώσεων που προβλέπονται στο πρωτόκολλο που έχει συναφθεί με το Κοσσυφοπέδιο για τον οίνο. Το άνοιγμα αυτών των μεμονωμένων δασμολογικών ποσοστώσεων έγινε υπό τους αύξοντες αριθμούς 09.1570 και 09.1572.</w:t>
      </w:r>
    </w:p>
  </w:footnote>
  <w:footnote w:id="5">
    <w:p>
      <w:pPr>
        <w:pStyle w:val="FootnoteText"/>
      </w:pPr>
      <w:r>
        <w:rPr>
          <w:rStyle w:val="FootnoteReference"/>
        </w:rPr>
        <w:footnoteRef/>
      </w:r>
      <w:r>
        <w:tab/>
        <w:t>Η υπαγωγή του οίνου καταγωγής Μαυροβουνίου στη συνολική δασμολογική ποσόστωση, όσον αφορά προϊόντα του κωδικού ΣΟ 2204 21, εξαρτάται από την προηγούμενη εξάντληση της μεμονωμένης δασμολογικής ποσόστωσης που προβλέπεται στο πρωτόκολλο που έχει συναφθεί με το Μαυροβούνιο για τον οίνο. Το άνοιγμα αυτής της μεμονωμένης δασμολογικής ποσόστωσης έγινε υπό τον αύξοντα αριθμό 09.1514.</w:t>
      </w:r>
    </w:p>
  </w:footnote>
  <w:footnote w:id="6">
    <w:p>
      <w:pPr>
        <w:pStyle w:val="FootnoteText"/>
      </w:pPr>
      <w:r>
        <w:rPr>
          <w:rStyle w:val="FootnoteReference"/>
        </w:rPr>
        <w:footnoteRef/>
      </w:r>
      <w:r>
        <w:tab/>
        <w:t>Η υπαγωγή του οίνου καταγωγής Βόρειας Μακεδονίας σ’ αυτή τη συνολική δασμολογική ποσόστωση εξαρτάται από την προηγούμενη εξάντληση και των δύο μεμονωμένων δασμολογικών ποσοστώσεων που προβλέπονται στο πρόσθετο πρωτόκολλο για τον οίνο που έχει συναφθεί με τη Βόρεια Μακεδονία. Το άνοιγμα αυτών των μεμονωμένων δασμολογικών ποσοστώσεων έγινε υπό τους αύξοντες αριθμούς 09.1558 και 09.1559.</w:t>
      </w:r>
    </w:p>
  </w:footnote>
  <w:footnote w:id="7">
    <w:p>
      <w:pPr>
        <w:pStyle w:val="FootnoteText"/>
      </w:pPr>
      <w:r>
        <w:rPr>
          <w:rStyle w:val="FootnoteReference"/>
        </w:rPr>
        <w:footnoteRef/>
      </w:r>
      <w:r>
        <w:tab/>
        <w:t>Η υπαγωγή του οίνου καταγωγής Σερβίας σ’ αυτή τη συνολική δασμολογική ποσόστωση εξαρτάται από την προηγούμενη εξάντληση και των δύο μεμονωμένων δασμολογικών ποσοστώσεων που προβλέπονται στο πρωτόκολλο που έχει συναφθεί με τη Σερβία για τον οίνο. Το άνοιγμα αυτών των μεμονωμένων δασμολογικών ποσοστώσεων έγινε υπό τους αύξοντες αριθμούς 09.1526 και 09.1527.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BC519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21E69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F899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42F3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F5A89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01C08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163E36"/>
    <w:lvl w:ilvl="0">
      <w:start w:val="1"/>
      <w:numFmt w:val="decimal"/>
      <w:pStyle w:val="ListNumber"/>
      <w:lvlText w:val="%1."/>
      <w:lvlJc w:val="left"/>
      <w:pPr>
        <w:tabs>
          <w:tab w:val="num" w:pos="360"/>
        </w:tabs>
        <w:ind w:left="360" w:hanging="360"/>
      </w:pPr>
    </w:lvl>
  </w:abstractNum>
  <w:abstractNum w:abstractNumId="7">
    <w:nsid w:val="FFFFFF89"/>
    <w:multiLevelType w:val="singleLevel"/>
    <w:tmpl w:val="0E9240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27 10:50: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0CD405F0-A750-4F1B-BA78-0E81B5FDA19D"/>
    <w:docVar w:name="LW_COVERPAGE_TYPE" w:val="1"/>
    <w:docVar w:name="LW_CROSSREFERENCE" w:val="&lt;UNUSED&gt;"/>
    <w:docVar w:name="LW_DocType" w:val="ANNEX"/>
    <w:docVar w:name="LW_EMISSION" w:val="3.4.2020"/>
    <w:docVar w:name="LW_EMISSION_ISODATE" w:val="2020-04-03"/>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47?\u953?\u945? \u964?\u951?\u957? \u964?\u961?\u959?\u960?\u959?\u960?\u959?\u943?\u951?\u963?\u951? \u964?\u959?\u965? \u954?\u945?\u957?\u959?\u957?\u953?\u963?\u956?\u959?\u973? (\u917?\u922?) \u945?\u961?\u953?\u952?. 1215/2009 \u964?\u959?\u965? \u931?\u965?\u956?\u946?\u959?\u965?\u955?\u943?\u959?\u965?, \u947?\u953?\u945? \u964?\u951?\u957? \u949?\u953?\u963?\u945?\u947?\u969?\u947?\u942? \u949?\u954?\u964?\u940?\u954?\u964?\u969?\u957? \u949?\u956?\u960?\u959?\u961?\u953?\u954?\u974?\u957? \u956?\u941?\u964?\u961?\u969?\u957? \u947?\u953?\u945? \u967?\u974?\u961?\u949?\u962? \u954?\u945?\u953? \u949?\u948?\u940?\u966?\u951? \u960?\u959?\u965? \u963?\u965?\u956?\u956?\u949?\u964?\u941?\u967?\u959?\u965?\u957? \u942? \u963?\u965?\u957?\u948?\u941?\u959?\u957?\u964?\u945?\u953? \u956?\u949? \u964?\u951? \u948?\u953?\u945?\u948?\u953?\u954?\u945?\u963?\u943?\u945? \u963?\u964?\u945?\u952?\u949?\u961?\u959?\u960?\u959?\u943?\u951?\u963?\u951?\u962? \u954?\u945?\u953? \u963?\u973?\u957?\u948?\u949?\u963?\u951?\u962? \u964?\u951?\u962? \u917?\u965?\u961?\u969?\u960?\u945?\u970?\u954?\u942?\u962? \u904?\u957?\u969?\u963?\u951?\u962?"/>
    <w:docVar w:name="LW_OBJETACTEPRINCIPAL.CP" w:val="\u947?\u953?\u945? \u964?\u951?\u957? \u964?\u961?\u959?\u960?\u959?\u960?\u959?\u943?\u951?\u963?\u951? \u964?\u959?\u965? \u954?\u945?\u957?\u959?\u957?\u953?\u963?\u956?\u959?\u973? (\u917?\u922?) \u945?\u961?\u953?\u952?. 1215/2009 \u964?\u959?\u965? \u931?\u965?\u956?\u946?\u959?\u965?\u955?\u943?\u959?\u965?, \u947?\u953?\u945? \u964?\u951?\u957? \u949?\u953?\u963?\u945?\u947?\u969?\u947?\u942? \u949?\u954?\u964?\u940?\u954?\u964?\u969?\u957? \u949?\u956?\u960?\u959?\u961?\u953?\u954?\u974?\u957? \u956?\u941?\u964?\u961?\u969?\u957? \u947?\u953?\u945? \u967?\u974?\u961?\u949?\u962? \u954?\u945?\u953? \u949?\u948?\u940?\u966?\u951? \u960?\u959?\u965? \u963?\u965?\u956?\u956?\u949?\u964?\u941?\u967?\u959?\u965?\u957? \u942? \u963?\u965?\u957?\u948?\u941?\u959?\u957?\u964?\u945?\u953? \u956?\u949? \u964?\u951? \u948?\u953?\u945?\u948?\u953?\u954?\u945?\u963?\u943?\u945? \u963?\u964?\u945?\u952?\u949?\u961?\u959?\u960?\u959?\u943?\u951?\u963?\u951?\u962? \u954?\u945?\u953? \u963?\u973?\u957?\u948?\u949?\u963?\u951?\u962? \u964?\u951?\u962? \u917?\u965?\u961?\u969?\u960?\u945?\u970?\u954?\u942?\u962? \u904?\u957?\u969?\u963?\u951?\u962?"/>
    <w:docVar w:name="LW_PART_NBR" w:val="1"/>
    <w:docVar w:name="LW_PART_NBR_TOTAL" w:val="1"/>
    <w:docVar w:name="LW_REF.INST.NEW" w:val="COM"/>
    <w:docVar w:name="LW_REF.INST.NEW_ADOPTED" w:val="final"/>
    <w:docVar w:name="LW_REF.INST.NEW_TEXT" w:val="(2020)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60?\u961?\u972?\u964?\u945?\u963?\u951?\u962? \u954?\u945?\u957?\u959?\u957?\u953?\u963?\u956?\u959?\u973? \u964?\u959?\u965? \u917?\u965?\u961?\u969?\u960?\u945?\u970?\u954?\u959?\u973? \u922?\u959?\u953?\u957?\u959?\u946?\u959?\u965?\u955?\u943?\u959?\u965? \u954?\u945?\u953? \u964?\u959?\u965? \u931?\u965?\u956?\u946?\u959?\u965?\u955?\u943?\u959?\u965?"/>
    <w:docVar w:name="LW_TYPEACTEPRINCIPAL.CP" w:val="\u960?\u961?\u972?\u964?\u945?\u963?\u951?\u962? \u954?\u945?\u957?\u959?\u957?\u953?\u963?\u956?\u959?\u973? \u964?\u959?\u965? \u917?\u965?\u961?\u969?\u960?\u945?\u970?\u954?\u959?\u973? \u922?\u959?\u953?\u957?\u959?\u946?\u959?\u965?\u955?\u943?\u959?\u965? \u954?\u945?\u953?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Pages>
  <Words>173</Words>
  <Characters>877</Characters>
  <Application>Microsoft Office Word</Application>
  <DocSecurity>0</DocSecurity>
  <Lines>54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DIGIT/C6</cp:lastModifiedBy>
  <cp:revision>9</cp:revision>
  <dcterms:created xsi:type="dcterms:W3CDTF">2020-03-13T13:34:00Z</dcterms:created>
  <dcterms:modified xsi:type="dcterms:W3CDTF">2020-03-27T09:50:00Z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