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42742A3-61F7-4A23-8514-D73AF24EE058" style="width:450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ALLEGATO </w:t>
      </w:r>
    </w:p>
    <w:p>
      <w:pPr>
        <w:jc w:val="center"/>
        <w:rPr>
          <w:noProof/>
        </w:rPr>
      </w:pPr>
      <w:r>
        <w:rPr>
          <w:noProof/>
        </w:rPr>
        <w:t>Allegato I</w:t>
      </w:r>
    </w:p>
    <w:p>
      <w:pPr>
        <w:jc w:val="center"/>
        <w:rPr>
          <w:b/>
          <w:noProof/>
        </w:rPr>
      </w:pPr>
      <w:r>
        <w:rPr>
          <w:b/>
          <w:noProof/>
        </w:rPr>
        <w:t>RELATIVO AI CONTINGENTI TARIFFARI DI CUI ALL'ARTICOLO 1, PARAGRAFO 2</w:t>
      </w:r>
    </w:p>
    <w:p>
      <w:pPr>
        <w:rPr>
          <w:noProof/>
        </w:rPr>
      </w:pPr>
      <w:r>
        <w:rPr>
          <w:noProof/>
        </w:rPr>
        <w:t>Fatte salve le regole per l'interpretazione della nomenclatura combinata, si considera che il testo della designazione delle merci ha soltanto valore indicativo in quanto il regime preferenziale è determinato, nel quadro del presente allegato, dall'applicazione dei codici NC. Quando davanti al codice NC figura "ex", il regime preferenziale è determinato dalla combinazione del codice NC e della designazione corrispondente.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55"/>
        <w:gridCol w:w="2206"/>
        <w:gridCol w:w="1984"/>
        <w:gridCol w:w="1418"/>
        <w:gridCol w:w="1701"/>
        <w:gridCol w:w="1843"/>
      </w:tblGrid>
      <w:tr>
        <w:trPr>
          <w:tblHeader/>
        </w:trPr>
        <w:tc>
          <w:tcPr>
            <w:tcW w:w="1055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</w:tcPr>
          <w:p>
            <w:pPr>
              <w:spacing w:before="3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Numero d'ordine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Codice NC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Designazione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Volume del contingente per anno</w:t>
            </w:r>
            <w:r>
              <w:rPr>
                <w:rStyle w:val="FootnoteReference"/>
                <w:noProof/>
                <w:sz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Beneficiari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spacing w:before="3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Aliquota del dazio</w:t>
            </w:r>
          </w:p>
        </w:tc>
      </w:tr>
      <w:tr>
        <w:trPr>
          <w:cantSplit/>
        </w:trPr>
        <w:tc>
          <w:tcPr>
            <w:tcW w:w="1055" w:type="dxa"/>
            <w:tcBorders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09.1530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95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96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97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98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93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95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93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95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Vini di uve fresche, con titolo alcolometrico effettivo inferiore o uguale a 15 % vol, diversi dai vini spumanti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30 000 hl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Albania</w:t>
            </w:r>
            <w:r>
              <w:rPr>
                <w:rStyle w:val="FootnoteReference"/>
                <w:noProof/>
                <w:sz w:val="22"/>
              </w:rPr>
              <w:footnoteReference w:id="2"/>
            </w:r>
            <w:r>
              <w:rPr>
                <w:noProof/>
                <w:sz w:val="22"/>
              </w:rPr>
              <w:t>, Bosnia-Erzegovina</w:t>
            </w:r>
            <w:r>
              <w:rPr>
                <w:rStyle w:val="FootnoteReference"/>
                <w:noProof/>
                <w:sz w:val="22"/>
              </w:rPr>
              <w:footnoteReference w:id="3"/>
            </w:r>
            <w:r>
              <w:rPr>
                <w:noProof/>
                <w:sz w:val="22"/>
              </w:rPr>
              <w:t>, Kosovo</w:t>
            </w:r>
            <w:r>
              <w:rPr>
                <w:rStyle w:val="FootnoteReference"/>
                <w:noProof/>
                <w:sz w:val="22"/>
              </w:rPr>
              <w:footnoteReference w:id="4"/>
            </w:r>
            <w:r>
              <w:rPr>
                <w:noProof/>
                <w:sz w:val="22"/>
              </w:rPr>
              <w:t>, Montenegro</w:t>
            </w:r>
            <w:r>
              <w:rPr>
                <w:rStyle w:val="FootnoteReference"/>
                <w:noProof/>
                <w:sz w:val="22"/>
              </w:rPr>
              <w:footnoteReference w:id="5"/>
            </w:r>
            <w:r>
              <w:rPr>
                <w:noProof/>
                <w:sz w:val="22"/>
              </w:rPr>
              <w:t>, Macedonia del Nord</w:t>
            </w:r>
            <w:r>
              <w:rPr>
                <w:rStyle w:val="FootnoteReference"/>
                <w:noProof/>
                <w:sz w:val="22"/>
              </w:rPr>
              <w:footnoteReference w:id="6"/>
            </w:r>
            <w:r>
              <w:rPr>
                <w:noProof/>
                <w:sz w:val="22"/>
              </w:rPr>
              <w:t>, Serbia</w:t>
            </w:r>
            <w:r>
              <w:rPr>
                <w:rStyle w:val="FootnoteReference"/>
                <w:noProof/>
                <w:sz w:val="22"/>
              </w:rPr>
              <w:footnoteReference w:id="7"/>
            </w:r>
            <w:r>
              <w:rPr>
                <w:noProof/>
                <w:sz w:val="22"/>
              </w:rPr>
              <w:t>.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Esenzione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Un volume globale per contingente tariffario accessibile per le importazioni originarie dei beneficiari.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L'accesso al contingente tariffario globale per i vini originari dell'Albania è subordinato al previo esaurimento del contingente tariffario individuale previsto dal protocollo sul vino concluso con l'Albania. Tale contingente tariffario individuale è aperto in forza degli ordini n. 09.1512 e n. 09.1513.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L'accesso al contingente tariffario globale per i vini originari della Bosnia-Erzegovina è subordinato al previo esaurimento di entrambi i contingenti tariffari individuali previsti dal protocollo sul vino concluso con la Bosnia-Erzegovina. Tali contingenti tariffari individuali sono aperti in forza degli ordini n. 09.1528 e n. 09.1529.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L'accesso al contingente tariffario globale per i vini originari del Kosovo è subordinato al previo esaurimento di entrambi i contingenti tariffari individuali previsti dal protocollo sul vino concluso con il Kosovo. Tali contingenti tariffari individuali sono aperti in forza degli ordini n. 09.1570 e n. 09.1572.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L'accesso al contingente tariffario globale per i vini originari del Montenegro, nella misura in cui esso riguardi i prodotti di cui al codice NC 2204 21, è subordinato al previo esaurimento del contingente tariffario individuale previsto dal protocollo sul vino concluso con il Montenegro. Tale contingente tariffario individuale è aperto in forza dell'ordine n. 09.1514.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L'accesso al contingente tariffario globale per i vini originari della Macedonia del Nord è subordinato al previo esaurimento di entrambi i contingenti tariffari individuali previsti dal protocollo aggiuntivo sul vino concluso con la Macedonia del Nord. Tali contingenti tariffari individuali sono aperti in forza degli ordini n. 09.1558 e n. 09.1559.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L'accesso al contingente tariffario globale per i vini originari della Serbia è subordinato al previo esaurimento di entrambi i contingenti tariffari individuali previsti dal protocollo sul vino concluso con la Serbia. Tali contingenti tariffari individuali sono aperti in forza degli ordini n. 09.1526 e n. 09.1527.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BC51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21E69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F899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042F3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F5A89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01C08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3163E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E924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3-27 10:51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42742A3-61F7-4A23-8514-D73AF24EE058"/>
    <w:docVar w:name="LW_COVERPAGE_TYPE" w:val="1"/>
    <w:docVar w:name="LW_CROSSREFERENCE" w:val="&lt;UNUSED&gt;"/>
    <w:docVar w:name="LW_DocType" w:val="ANNEX"/>
    <w:docVar w:name="LW_EMISSION" w:val="3.4.2020"/>
    <w:docVar w:name="LW_EMISSION_ISODATE" w:val="2020-04-03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che modifica il regolamento (CE) n. 1215/2009 del Consiglio recante misure commerciali eccezionali applicabili ai paesi e territori che partecipano o sono legati al processo di stabilizzazione e di associazione dell'Unione europea"/>
    <w:docVar w:name="LW_OBJETACTEPRINCIPAL.CP" w:val="che modifica il regolamento (CE) n. 1215/2009 del Consiglio recante misure commerciali eccezionali applicabili ai paesi e territori che partecipano o sono legati al processo di stabilizzazione e di associazione dell'Unione europea"/>
    <w:docVar w:name="LW_PART_NBR" w:val="1"/>
    <w:docVar w:name="LW_PART_NBR_TOTAL" w:val="1"/>
    <w:docVar w:name="LW_REF.INST.NEW" w:val="COM"/>
    <w:docVar w:name="LW_REF.INST.NEW_ADOPTED" w:val="final"/>
    <w:docVar w:name="LW_REF.INST.NEW_TEXT" w:val="(2020) 1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regolamento del Parlamento europeo e del Consiglio"/>
    <w:docVar w:name="LW_TYPEACTEPRINCIPAL.CP" w:val="Proposta di regolamento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168</Words>
  <Characters>834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2020-03-13T12:54:00Z</dcterms:created>
  <dcterms:modified xsi:type="dcterms:W3CDTF">2020-03-27T09:51:00Z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