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357C17E2-9D0C-4CE0-B155-1BA80ADD9719" style="width:450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LISA </w:t>
      </w:r>
    </w:p>
    <w:p>
      <w:pPr>
        <w:jc w:val="center"/>
        <w:rPr>
          <w:noProof/>
        </w:rPr>
      </w:pPr>
      <w:r>
        <w:rPr>
          <w:noProof/>
        </w:rPr>
        <w:t>I LISA</w:t>
      </w:r>
    </w:p>
    <w:p>
      <w:pPr>
        <w:jc w:val="center"/>
        <w:rPr>
          <w:b/>
          <w:noProof/>
        </w:rPr>
      </w:pPr>
      <w:r>
        <w:rPr>
          <w:b/>
          <w:noProof/>
        </w:rPr>
        <w:t>ARTIKLI 1 LÕIKES 2 NIMETATUD TARIIFIKVOODID</w:t>
      </w:r>
    </w:p>
    <w:p>
      <w:pPr>
        <w:rPr>
          <w:noProof/>
        </w:rPr>
      </w:pPr>
      <w:r>
        <w:rPr>
          <w:noProof/>
        </w:rPr>
        <w:t>Kombineeritud nomenklatuuri klassifitseerimise üldreeglitest olenemata on toote kirjelduse sõnastus vaid soovituslik ning soodustuskava on käesoleva lisa kontekstis kindlaks määratud CN-koodide raames. Kui osutatud CN-koodil on eesliide „ex“, tuleb soodustuskava kindlaks määrata nii CN-koodi kui ka vastava kirjelduse põhjal.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55"/>
        <w:gridCol w:w="2206"/>
        <w:gridCol w:w="1984"/>
        <w:gridCol w:w="1418"/>
        <w:gridCol w:w="1701"/>
        <w:gridCol w:w="1843"/>
      </w:tblGrid>
      <w:tr>
        <w:trPr>
          <w:tblHeader/>
        </w:trPr>
        <w:tc>
          <w:tcPr>
            <w:tcW w:w="1055" w:type="dxa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</w:tcPr>
          <w:p>
            <w:pPr>
              <w:spacing w:before="3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Jrk nr</w:t>
            </w: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48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CN-kood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48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Kauba kirjeldus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Aastane kvoodimaht</w:t>
            </w:r>
            <w:r>
              <w:rPr>
                <w:rStyle w:val="FootnoteReference"/>
                <w:noProof/>
                <w:sz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48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Soodustuse saajad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spacing w:before="3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Tollimaksumäär</w:t>
            </w:r>
          </w:p>
        </w:tc>
      </w:tr>
      <w:tr>
        <w:trPr>
          <w:cantSplit/>
        </w:trPr>
        <w:tc>
          <w:tcPr>
            <w:tcW w:w="1055" w:type="dxa"/>
            <w:tcBorders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09.1530</w:t>
            </w: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94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95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96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97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98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22 93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22 94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22 95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29 93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29 94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29 95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Värsketest viinamarjadest valmistatud vein tegeliku alkoholisisaldusega kuni 15 % mahust, välja arvatud vahuvein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30 000 hl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Albaania,</w:t>
            </w:r>
            <w:r>
              <w:rPr>
                <w:rStyle w:val="FootnoteReference"/>
                <w:noProof/>
                <w:sz w:val="22"/>
              </w:rPr>
              <w:footnoteReference w:id="2"/>
            </w:r>
            <w:r>
              <w:rPr>
                <w:noProof/>
                <w:sz w:val="22"/>
              </w:rPr>
              <w:t xml:space="preserve"> Bosnia ja Hertsegoviina,</w:t>
            </w:r>
            <w:r>
              <w:rPr>
                <w:rStyle w:val="FootnoteReference"/>
                <w:noProof/>
                <w:sz w:val="22"/>
              </w:rPr>
              <w:footnoteReference w:id="3"/>
            </w:r>
            <w:r>
              <w:rPr>
                <w:noProof/>
                <w:sz w:val="22"/>
              </w:rPr>
              <w:t xml:space="preserve"> Kosovo,</w:t>
            </w:r>
            <w:r>
              <w:rPr>
                <w:rStyle w:val="FootnoteReference"/>
                <w:noProof/>
                <w:sz w:val="22"/>
              </w:rPr>
              <w:footnoteReference w:id="4"/>
            </w:r>
            <w:r>
              <w:rPr>
                <w:noProof/>
                <w:sz w:val="22"/>
              </w:rPr>
              <w:t xml:space="preserve"> Montenegro,</w:t>
            </w:r>
            <w:r>
              <w:rPr>
                <w:rStyle w:val="FootnoteReference"/>
                <w:noProof/>
                <w:sz w:val="22"/>
              </w:rPr>
              <w:footnoteReference w:id="5"/>
            </w:r>
            <w:r>
              <w:rPr>
                <w:noProof/>
                <w:sz w:val="22"/>
              </w:rPr>
              <w:t xml:space="preserve"> Põhja-Makedoonia</w:t>
            </w:r>
            <w:r>
              <w:rPr>
                <w:rStyle w:val="FootnoteReference"/>
                <w:noProof/>
                <w:sz w:val="22"/>
              </w:rPr>
              <w:footnoteReference w:id="6"/>
            </w:r>
            <w:r>
              <w:rPr>
                <w:noProof/>
                <w:sz w:val="22"/>
              </w:rPr>
              <w:t xml:space="preserve"> ja Serbia</w:t>
            </w:r>
            <w:r>
              <w:rPr>
                <w:rStyle w:val="FootnoteReference"/>
                <w:noProof/>
                <w:sz w:val="22"/>
              </w:rPr>
              <w:footnoteReference w:id="7"/>
            </w:r>
            <w:r>
              <w:rPr>
                <w:noProof/>
                <w:sz w:val="22"/>
              </w:rPr>
              <w:t>.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Maksuvabastus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Soodustuse saajatelt pärit impordi suhtes kohaldatakse üht tariifikvoodi kogumahtu.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Albaaniast pärit veini suhtes kohaldatakse üldtariifikvooti, kui Albaaniaga sõlmitud veini käsitlevas protokollis sätestatud individuaaltariifikvoot on ära kasutatud. Kõnealune individuaalkvoot avatakse järjekorranumbrite 09.1512 ja 09.15.13 all.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Bosniast ja Hertsegoviinast pärit veini suhtes kohaldatakse üldtariifikvooti, kui Bosnia ja Hertsegoviinaga sõlmitud veini käsitlevas protokollis sätestatud mõlemad individuaaltariifikvoodid on ära kasutatud. Kõnealused individuaalkvoodid avatakse järjekorranumbrite 09.1528 ja 09.1529 all.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Kosovost pärit veini suhtes kohaldatakse üldtariifikvooti, kui Kosovoga sõlmitud veini käsitlevas protokollis sätestatud mõlemad individuaaltariifikvoodid on ära kasutatud. Kõnealused individuaalkvoodid avatakse järjekorranumbrite 09.1570 ja 09.1572 all.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Montenegrost pärit veini suhtes kohaldatakse juhul, kui tegemist on CN- koodi 2204 21 alla kuuluvate toodetega, üldtariifikvooti, kui Montenegroga sõlmitud veini käsitlevas protokollis sätestatud individuaaltariifikvoot on ära kasutatud. Kõnealune individuaalkvoot avatakse järjekorranumbri 09.1514 all.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Põhja-Makedooniast pärit veini suhtes kohaldatakse üldtariifikvooti, kui Põhja-Makedooniaga sõlmitud veini käsitlevas protokollis sätestatud mõlemad individuaaltariifikvoodid on ära kasutatud. Kõnealused individuaalkvoodid avatakse järjekorranumbrite 09.1558 ja 09.1559 all.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Serbiast pärit veini suhtes kohaldatakse üldtariifikvooti, kui Serbiaga sõlmitud veini käsitlevas protokollis sätestatud mõlemad individuaaltariifikvoodid on ära kasutatud. Kõnealused individuaalkvoodid avatakse järjekorranumbrite 09.1526 ja 09.1527 all.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EBC51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21E69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F899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042F3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F5A89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01C08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3163E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E924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3-27 10:51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järgmise dokumendi juurde:"/>
    <w:docVar w:name="LW_ACCOMPAGNANT.CP" w:val="järgmise dokumendi juurde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57C17E2-9D0C-4CE0-B155-1BA80ADD9719"/>
    <w:docVar w:name="LW_COVERPAGE_TYPE" w:val="1"/>
    <w:docVar w:name="LW_CROSSREFERENCE" w:val="&lt;UNUSED&gt;"/>
    <w:docVar w:name="LW_DocType" w:val="ANNEX"/>
    <w:docVar w:name="LW_EMISSION" w:val="3.4.2020"/>
    <w:docVar w:name="LW_EMISSION_ISODATE" w:val="2020-04-03"/>
    <w:docVar w:name="LW_EMISSION_LOCATION" w:val="BRX"/>
    <w:docVar w:name="LW_EMISSION_PREFIX" w:val="Brüssel,"/>
    <w:docVar w:name="LW_EMISSION_SUFFIX" w:val=" "/>
    <w:docVar w:name="LW_ID_DOCSTRUCTURE" w:val="COM/ANNEX"/>
    <w:docVar w:name="LW_ID_DOCTYPE" w:val="SG-017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" w:val="millega muudetakse nõukogu määrust (EÜ) nr 1215/2009, millega kehtestatakse erandlikud kaubandusmeetmed Euroopa Liidu stabiliseerimis- ja assotsieerimisprotsessis osalevate või sellega seotud riikide ja territooriumide suhtes"/>
    <w:docVar w:name="LW_OBJETACTEPRINCIPAL.CP" w:val="millega muudetakse nõukogu määrust (EÜ) nr 1215/2009, millega kehtestatakse erandlikud kaubandusmeetmed Euroopa Liidu stabiliseerimis- ja assotsieerimisprotsessis osalevate või sellega seotud riikide ja territooriumide suhtes"/>
    <w:docVar w:name="LW_PART_NBR" w:val="1"/>
    <w:docVar w:name="LW_PART_NBR_TOTAL" w:val="1"/>
    <w:docVar w:name="LW_REF.INST.NEW" w:val="COM"/>
    <w:docVar w:name="LW_REF.INST.NEW_ADOPTED" w:val="final"/>
    <w:docVar w:name="LW_REF.INST.NEW_TEXT" w:val="(2020) 13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LISA"/>
    <w:docVar w:name="LW_TYPE.DOC.CP" w:val="LISA"/>
    <w:docVar w:name="LW_TYPEACTEPRINCIPAL" w:val="Ettepanek: Euroopa Parlamendi ja nõukogu määrus,"/>
    <w:docVar w:name="LW_TYPEACTEPRINCIPAL.CP" w:val="Ettepanek: Euroopa Parlamendi ja nõukogu määrus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t-E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t-E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130</Words>
  <Characters>732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9</cp:revision>
  <dcterms:created xsi:type="dcterms:W3CDTF">2020-03-13T07:38:00Z</dcterms:created>
  <dcterms:modified xsi:type="dcterms:W3CDTF">2020-03-27T09:51:00Z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