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C4374B4-33DB-4C78-A3CB-FF0E355CA511"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jc w:val="center"/>
        <w:rPr>
          <w:noProof/>
        </w:rPr>
      </w:pPr>
      <w:r>
        <w:rPr>
          <w:noProof/>
        </w:rPr>
        <w:t>I PRIEDAS</w:t>
      </w:r>
    </w:p>
    <w:p>
      <w:pPr>
        <w:jc w:val="center"/>
        <w:rPr>
          <w:b/>
          <w:noProof/>
        </w:rPr>
      </w:pPr>
      <w:r>
        <w:rPr>
          <w:b/>
          <w:noProof/>
        </w:rPr>
        <w:t>DĖL 1 STRAIPSNIO 2 DALYJE NURODYTŲ TARIFINIŲ KVOTŲ</w:t>
      </w:r>
    </w:p>
    <w:p>
      <w:pPr>
        <w:rPr>
          <w:noProof/>
        </w:rPr>
      </w:pPr>
      <w:r>
        <w:rPr>
          <w:noProof/>
        </w:rPr>
        <w:t xml:space="preserve">Nepaisant Kombinuotosios nomenklatūros aiškinimo taisyklių, laikoma, kad produktų aprašymo formuluotė yra tik orientacinio pobūdžio, nes šiame priede pateikiamų lengvatinių priemonių taikymas nustatomas pagal KN kodus. Jei KN kodai nurodomi su ženkleliu </w:t>
      </w:r>
      <w:r>
        <w:rPr>
          <w:i/>
          <w:iCs/>
          <w:noProof/>
        </w:rPr>
        <w:t>ex</w:t>
      </w:r>
      <w:r>
        <w:rPr>
          <w:noProof/>
        </w:rPr>
        <w:t>, lengvatinė sistema nustatoma remiantis KN kodu ir atitinkamu aprašymu.</w:t>
      </w:r>
    </w:p>
    <w:tbl>
      <w:tblPr>
        <w:tblW w:w="10207" w:type="dxa"/>
        <w:tblInd w:w="-34" w:type="dxa"/>
        <w:tblLayout w:type="fixed"/>
        <w:tblLook w:val="0000" w:firstRow="0" w:lastRow="0" w:firstColumn="0" w:lastColumn="0" w:noHBand="0" w:noVBand="0"/>
      </w:tblPr>
      <w:tblGrid>
        <w:gridCol w:w="1055"/>
        <w:gridCol w:w="2206"/>
        <w:gridCol w:w="1984"/>
        <w:gridCol w:w="1418"/>
        <w:gridCol w:w="1701"/>
        <w:gridCol w:w="1843"/>
      </w:tblGrid>
      <w:tr>
        <w:trPr>
          <w:tblHeader/>
        </w:trPr>
        <w:tc>
          <w:tcPr>
            <w:tcW w:w="1055" w:type="dxa"/>
            <w:tcBorders>
              <w:top w:val="single" w:sz="2" w:space="0" w:color="auto"/>
              <w:bottom w:val="single" w:sz="4" w:space="0" w:color="000000"/>
              <w:right w:val="single" w:sz="2" w:space="0" w:color="auto"/>
            </w:tcBorders>
          </w:tcPr>
          <w:p>
            <w:pPr>
              <w:spacing w:before="360"/>
              <w:jc w:val="center"/>
              <w:rPr>
                <w:noProof/>
                <w:sz w:val="22"/>
              </w:rPr>
            </w:pPr>
            <w:r>
              <w:rPr>
                <w:noProof/>
                <w:sz w:val="22"/>
              </w:rPr>
              <w:t>Eilės Nr.</w:t>
            </w:r>
          </w:p>
        </w:tc>
        <w:tc>
          <w:tcPr>
            <w:tcW w:w="2206"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KN kodas</w:t>
            </w:r>
          </w:p>
        </w:tc>
        <w:tc>
          <w:tcPr>
            <w:tcW w:w="1984"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Aprašymas</w:t>
            </w:r>
          </w:p>
        </w:tc>
        <w:tc>
          <w:tcPr>
            <w:tcW w:w="1418" w:type="dxa"/>
            <w:tcBorders>
              <w:top w:val="single" w:sz="2" w:space="0" w:color="auto"/>
              <w:left w:val="single" w:sz="2" w:space="0" w:color="auto"/>
              <w:bottom w:val="single" w:sz="2" w:space="0" w:color="auto"/>
              <w:right w:val="single" w:sz="2" w:space="0" w:color="auto"/>
            </w:tcBorders>
          </w:tcPr>
          <w:p>
            <w:pPr>
              <w:jc w:val="center"/>
              <w:rPr>
                <w:noProof/>
                <w:sz w:val="22"/>
              </w:rPr>
            </w:pPr>
            <w:r>
              <w:rPr>
                <w:noProof/>
                <w:sz w:val="22"/>
              </w:rPr>
              <w:t>Metinis kvotos dydis</w:t>
            </w:r>
            <w:r>
              <w:rPr>
                <w:rStyle w:val="FootnoteReference"/>
                <w:noProof/>
                <w:sz w:val="22"/>
              </w:rPr>
              <w:footnoteReference w:id="1"/>
            </w:r>
          </w:p>
        </w:tc>
        <w:tc>
          <w:tcPr>
            <w:tcW w:w="1701" w:type="dxa"/>
            <w:tcBorders>
              <w:top w:val="single" w:sz="2" w:space="0" w:color="auto"/>
              <w:left w:val="single" w:sz="2" w:space="0" w:color="auto"/>
              <w:bottom w:val="single" w:sz="2" w:space="0" w:color="auto"/>
              <w:right w:val="single" w:sz="2" w:space="0" w:color="auto"/>
            </w:tcBorders>
          </w:tcPr>
          <w:p>
            <w:pPr>
              <w:spacing w:before="480"/>
              <w:jc w:val="center"/>
              <w:rPr>
                <w:noProof/>
                <w:sz w:val="22"/>
              </w:rPr>
            </w:pPr>
            <w:r>
              <w:rPr>
                <w:noProof/>
                <w:sz w:val="22"/>
              </w:rPr>
              <w:t>Lengvatomis besinaudojančios šalys</w:t>
            </w:r>
          </w:p>
        </w:tc>
        <w:tc>
          <w:tcPr>
            <w:tcW w:w="1843" w:type="dxa"/>
            <w:tcBorders>
              <w:top w:val="single" w:sz="2" w:space="0" w:color="auto"/>
              <w:left w:val="single" w:sz="2" w:space="0" w:color="auto"/>
              <w:bottom w:val="single" w:sz="2" w:space="0" w:color="auto"/>
            </w:tcBorders>
          </w:tcPr>
          <w:p>
            <w:pPr>
              <w:spacing w:before="360"/>
              <w:jc w:val="center"/>
              <w:rPr>
                <w:noProof/>
                <w:sz w:val="22"/>
              </w:rPr>
            </w:pPr>
            <w:r>
              <w:rPr>
                <w:noProof/>
                <w:sz w:val="22"/>
              </w:rPr>
              <w:t>Muito norma</w:t>
            </w:r>
          </w:p>
        </w:tc>
      </w:tr>
      <w:tr>
        <w:trPr>
          <w:cantSplit/>
        </w:trPr>
        <w:tc>
          <w:tcPr>
            <w:tcW w:w="1055" w:type="dxa"/>
            <w:tcBorders>
              <w:bottom w:val="single" w:sz="2" w:space="0" w:color="auto"/>
              <w:right w:val="single" w:sz="2" w:space="0" w:color="auto"/>
            </w:tcBorders>
          </w:tcPr>
          <w:p>
            <w:pPr>
              <w:rPr>
                <w:noProof/>
                <w:sz w:val="22"/>
              </w:rPr>
            </w:pPr>
            <w:r>
              <w:rPr>
                <w:noProof/>
                <w:sz w:val="22"/>
              </w:rPr>
              <w:t>09.1530</w:t>
            </w:r>
          </w:p>
        </w:tc>
        <w:tc>
          <w:tcPr>
            <w:tcW w:w="2206" w:type="dxa"/>
            <w:tcBorders>
              <w:top w:val="single" w:sz="2" w:space="0" w:color="auto"/>
              <w:left w:val="single" w:sz="2" w:space="0" w:color="auto"/>
              <w:bottom w:val="single" w:sz="4" w:space="0" w:color="auto"/>
              <w:right w:val="single" w:sz="2" w:space="0" w:color="auto"/>
            </w:tcBorders>
          </w:tcPr>
          <w:p>
            <w:pPr>
              <w:jc w:val="left"/>
              <w:rPr>
                <w:noProof/>
                <w:sz w:val="22"/>
              </w:rPr>
            </w:pPr>
            <w:r>
              <w:rPr>
                <w:noProof/>
                <w:sz w:val="22"/>
              </w:rPr>
              <w:t>ex 2204 21 94</w:t>
            </w:r>
          </w:p>
          <w:p>
            <w:pPr>
              <w:jc w:val="left"/>
              <w:rPr>
                <w:noProof/>
                <w:sz w:val="22"/>
              </w:rPr>
            </w:pPr>
            <w:r>
              <w:rPr>
                <w:noProof/>
                <w:sz w:val="22"/>
              </w:rPr>
              <w:t>ex 2204 21 95</w:t>
            </w:r>
          </w:p>
          <w:p>
            <w:pPr>
              <w:jc w:val="left"/>
              <w:rPr>
                <w:noProof/>
                <w:sz w:val="22"/>
              </w:rPr>
            </w:pPr>
            <w:r>
              <w:rPr>
                <w:noProof/>
                <w:sz w:val="22"/>
              </w:rPr>
              <w:t>ex 2204 21 96</w:t>
            </w:r>
          </w:p>
          <w:p>
            <w:pPr>
              <w:jc w:val="left"/>
              <w:rPr>
                <w:noProof/>
                <w:sz w:val="22"/>
              </w:rPr>
            </w:pPr>
            <w:r>
              <w:rPr>
                <w:noProof/>
                <w:sz w:val="22"/>
              </w:rPr>
              <w:t>ex 2204 21 97</w:t>
            </w:r>
          </w:p>
          <w:p>
            <w:pPr>
              <w:jc w:val="left"/>
              <w:rPr>
                <w:noProof/>
                <w:sz w:val="22"/>
              </w:rPr>
            </w:pPr>
            <w:r>
              <w:rPr>
                <w:noProof/>
                <w:sz w:val="22"/>
              </w:rPr>
              <w:t>ex 2204 21 98</w:t>
            </w:r>
          </w:p>
          <w:p>
            <w:pPr>
              <w:jc w:val="left"/>
              <w:rPr>
                <w:noProof/>
                <w:sz w:val="22"/>
              </w:rPr>
            </w:pPr>
            <w:r>
              <w:rPr>
                <w:noProof/>
                <w:sz w:val="22"/>
              </w:rPr>
              <w:t>ex 2204 22 93</w:t>
            </w:r>
          </w:p>
          <w:p>
            <w:pPr>
              <w:jc w:val="left"/>
              <w:rPr>
                <w:noProof/>
                <w:sz w:val="22"/>
              </w:rPr>
            </w:pPr>
            <w:r>
              <w:rPr>
                <w:noProof/>
                <w:sz w:val="22"/>
              </w:rPr>
              <w:t>ex 2204 22 94</w:t>
            </w:r>
          </w:p>
          <w:p>
            <w:pPr>
              <w:jc w:val="left"/>
              <w:rPr>
                <w:noProof/>
                <w:sz w:val="22"/>
              </w:rPr>
            </w:pPr>
            <w:r>
              <w:rPr>
                <w:noProof/>
                <w:sz w:val="22"/>
              </w:rPr>
              <w:t>ex 2204 22 95</w:t>
            </w:r>
          </w:p>
          <w:p>
            <w:pPr>
              <w:jc w:val="left"/>
              <w:rPr>
                <w:noProof/>
                <w:sz w:val="22"/>
              </w:rPr>
            </w:pPr>
            <w:r>
              <w:rPr>
                <w:noProof/>
                <w:sz w:val="22"/>
              </w:rPr>
              <w:t>ex 2204 29 93</w:t>
            </w:r>
          </w:p>
          <w:p>
            <w:pPr>
              <w:jc w:val="left"/>
              <w:rPr>
                <w:noProof/>
                <w:sz w:val="22"/>
              </w:rPr>
            </w:pPr>
            <w:r>
              <w:rPr>
                <w:noProof/>
                <w:sz w:val="22"/>
              </w:rPr>
              <w:t>ex 2204 29 94</w:t>
            </w:r>
          </w:p>
          <w:p>
            <w:pPr>
              <w:jc w:val="left"/>
              <w:rPr>
                <w:noProof/>
                <w:sz w:val="22"/>
              </w:rPr>
            </w:pPr>
            <w:r>
              <w:rPr>
                <w:noProof/>
                <w:sz w:val="22"/>
              </w:rPr>
              <w:t>ex 2204 29 95</w:t>
            </w:r>
          </w:p>
        </w:tc>
        <w:tc>
          <w:tcPr>
            <w:tcW w:w="1984" w:type="dxa"/>
            <w:tcBorders>
              <w:left w:val="single" w:sz="2" w:space="0" w:color="auto"/>
              <w:bottom w:val="single" w:sz="2" w:space="0" w:color="auto"/>
              <w:right w:val="single" w:sz="2" w:space="0" w:color="auto"/>
            </w:tcBorders>
          </w:tcPr>
          <w:p>
            <w:pPr>
              <w:jc w:val="left"/>
              <w:rPr>
                <w:noProof/>
                <w:sz w:val="22"/>
              </w:rPr>
            </w:pPr>
            <w:r>
              <w:rPr>
                <w:noProof/>
                <w:sz w:val="22"/>
              </w:rPr>
              <w:t>Šviežių vynuogių vynas, kurio alkoholio koncentracija, išreikšta tūrio procentais, ne didesnė kaip 15 % tūrio, išskyrus putojantį vyną</w:t>
            </w:r>
          </w:p>
        </w:tc>
        <w:tc>
          <w:tcPr>
            <w:tcW w:w="1418" w:type="dxa"/>
            <w:tcBorders>
              <w:left w:val="single" w:sz="2" w:space="0" w:color="auto"/>
              <w:bottom w:val="single" w:sz="2" w:space="0" w:color="auto"/>
              <w:right w:val="single" w:sz="2" w:space="0" w:color="auto"/>
            </w:tcBorders>
          </w:tcPr>
          <w:p>
            <w:pPr>
              <w:jc w:val="left"/>
              <w:rPr>
                <w:noProof/>
                <w:sz w:val="22"/>
              </w:rPr>
            </w:pPr>
            <w:r>
              <w:rPr>
                <w:noProof/>
                <w:sz w:val="22"/>
              </w:rPr>
              <w:t>30 000 hl</w:t>
            </w:r>
          </w:p>
        </w:tc>
        <w:tc>
          <w:tcPr>
            <w:tcW w:w="1701" w:type="dxa"/>
            <w:tcBorders>
              <w:left w:val="single" w:sz="2" w:space="0" w:color="auto"/>
              <w:bottom w:val="single" w:sz="2" w:space="0" w:color="auto"/>
              <w:right w:val="single" w:sz="2" w:space="0" w:color="auto"/>
            </w:tcBorders>
          </w:tcPr>
          <w:p>
            <w:pPr>
              <w:jc w:val="left"/>
              <w:rPr>
                <w:noProof/>
                <w:sz w:val="22"/>
              </w:rPr>
            </w:pPr>
            <w:r>
              <w:rPr>
                <w:noProof/>
                <w:sz w:val="22"/>
              </w:rPr>
              <w:t>Albanija</w:t>
            </w:r>
            <w:r>
              <w:rPr>
                <w:rStyle w:val="FootnoteReference"/>
                <w:noProof/>
                <w:sz w:val="22"/>
              </w:rPr>
              <w:footnoteReference w:id="2"/>
            </w:r>
            <w:r>
              <w:rPr>
                <w:noProof/>
                <w:sz w:val="22"/>
              </w:rPr>
              <w:t>, Bosnija ir Hercegovina</w:t>
            </w:r>
            <w:r>
              <w:rPr>
                <w:rStyle w:val="FootnoteReference"/>
                <w:noProof/>
                <w:sz w:val="22"/>
              </w:rPr>
              <w:footnoteReference w:id="3"/>
            </w:r>
            <w:r>
              <w:rPr>
                <w:noProof/>
                <w:sz w:val="22"/>
              </w:rPr>
              <w:t>, Kosovas</w:t>
            </w:r>
            <w:r>
              <w:rPr>
                <w:rStyle w:val="FootnoteReference"/>
                <w:noProof/>
                <w:sz w:val="22"/>
              </w:rPr>
              <w:footnoteReference w:id="4"/>
            </w:r>
            <w:r>
              <w:rPr>
                <w:noProof/>
                <w:sz w:val="22"/>
              </w:rPr>
              <w:t>, Juodkalnija</w:t>
            </w:r>
            <w:r>
              <w:rPr>
                <w:rStyle w:val="FootnoteReference"/>
                <w:noProof/>
                <w:sz w:val="22"/>
              </w:rPr>
              <w:footnoteReference w:id="5"/>
            </w:r>
            <w:r>
              <w:rPr>
                <w:noProof/>
                <w:sz w:val="22"/>
              </w:rPr>
              <w:t>, Šiaurės Makedonija</w:t>
            </w:r>
            <w:r>
              <w:rPr>
                <w:rStyle w:val="FootnoteReference"/>
                <w:noProof/>
                <w:sz w:val="22"/>
              </w:rPr>
              <w:footnoteReference w:id="6"/>
            </w:r>
            <w:r>
              <w:rPr>
                <w:noProof/>
                <w:sz w:val="22"/>
              </w:rPr>
              <w:t xml:space="preserve"> ir Serbija</w:t>
            </w:r>
            <w:r>
              <w:rPr>
                <w:rStyle w:val="FootnoteReference"/>
                <w:noProof/>
                <w:sz w:val="22"/>
              </w:rPr>
              <w:footnoteReference w:id="7"/>
            </w:r>
            <w:r>
              <w:rPr>
                <w:noProof/>
                <w:sz w:val="22"/>
              </w:rPr>
              <w:t>.</w:t>
            </w:r>
          </w:p>
        </w:tc>
        <w:tc>
          <w:tcPr>
            <w:tcW w:w="1843" w:type="dxa"/>
            <w:tcBorders>
              <w:left w:val="single" w:sz="2" w:space="0" w:color="auto"/>
              <w:bottom w:val="single" w:sz="2" w:space="0" w:color="auto"/>
            </w:tcBorders>
          </w:tcPr>
          <w:p>
            <w:pPr>
              <w:jc w:val="left"/>
              <w:rPr>
                <w:noProof/>
                <w:sz w:val="22"/>
              </w:rPr>
            </w:pPr>
            <w:r>
              <w:rPr>
                <w:noProof/>
                <w:sz w:val="22"/>
              </w:rPr>
              <w:t>Netaikoma</w:t>
            </w: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Importuojamiems lengvatomis besinaudojančių šalių kilmės produktams skiriamas vienas bendras tarifinės kvotos kiekis.</w:t>
      </w:r>
    </w:p>
  </w:footnote>
  <w:footnote w:id="2">
    <w:p>
      <w:pPr>
        <w:pStyle w:val="FootnoteText"/>
      </w:pPr>
      <w:r>
        <w:rPr>
          <w:rStyle w:val="FootnoteReference"/>
        </w:rPr>
        <w:footnoteRef/>
      </w:r>
      <w:r>
        <w:tab/>
        <w:t>Bendroji tarifinė kvota gali būti taikoma Albanijos kilmės vynui, jeigu prieš tai išnaudojama individuali tarifinė kvota, numatyta su Albanija pasirašytame Protokole dėl vyno. Tą individualią tarifinę kvotą leidžiama pradėti naudoti suteikiant jai eilės Nr. 09.1512 ir 09.15.13.</w:t>
      </w:r>
    </w:p>
  </w:footnote>
  <w:footnote w:id="3">
    <w:p>
      <w:pPr>
        <w:pStyle w:val="FootnoteText"/>
      </w:pPr>
      <w:r>
        <w:rPr>
          <w:rStyle w:val="FootnoteReference"/>
        </w:rPr>
        <w:footnoteRef/>
      </w:r>
      <w:r>
        <w:tab/>
        <w:t>Ši bendroji tarifinė kvota gali būti taikoma Bosnijos ir Hercegovinos kilmės vynui, jeigu prieš tai išnaudojamos abi individualios tarifinės kvotos, numatytos su Bosnija ir Hercegovina pasirašytame protokole dėl vyno. Tas individualias tarifines kvotas leidžiama pradėti naudoti suteikiant joms eilės Nr. 09.1528 ir 09.1529.</w:t>
      </w:r>
    </w:p>
  </w:footnote>
  <w:footnote w:id="4">
    <w:p>
      <w:pPr>
        <w:pStyle w:val="FootnoteText"/>
      </w:pPr>
      <w:r>
        <w:rPr>
          <w:rStyle w:val="FootnoteReference"/>
        </w:rPr>
        <w:footnoteRef/>
      </w:r>
      <w:r>
        <w:tab/>
        <w:t>Ši bendroji tarifinė kvota gali būti taikoma Kosovo kilmės vynui, jeigu prieš tai išnaudojamos abi individualios tarifinės kvotos, numatytos su Kosovu pasirašytame protokole dėl vyno. Tas individualias tarifines kvotas leidžiama pradėti naudoti suteikiant joms eilės Nr. 09.1570 ir 09.1572.</w:t>
      </w:r>
    </w:p>
  </w:footnote>
  <w:footnote w:id="5">
    <w:p>
      <w:pPr>
        <w:pStyle w:val="FootnoteText"/>
      </w:pPr>
      <w:r>
        <w:rPr>
          <w:rStyle w:val="FootnoteReference"/>
        </w:rPr>
        <w:footnoteRef/>
      </w:r>
      <w:r>
        <w:tab/>
        <w:t>Ši bendroji tarifinė kvota, tiek, kiek ji susijusi su produktais, kurių KN kodas yra 2204 21, gali būti taikoma Juodkalnijos kilmės vynui, jeigu prieš tai išnaudojama individuali tarifinė kvota, numatyta su Juodkalnija sudarytame protokole dėl vyno. Tą individualią tarifinę kvotą leidžiama pradėti naudoti suteikiant jai eilės Nr. 09.1514.</w:t>
      </w:r>
    </w:p>
  </w:footnote>
  <w:footnote w:id="6">
    <w:p>
      <w:pPr>
        <w:pStyle w:val="FootnoteText"/>
      </w:pPr>
      <w:r>
        <w:rPr>
          <w:rStyle w:val="FootnoteReference"/>
        </w:rPr>
        <w:footnoteRef/>
      </w:r>
      <w:r>
        <w:tab/>
        <w:t>Ši bendroji tarifinė kvota gali būti taikoma Šiaurės Makedonijos kilmės vynui, jeigu prieš tai išnaudojamos abi individualios tarifinės kvotos, numatytos su Šiaurės Makedonija pasirašytame papildomame protokole dėl vyno. Tas individualias tarifines kvotas leidžiama pradėti naudoti suteikiant joms eilės Nr. 09.1558 ir 09.1559.</w:t>
      </w:r>
    </w:p>
  </w:footnote>
  <w:footnote w:id="7">
    <w:p>
      <w:pPr>
        <w:pStyle w:val="FootnoteText"/>
      </w:pPr>
      <w:r>
        <w:rPr>
          <w:rStyle w:val="FootnoteReference"/>
        </w:rPr>
        <w:footnoteRef/>
      </w:r>
      <w:r>
        <w:tab/>
        <w:t>Bendroji tarifinė kvota gali būti taikoma Serbijos kilmės vynui, jeigu prieš tai išnaudojamos abi individualios tarifinės kvotos, numatytos su Serbija pasirašytame protokole dėl vyno. Tas individualias tarifines kvotas leidžiama pradėti naudoti suteikiant joms eilės Nr. 09.1526 ir 09.1527.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BC51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21E69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F899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42F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F5A89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01C08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163E36"/>
    <w:lvl w:ilvl="0">
      <w:start w:val="1"/>
      <w:numFmt w:val="decimal"/>
      <w:pStyle w:val="ListNumber"/>
      <w:lvlText w:val="%1."/>
      <w:lvlJc w:val="left"/>
      <w:pPr>
        <w:tabs>
          <w:tab w:val="num" w:pos="360"/>
        </w:tabs>
        <w:ind w:left="360" w:hanging="360"/>
      </w:pPr>
    </w:lvl>
  </w:abstractNum>
  <w:abstractNum w:abstractNumId="7">
    <w:nsid w:val="FFFFFF89"/>
    <w:multiLevelType w:val="singleLevel"/>
    <w:tmpl w:val="0E9240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27 10:51: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1C4374B4-33DB-4C78-A3CB-FF0E355CA511"/>
    <w:docVar w:name="LW_COVERPAGE_TYPE" w:val="1"/>
    <w:docVar w:name="LW_CROSSREFERENCE" w:val="&lt;UNUSED&gt;"/>
    <w:docVar w:name="LW_DocType" w:val="ANNEX"/>
    <w:docVar w:name="LW_EMISSION" w:val="2020 04 03"/>
    <w:docVar w:name="LW_EMISSION_ISODATE" w:val="2020-04-03"/>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kuriuo i\u353? dalies kei\u269?iamas Tarybos reglamentas (EB) Nr. 1215/2009, nustatantis i\u353?skirtines prekybos priemones, skirtas Europos S\u261?jungos stabilizavimo ir asocijavimo procese dalyvaujan\u269?ioms arba su juo susijusioms \u353?alims ir teritorijoms"/>
    <w:docVar w:name="LW_OBJETACTEPRINCIPAL.CP" w:val="kuriuo i\u353? dalies kei\u269?iamas Tarybos reglamentas (EB) Nr. 1215/2009, nustatantis i\u353?skirtines prekybos priemones, skirtas Europos S\u261?jungos stabilizavimo ir asocijavimo procese dalyvaujan\u269?ioms arba su juo susijusioms \u353?alims ir teritorijoms"/>
    <w:docVar w:name="LW_PART_NBR" w:val="1"/>
    <w:docVar w:name="LW_PART_NBR_TOTAL" w:val="1"/>
    <w:docVar w:name="LW_REF.INST.NEW" w:val="COM"/>
    <w:docVar w:name="LW_REF.INST.NEW_ADOPTED" w:val="final"/>
    <w:docVar w:name="LW_REF.INST.NEW_TEXT" w:val="(2020)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Europos Parlamento ir Tarybos reglamentol"/>
    <w:docVar w:name="LW_TYPEACTEPRINCIPAL.CP" w:val="pasi\u363?lymo d\u279?l Europos Parlamento ir Tarybos reglamento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B968-0890-4F9D-A8FA-95610926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Pages>
  <Words>147</Words>
  <Characters>766</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2020-03-11T12:37:00Z</dcterms:created>
  <dcterms:modified xsi:type="dcterms:W3CDTF">2020-03-27T09:51:00Z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