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F3961272-A426-4E51-B7EE-FAB47DC03A9B" style="width:450.75pt;height:424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PRILOG </w:t>
      </w:r>
    </w:p>
    <w:p>
      <w:pPr>
        <w:jc w:val="center"/>
        <w:rPr>
          <w:noProof/>
        </w:rPr>
      </w:pPr>
      <w:r>
        <w:rPr>
          <w:noProof/>
        </w:rPr>
        <w:t>PRILOG I.</w:t>
      </w:r>
    </w:p>
    <w:p>
      <w:pPr>
        <w:jc w:val="center"/>
        <w:rPr>
          <w:b/>
          <w:noProof/>
        </w:rPr>
      </w:pPr>
      <w:r>
        <w:rPr>
          <w:b/>
          <w:noProof/>
        </w:rPr>
        <w:t>U VEZI S CARINSKIM KVOTAMA IZ ČLANKA 1. STAVKA 2.</w:t>
      </w:r>
    </w:p>
    <w:p>
      <w:pPr>
        <w:rPr>
          <w:noProof/>
        </w:rPr>
      </w:pPr>
      <w:r>
        <w:rPr>
          <w:noProof/>
        </w:rPr>
        <w:t>Neovisno o pravilima za tumačenje Kombinirane nomenklature, tekst naziva proizvoda treba uzeti samo kao indikativnu vrijednost, s obzirom na to da se preferencijalni režim u kontekstu ovog Priloga određuje opsegom oznaka KN-a. U slučaju kada su navedene oznake ex KN, preferencijalni režim utvrđuje se zajedničkom primjenom oznake KN i odgovarajućeg naziva.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55"/>
        <w:gridCol w:w="2206"/>
        <w:gridCol w:w="1984"/>
        <w:gridCol w:w="1418"/>
        <w:gridCol w:w="1701"/>
        <w:gridCol w:w="1843"/>
      </w:tblGrid>
      <w:tr>
        <w:trPr>
          <w:tblHeader/>
        </w:trPr>
        <w:tc>
          <w:tcPr>
            <w:tcW w:w="1055" w:type="dxa"/>
            <w:tcBorders>
              <w:top w:val="single" w:sz="2" w:space="0" w:color="auto"/>
              <w:bottom w:val="single" w:sz="4" w:space="0" w:color="000000"/>
              <w:right w:val="single" w:sz="2" w:space="0" w:color="auto"/>
            </w:tcBorders>
          </w:tcPr>
          <w:p>
            <w:pPr>
              <w:spacing w:before="36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Redni br.</w:t>
            </w:r>
          </w:p>
        </w:tc>
        <w:tc>
          <w:tcPr>
            <w:tcW w:w="2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before="48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Oznaka KN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before="48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Naziv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Godišnji opseg kvote</w:t>
            </w:r>
            <w:r>
              <w:rPr>
                <w:rStyle w:val="FootnoteReference"/>
                <w:noProof/>
                <w:sz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before="48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Korisnice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>
            <w:pPr>
              <w:spacing w:before="36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Stopa carine</w:t>
            </w:r>
          </w:p>
        </w:tc>
      </w:tr>
      <w:tr>
        <w:trPr>
          <w:cantSplit/>
        </w:trPr>
        <w:tc>
          <w:tcPr>
            <w:tcW w:w="1055" w:type="dxa"/>
            <w:tcBorders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09.1530</w:t>
            </w:r>
          </w:p>
        </w:tc>
        <w:tc>
          <w:tcPr>
            <w:tcW w:w="22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2204 21 94</w:t>
            </w:r>
          </w:p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2204 21 95</w:t>
            </w:r>
          </w:p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2204 21 96</w:t>
            </w:r>
          </w:p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2204 21 97</w:t>
            </w:r>
          </w:p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2204 21 98</w:t>
            </w:r>
          </w:p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2204 22 93</w:t>
            </w:r>
          </w:p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2204 22 94</w:t>
            </w:r>
          </w:p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2204 22 95</w:t>
            </w:r>
          </w:p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2204 29 93</w:t>
            </w:r>
          </w:p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2204 29 94</w:t>
            </w:r>
          </w:p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 2204 29 95</w:t>
            </w:r>
          </w:p>
        </w:tc>
        <w:tc>
          <w:tcPr>
            <w:tcW w:w="19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Vino od svježeg grožđa s volumnim udjelom stvarnog alkohola ne većim od 15 % vol., osim pjenušavog vina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30 000 hl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Albanija</w:t>
            </w:r>
            <w:r>
              <w:rPr>
                <w:rStyle w:val="FootnoteReference"/>
                <w:noProof/>
                <w:sz w:val="22"/>
              </w:rPr>
              <w:footnoteReference w:id="2"/>
            </w:r>
            <w:r>
              <w:rPr>
                <w:noProof/>
                <w:sz w:val="22"/>
              </w:rPr>
              <w:t>, Bosna i Hercegovina</w:t>
            </w:r>
            <w:r>
              <w:rPr>
                <w:rStyle w:val="FootnoteReference"/>
                <w:noProof/>
                <w:sz w:val="22"/>
              </w:rPr>
              <w:footnoteReference w:id="3"/>
            </w:r>
            <w:r>
              <w:rPr>
                <w:noProof/>
                <w:sz w:val="22"/>
              </w:rPr>
              <w:t>, Crna Gora</w:t>
            </w:r>
            <w:r>
              <w:rPr>
                <w:rStyle w:val="FootnoteReference"/>
                <w:noProof/>
                <w:sz w:val="22"/>
              </w:rPr>
              <w:footnoteReference w:id="4"/>
            </w:r>
            <w:r>
              <w:rPr>
                <w:noProof/>
                <w:sz w:val="22"/>
              </w:rPr>
              <w:t>, Kosovo</w:t>
            </w:r>
            <w:r>
              <w:rPr>
                <w:rStyle w:val="FootnoteReference"/>
                <w:noProof/>
                <w:sz w:val="22"/>
              </w:rPr>
              <w:footnoteReference w:id="5"/>
            </w:r>
            <w:r>
              <w:rPr>
                <w:noProof/>
                <w:sz w:val="22"/>
              </w:rPr>
              <w:t>, Sjeverna Makedonija</w:t>
            </w:r>
            <w:r>
              <w:rPr>
                <w:rStyle w:val="FootnoteReference"/>
                <w:noProof/>
                <w:sz w:val="22"/>
              </w:rPr>
              <w:footnoteReference w:id="6"/>
            </w:r>
            <w:r>
              <w:rPr>
                <w:noProof/>
                <w:sz w:val="22"/>
              </w:rPr>
              <w:t xml:space="preserve"> i Srbija</w:t>
            </w:r>
            <w:r>
              <w:rPr>
                <w:rStyle w:val="FootnoteReference"/>
                <w:noProof/>
                <w:sz w:val="22"/>
              </w:rPr>
              <w:footnoteReference w:id="7"/>
            </w:r>
            <w:r>
              <w:rPr>
                <w:noProof/>
                <w:sz w:val="22"/>
              </w:rPr>
              <w:t>.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</w:tcBorders>
          </w:tcPr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Izuzeće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Za uvoz podrijetlom iz stranaka korisnica primjenjuje se jedan ukupni opseg po carinskoj kvoti.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Primjena ukupne carinske kvote na vino podrijetlom iz Albanije uvjetovana je prethodnim iscrpljivanjem pojedinačne carinske kvote predviđene Protokolom o vinu sklopljenim s Albanijom. Ta pojedinačna kvota otvorena je pod rednim brojevima 09.1512 i 09.15.13.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Primjena ukupne carinske kvote na vino podrijetlom iz Bosne i Hercegovine uvjetovana je prethodnim iscrpljivanjem obiju pojedinačnih carinskih kvota predviđenih Protokolom o vinu sklopljenim s Bosnom i Hercegovinom. Te pojedinačne kvote otvorene su pod rednim brojevima 09.1528 i 09.1529.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Primjena ukupne carinske kvote na vino podrijetlom iz Crne Gore, u mjeri u kojoj se odnosi na proizvode obuhvaćene oznakom KN 2204 21, uvjetovana je prethodnim iscrpljivanjem pojedinačnih carinskih kvota predviđenih Protokolom o vinu sklopljenim s Crnom Gorom. Ta pojedinačna carinska kvota otvorena je pod rednim brojem 09.1514.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Primjena ukupne carinske kvote na vino podrijetlom iz Kosova uvjetovana je prethodnim iscrpljivanjem obiju pojedinačnih carinskih kvota predviđenih Protokolom o vinu sklopljenim s Kosovom. Te pojedinačne kvote otvorene su pod rednim brojem 09.1570 i 09.1572.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Primjena ove cjelokupne carinske kvote na vino podrijetlom iz Sjeverne Makedonije uvjetovana je prethodnim iscrpljivanjem obiju pojedinačnih carinskih kvota predviđenih Dodatnim protokolom o vinu sklopljenim sa Sjevernom Makedonijom. Te pojedinačne kvote otvorene su pod rednim brojem 09.1558 i 09.1559.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Primjena ukupne carinske kvote na vino podrijetlom iz Srbije uvjetovana je prethodnim iscrpljivanjem obiju pojedinačnih carinskih kvota predviđenih Protokolom o vinu sklopljenim sa Srbijom. Te pojedinačne kvote otvorene su pod rednim brojem 09.1526 i 09.1527.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EBC519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21E69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0F899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042F3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F5A89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01C08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3163E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E9240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3-27 10:51:5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 "/>
    <w:docVar w:name="LW_ACCOMPAGNANT.CP" w:val="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F3961272-A426-4E51-B7EE-FAB47DC03A9B"/>
    <w:docVar w:name="LW_COVERPAGE_TYPE" w:val="1"/>
    <w:docVar w:name="LW_CROSSREFERENCE" w:val="&lt;UNUSED&gt;"/>
    <w:docVar w:name="LW_DocType" w:val="ANNEX"/>
    <w:docVar w:name="LW_EMISSION" w:val="3.4.2020."/>
    <w:docVar w:name="LW_EMISSION_ISODATE" w:val="2020-04-03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" w:val="&lt;FMT:Bold&gt;o izmjeni Uredbe Vije\u263?a (EZ) br. 1215/2009 o uvo\u273?enju izvanrednih trgovinskih mjera za zemlje i podru\u269?ja koji sudjeluju u Procesu stabilizacije i pridru\u382?ivanja Europske unije ili su s njim povezani&lt;/FMT&gt;_x000d__x000b_"/>
    <w:docVar w:name="LW_OBJETACTEPRINCIPAL.CP" w:val="&lt;FMT:Bold&gt;o izmjeni Uredbe Vije\u263?a (EZ) br. 1215/2009 o uvo\u273?enju izvanrednih trgovinskih mjera za zemlje i podru\u269?ja koji sudjeluju u Procesu stabilizacije i pridru\u382?ivanja Europske unije ili su s njim povezani&lt;/FMT&gt;_x000d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20) 13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RILOG"/>
    <w:docVar w:name="LW_TYPE.DOC.CP" w:val="PRILOG"/>
    <w:docVar w:name="LW_TYPEACTEPRINCIPAL" w:val="Prijedlogu uredbe Europskog parlamenta i Vije\u263?a _x000b_"/>
    <w:docVar w:name="LW_TYPEACTEPRINCIPAL.CP" w:val="Prijedlogu uredbe Europskog parlamenta i Vije\u263?a 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158</Words>
  <Characters>715</Characters>
  <Application>Microsoft Office Word</Application>
  <DocSecurity>0</DocSecurity>
  <Lines>44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 Birgit (TRADE)</dc:creator>
  <cp:keywords/>
  <dc:description/>
  <cp:lastModifiedBy>WES PDFC Administrator</cp:lastModifiedBy>
  <cp:revision>9</cp:revision>
  <dcterms:created xsi:type="dcterms:W3CDTF">2020-03-13T15:26:00Z</dcterms:created>
  <dcterms:modified xsi:type="dcterms:W3CDTF">2020-03-27T09:51:00Z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