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F521BED-0C71-4802-AE2C-8776ECC51C2B" style="width:451.35pt;height:35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u w:color="000000"/>
          <w:bdr w:val="nil"/>
        </w:rPr>
        <w:t>•</w:t>
      </w:r>
      <w:r>
        <w:rPr>
          <w:noProof/>
          <w:u w:color="000000"/>
          <w:bdr w:val="nil"/>
        </w:rPr>
        <w:tab/>
      </w:r>
      <w:r>
        <w:rPr>
          <w:noProof/>
        </w:rPr>
        <w:t>Ettepaneku põhjused ja eesmärgid</w:t>
      </w:r>
    </w:p>
    <w:p>
      <w:pPr>
        <w:rPr>
          <w:noProof/>
          <w:color w:val="000000"/>
          <w:sz w:val="23"/>
          <w:szCs w:val="23"/>
        </w:rPr>
      </w:pPr>
      <w:r>
        <w:rPr>
          <w:noProof/>
          <w:sz w:val="23"/>
          <w:szCs w:val="23"/>
        </w:rPr>
        <w:t>COVID-19 pandeemia tõttu kaotab Euroopa Liidus elu või satub raskustesse erakordselt suur hulk inimesi. Liikmesriigid võtavad surmajuhtumite vähendamiseks ja viiruse leviku tõkestamiseks isikuvabadusi piiravaid erakorralisi meetmeid, mis häirivad majandustegevust ning põhjustavad ettevõtjatele likviidsusprobleeme ja halvendavad tugevasti nende rahalist olukorda.</w:t>
      </w:r>
    </w:p>
    <w:p>
      <w:pPr>
        <w:rPr>
          <w:noProof/>
          <w:color w:val="000000"/>
          <w:sz w:val="23"/>
          <w:szCs w:val="23"/>
        </w:rPr>
      </w:pPr>
      <w:r>
        <w:rPr>
          <w:noProof/>
          <w:sz w:val="23"/>
          <w:szCs w:val="23"/>
        </w:rPr>
        <w:t>Viiruse kiire levik ja haiglaravi vajavate patsientide suur arv avaldab liikmesriikide tervishoiusüsteemidele ääretult suurt survet. Kõik liikmesriigid on sunnitud suurendama oma tervishoiusüsteemile tehtavaid kulutusi, et rahastada COVID-19 pandeemiaga seotud kasvavaid vajadusi ja jätkata paralleelselt põhiliste meditsiiniteenuste osutamist kõigile teistele patsientidele. Samal ajal peavad ELi liikmesriigid tagama inimressursid hädavajalike meditsiiniseadmete ja nende lisavahendite kindlakstegemiseks, hankimiseks ja õigeaegse tarnimise tagamiseks.</w:t>
      </w:r>
    </w:p>
    <w:p>
      <w:pPr>
        <w:rPr>
          <w:noProof/>
          <w:color w:val="000000"/>
          <w:sz w:val="23"/>
          <w:szCs w:val="23"/>
        </w:rPr>
      </w:pPr>
      <w:r>
        <w:rPr>
          <w:noProof/>
          <w:sz w:val="23"/>
          <w:szCs w:val="23"/>
        </w:rPr>
        <w:t>Olukord liikmesriigiti küll erineb, aga haigus levib kiiresti ja ohustab Euroopa Liitu tervikuna. Seega on viiruse leviku edukaks tõkestamiseks ja selle mõju võimalikult kiireks leevendamiseks tarvis reageerida ühiselt, koordineeritult ja kiirelt. Erandliku olukorraga toimetulemiseks tuleb töötada välja eri meetmeid sisaldav kooskõlastatud strateegia, mille peamine eesmärk on säilitada inimelusid, hoida ära või leevendada inimeste kannatusi ja kaitsta inimväärikust.</w:t>
      </w:r>
    </w:p>
    <w:p>
      <w:pPr>
        <w:rPr>
          <w:noProof/>
          <w:color w:val="000000"/>
          <w:sz w:val="23"/>
          <w:szCs w:val="23"/>
        </w:rPr>
      </w:pPr>
      <w:r>
        <w:rPr>
          <w:noProof/>
          <w:sz w:val="23"/>
          <w:szCs w:val="23"/>
        </w:rPr>
        <w:t>ELi tasandi koordineeritud tegevus võimaldaks tegeleda käimasoleva kriisiga ja astuda ühtlasi vajalikke samme selle järel. See tegevus toimuks muu hulgas järgmiste meetmete abil:</w:t>
      </w:r>
    </w:p>
    <w:p>
      <w:pPr>
        <w:pStyle w:val="Tiret0"/>
        <w:numPr>
          <w:ilvl w:val="0"/>
          <w:numId w:val="19"/>
        </w:numPr>
        <w:rPr>
          <w:noProof/>
        </w:rPr>
      </w:pPr>
      <w:r>
        <w:rPr>
          <w:noProof/>
        </w:rPr>
        <w:t>laialdasem ja kiirem varude kogumine ning oluliste ressursside kooskõlastatud jaotamine kõikjal Euroopas;</w:t>
      </w:r>
    </w:p>
    <w:p>
      <w:pPr>
        <w:pStyle w:val="Tiret0"/>
        <w:rPr>
          <w:noProof/>
        </w:rPr>
      </w:pPr>
      <w:r>
        <w:rPr>
          <w:noProof/>
        </w:rPr>
        <w:t>rahvusvahelistelt partneritelt imporditavate kaitsevahendite transpordi korraldamine ja kaitsevahendite edasitoimetamine kõikjale ELi;</w:t>
      </w:r>
    </w:p>
    <w:p>
      <w:pPr>
        <w:pStyle w:val="Tiret0"/>
        <w:rPr>
          <w:noProof/>
        </w:rPr>
      </w:pPr>
      <w:r>
        <w:rPr>
          <w:noProof/>
        </w:rPr>
        <w:t>abivajavate patsientide piiriülene paigutamine neisse haiglatesse, kus on veel vabu kohti;</w:t>
      </w:r>
    </w:p>
    <w:p>
      <w:pPr>
        <w:pStyle w:val="Tiret0"/>
        <w:rPr>
          <w:noProof/>
        </w:rPr>
      </w:pPr>
      <w:r>
        <w:rPr>
          <w:noProof/>
        </w:rPr>
        <w:t xml:space="preserve">piiriülene koostöö, mille eesmärk on leevendada tervishoiusüsteemidele avalduvat survet haigusest kõige enam mõjutatud ELi piirkondades; </w:t>
      </w:r>
    </w:p>
    <w:p>
      <w:pPr>
        <w:pStyle w:val="Tiret0"/>
        <w:rPr>
          <w:noProof/>
        </w:rPr>
      </w:pPr>
      <w:r>
        <w:rPr>
          <w:noProof/>
        </w:rPr>
        <w:t>hädavajalike meditsiinitarvete tsentraalne hankimine ja jaotamine haiglatele ning kaitsevahendite (nt respiraatorid, hingamisaparaadid, isikukaitsevahendid, korduskasutatavad maskid, ravimid, ravivahendid, laborivarustus ja desinfektsioonivahendid) hädaolukorra tarned haiglatöötajatele;</w:t>
      </w:r>
    </w:p>
    <w:p>
      <w:pPr>
        <w:pStyle w:val="Tiret0"/>
        <w:rPr>
          <w:noProof/>
        </w:rPr>
      </w:pPr>
      <w:r>
        <w:rPr>
          <w:noProof/>
        </w:rPr>
        <w:t>ELi ettevõtete tootmisvõimsuse suurendamine ja ümbersuunamine, et tagada selliste seadmete ja materjalide kiire tootmine ja kasutuselevõtt, mida on tarvis hädavajalike toodete ja ravimite nappuse kõrvaldamiseks;</w:t>
      </w:r>
    </w:p>
    <w:p>
      <w:pPr>
        <w:pStyle w:val="Tiret0"/>
        <w:rPr>
          <w:noProof/>
        </w:rPr>
      </w:pPr>
      <w:r>
        <w:rPr>
          <w:noProof/>
        </w:rPr>
        <w:t>raviasutuste ja -ressursside suurendamine, sealhulgas ajutiste ja poolalaliste välihaiglate rajamine ning ümberkorraldatud raviasutuste toetamine;</w:t>
      </w:r>
    </w:p>
    <w:p>
      <w:pPr>
        <w:pStyle w:val="Tiret0"/>
        <w:rPr>
          <w:noProof/>
        </w:rPr>
      </w:pPr>
      <w:r>
        <w:rPr>
          <w:noProof/>
        </w:rPr>
        <w:t>testikomplektide tootmise suurendamine ja vajalike põhiainete soetamise toetamine;</w:t>
      </w:r>
    </w:p>
    <w:p>
      <w:pPr>
        <w:pStyle w:val="Tiret0"/>
        <w:rPr>
          <w:noProof/>
        </w:rPr>
      </w:pPr>
      <w:r>
        <w:rPr>
          <w:noProof/>
        </w:rPr>
        <w:t>ravimite ja testimismeetodite kiire väljatöötamise toetamine;</w:t>
      </w:r>
    </w:p>
    <w:p>
      <w:pPr>
        <w:pStyle w:val="Tiret0"/>
        <w:rPr>
          <w:noProof/>
        </w:rPr>
      </w:pPr>
      <w:r>
        <w:rPr>
          <w:noProof/>
        </w:rPr>
        <w:t>testimisvahendite (testikomplektid, reagendid, seadmed) arendamine, hankimine ja jaotamine.</w:t>
      </w:r>
    </w:p>
    <w:p>
      <w:pPr>
        <w:rPr>
          <w:noProof/>
          <w:color w:val="000000"/>
          <w:sz w:val="23"/>
          <w:szCs w:val="23"/>
        </w:rPr>
      </w:pPr>
      <w:r>
        <w:rPr>
          <w:noProof/>
          <w:sz w:val="23"/>
          <w:szCs w:val="23"/>
        </w:rPr>
        <w:t xml:space="preserve">Praegust rahvatervise hädaolukorda aitavad osaliselt leevendada liidu elanikkonnakaitse mehhanismi / rescEU raames ette nähtud meetmed, koroonaviirusega võitlemise </w:t>
      </w:r>
      <w:r>
        <w:rPr>
          <w:noProof/>
          <w:sz w:val="23"/>
          <w:szCs w:val="23"/>
        </w:rPr>
        <w:lastRenderedPageBreak/>
        <w:t>investeerimisalgatus Euroopa struktuuri- ja investeerimisfondide kasutuselevõtuks</w:t>
      </w:r>
      <w:r>
        <w:rPr>
          <w:rStyle w:val="FootnoteReference"/>
          <w:noProof/>
        </w:rPr>
        <w:footnoteReference w:id="1"/>
      </w:r>
      <w:r>
        <w:rPr>
          <w:noProof/>
          <w:sz w:val="23"/>
          <w:szCs w:val="23"/>
        </w:rPr>
        <w:t xml:space="preserve"> ning muud liidu vahendid. Olukorra tõsidus nõuab aga veelgi tugevamat vastust, mis tuleb eelkõige suunata ELi tervishoiusektorile. Seetõttu teeb komisjon ettepaneku võtta kasutusele erakorralise toetuse rahastamisvahend, et võimaldada ELile mitmekesisemaid vahendeid, mis aitaksid toime tulla praeguse COVID-19 pandeemia laialdase levikuga.</w:t>
      </w:r>
    </w:p>
    <w:p>
      <w:pPr>
        <w:rPr>
          <w:noProof/>
          <w:color w:val="000000"/>
          <w:sz w:val="23"/>
          <w:szCs w:val="23"/>
        </w:rPr>
      </w:pPr>
      <w:r>
        <w:rPr>
          <w:noProof/>
          <w:sz w:val="23"/>
          <w:szCs w:val="23"/>
        </w:rPr>
        <w:t xml:space="preserve">Eelnevale tuginedes tuleks võimalikult kiiresti aktiveerida toetus, mida pakutakse erakorralise toetuse määruse (2016/369) alusel. See võimaldaks liidul võtta meetmeid ühes või mitmes liikmesriigis tekkida võivate raskete tagajärgede ärahoidmiseks või leevendamiseks ja tegeleda kooskõlastatult COVID-19 katastroofist tulenevate vajadustega, täiendades muude ELi vahendite kaudu antavat abi. </w:t>
      </w:r>
    </w:p>
    <w:p>
      <w:pPr>
        <w:rPr>
          <w:noProof/>
          <w:color w:val="000000"/>
          <w:sz w:val="23"/>
          <w:szCs w:val="23"/>
        </w:rPr>
      </w:pPr>
      <w:r>
        <w:rPr>
          <w:noProof/>
          <w:sz w:val="23"/>
          <w:szCs w:val="23"/>
        </w:rPr>
        <w:t>Erakorralise toetuse määrusega pakutakse ELi tasandi solidaarsuse väljendamiseks konkreetset vahendit – sellega kaasatakse kriisi vastu võitlemisse kodanikud ja kodanikuühiskond. Kulude poolel võimaldab vahend kaasata valitsusväliseid organisatsioone ja rahvusvahelisi organisatsioone ning piirkondlikke ja riiklikke ametiasutusi (nt tervishoiusektori asutusi). Tulude poolel võimaldab see kasutada mitte ainult liikmesriikide lisamakseid, vaid ka eraisikute ja sihtasutuste annetusi ning koguni ühisrahastust. Komisjon uurib, kuidas luua kõik vajalikud tingimused, et võimaldada sissemaksete ja annetuste kiiret kogumist.</w:t>
      </w:r>
    </w:p>
    <w:p>
      <w:pPr>
        <w:pStyle w:val="ManualHeading2"/>
        <w:rPr>
          <w:rFonts w:eastAsia="Arial Unicode MS"/>
          <w:noProof/>
        </w:rPr>
      </w:pPr>
      <w:r>
        <w:rPr>
          <w:noProof/>
          <w:u w:color="000000"/>
          <w:bdr w:val="nil"/>
        </w:rPr>
        <w:t>•</w:t>
      </w:r>
      <w:r>
        <w:rPr>
          <w:noProof/>
          <w:u w:color="000000"/>
          <w:bdr w:val="nil"/>
        </w:rPr>
        <w:tab/>
      </w:r>
      <w:r>
        <w:rPr>
          <w:noProof/>
        </w:rPr>
        <w:t>Kooskõla poliitikavaldkonnas praegu kehtivate õigusnormidega</w:t>
      </w:r>
    </w:p>
    <w:p>
      <w:pPr>
        <w:spacing w:before="0" w:after="0"/>
        <w:rPr>
          <w:noProof/>
          <w:color w:val="000000"/>
          <w:sz w:val="23"/>
          <w:szCs w:val="23"/>
        </w:rPr>
      </w:pPr>
      <w:r>
        <w:rPr>
          <w:noProof/>
          <w:sz w:val="23"/>
          <w:szCs w:val="23"/>
        </w:rPr>
        <w:t>Eespool esitatu põhjal teeb komisjon ettepaneku aktiveerida kooskõlas määruse 2016/369 artikliga 2 erakorraline toetus ja muuta mõningaid nimetatud määruse sätteid, et rahuldada paremini COVID-19 puhangust tulenevaid konkreetseid vajadusi. Eelkõige paneb komisjon ette</w:t>
      </w:r>
    </w:p>
    <w:p>
      <w:pPr>
        <w:pStyle w:val="Tiret0"/>
        <w:rPr>
          <w:noProof/>
        </w:rPr>
      </w:pPr>
      <w:r>
        <w:rPr>
          <w:noProof/>
        </w:rPr>
        <w:t>aktiveerida ELi toetus kaheks aastaks alates 1. veebruarist 2020;</w:t>
      </w:r>
    </w:p>
    <w:p>
      <w:pPr>
        <w:pStyle w:val="Tiret0"/>
        <w:rPr>
          <w:noProof/>
        </w:rPr>
      </w:pPr>
      <w:r>
        <w:rPr>
          <w:noProof/>
        </w:rPr>
        <w:t>laiendada rahastamiskõlblike meetmete ja võimalike rakenduspartnerite ringi, pidades silmas COVID-19 kriisiga toimetulekuks vajalike meetmete suurt ulatust, ja täpsustada abikõlblikke kulusid;</w:t>
      </w:r>
    </w:p>
    <w:p>
      <w:pPr>
        <w:pStyle w:val="Tiret0"/>
        <w:rPr>
          <w:noProof/>
        </w:rPr>
      </w:pPr>
      <w:r>
        <w:rPr>
          <w:noProof/>
        </w:rPr>
        <w:t>kohaldada määrust tagasiulatuvalt alates 1. veebruarist 2020 ja käsitada asjaomaseid meetmeid alates sellest kuupäevast rahastamiskõlblikena, eesmärgiga tagada liikmesriikide võrdne kohtlemine;</w:t>
      </w:r>
    </w:p>
    <w:p>
      <w:pPr>
        <w:pStyle w:val="Tiret0"/>
        <w:rPr>
          <w:noProof/>
        </w:rPr>
      </w:pPr>
      <w:r>
        <w:rPr>
          <w:noProof/>
        </w:rPr>
        <w:t>pikendada erakorralise toetuse rakendamispaindlikkuse tagamiseks juriidiliste kohustuste sõlmimise perioodi;</w:t>
      </w:r>
    </w:p>
    <w:p>
      <w:pPr>
        <w:pStyle w:val="Tiret0"/>
        <w:rPr>
          <w:noProof/>
        </w:rPr>
      </w:pPr>
      <w:r>
        <w:rPr>
          <w:noProof/>
        </w:rPr>
        <w:t>anda komisjonile võimalus hankida liikmesriikidele erakorralist toetust, et rahuldada nende COVID-19 pandeemiaga seotud vajadusi, sealhulgas ühishanke vormis või korraldades tsentraliseeritud hankeid liikmesriikide nimel.</w:t>
      </w:r>
    </w:p>
    <w:p>
      <w:pPr>
        <w:rPr>
          <w:noProof/>
          <w:sz w:val="23"/>
          <w:szCs w:val="23"/>
        </w:rPr>
      </w:pPr>
      <w:r>
        <w:rPr>
          <w:noProof/>
          <w:sz w:val="23"/>
          <w:szCs w:val="23"/>
        </w:rPr>
        <w:t xml:space="preserve">Kavandatava määrusega võimaldatav koordineeritud tegevus ja meetmed täiendavad toetust, mida antakse muude ELi vahendite kaudu. </w:t>
      </w:r>
    </w:p>
    <w:p>
      <w:pPr>
        <w:pStyle w:val="ManualHeading2"/>
        <w:rPr>
          <w:rFonts w:eastAsia="Arial Unicode MS"/>
          <w:noProof/>
        </w:rPr>
      </w:pPr>
      <w:r>
        <w:rPr>
          <w:noProof/>
          <w:u w:color="000000"/>
          <w:bdr w:val="nil"/>
        </w:rPr>
        <w:t>•</w:t>
      </w:r>
      <w:r>
        <w:rPr>
          <w:noProof/>
          <w:u w:color="000000"/>
          <w:bdr w:val="nil"/>
        </w:rPr>
        <w:tab/>
      </w:r>
      <w:r>
        <w:rPr>
          <w:noProof/>
        </w:rPr>
        <w:t>Kooskõla muude liidu tegevuspõhimõtetega</w:t>
      </w:r>
    </w:p>
    <w:p>
      <w:pPr>
        <w:pBdr>
          <w:top w:val="nil"/>
          <w:left w:val="nil"/>
          <w:bottom w:val="nil"/>
          <w:right w:val="nil"/>
          <w:between w:val="nil"/>
          <w:bar w:val="nil"/>
        </w:pBdr>
        <w:spacing w:after="240"/>
        <w:rPr>
          <w:rFonts w:eastAsia="Arial Unicode MS"/>
          <w:noProof/>
          <w:sz w:val="23"/>
          <w:szCs w:val="23"/>
        </w:rPr>
      </w:pPr>
      <w:r>
        <w:rPr>
          <w:noProof/>
          <w:sz w:val="23"/>
          <w:szCs w:val="23"/>
        </w:rPr>
        <w:t xml:space="preserve">Ettepanek aktiveerida erakorralise toetuse rahastamisvahend on osa ELi meetmepaketist, millega reageeritakse praegusele COVID-19 pandeemiale. Need meetmed põhinevad koordineeritud ja laiaulatuslikul käsitusel sellest, kuidas kõige paremini ära kasutada ELi eelarves ettenähtud </w:t>
      </w:r>
      <w:r>
        <w:rPr>
          <w:noProof/>
          <w:sz w:val="23"/>
          <w:szCs w:val="23"/>
        </w:rPr>
        <w:lastRenderedPageBreak/>
        <w:t>vahendeid,</w:t>
      </w:r>
      <w:r>
        <w:rPr>
          <w:rStyle w:val="FootnoteReference"/>
          <w:noProof/>
        </w:rPr>
        <w:footnoteReference w:id="2"/>
      </w:r>
      <w:r>
        <w:rPr>
          <w:noProof/>
          <w:sz w:val="23"/>
          <w:szCs w:val="23"/>
        </w:rPr>
        <w:t xml:space="preserve"> sealhulgas koroonaviirusega võitlemise investeerimisalgatust ja Euroopa Liidu Solidaarsusfondi kohaldamisala kavandatavat laiendamist rahvatervise kriisiolukordadele,</w:t>
      </w:r>
      <w:r>
        <w:rPr>
          <w:rStyle w:val="FootnoteReference"/>
          <w:noProof/>
        </w:rPr>
        <w:footnoteReference w:id="3"/>
      </w:r>
      <w:r>
        <w:rPr>
          <w:noProof/>
          <w:sz w:val="23"/>
          <w:szCs w:val="23"/>
        </w:rPr>
        <w:t xml:space="preserve"> samuti rahastamisvahendite pakutavaid võimalusi ja investeerimistoetuse tugevdamiseks mõeldud EFSI eelarvetagatist (nt ettevõtete konkurentsivõime ning väikeste ja keskmise suurusega ettevõtjate programmi COSME ning InnovFin’i VKEde tagatisrahastut programmi „Horisont 2020“ raames).</w:t>
      </w:r>
    </w:p>
    <w:p>
      <w:pPr>
        <w:pBdr>
          <w:top w:val="nil"/>
          <w:left w:val="nil"/>
          <w:bottom w:val="nil"/>
          <w:right w:val="nil"/>
          <w:between w:val="nil"/>
          <w:bar w:val="nil"/>
        </w:pBdr>
        <w:spacing w:after="240"/>
        <w:rPr>
          <w:noProof/>
          <w:sz w:val="23"/>
          <w:szCs w:val="23"/>
        </w:rPr>
      </w:pPr>
      <w:r>
        <w:rPr>
          <w:noProof/>
          <w:sz w:val="23"/>
          <w:szCs w:val="23"/>
        </w:rPr>
        <w:t xml:space="preserve">Käesolev ettepanek täiendab kõiki eespool nimetatud meetmeid. </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pBdr>
          <w:top w:val="nil"/>
          <w:left w:val="nil"/>
          <w:bottom w:val="nil"/>
          <w:right w:val="nil"/>
          <w:between w:val="nil"/>
          <w:bar w:val="nil"/>
        </w:pBdr>
        <w:spacing w:after="240"/>
        <w:rPr>
          <w:noProof/>
          <w:sz w:val="23"/>
          <w:szCs w:val="23"/>
        </w:rPr>
      </w:pPr>
      <w:r>
        <w:rPr>
          <w:noProof/>
          <w:sz w:val="23"/>
          <w:szCs w:val="23"/>
        </w:rPr>
        <w:t>Nagu eespool märgitud, on COVID-19 pandeemia ootamatu ja erakorraline nähtus, millel on tugev kahjulik mõju liikmesriikide finants-, majandus- ja tervishoiusüsteemidele. Käesolev ELi meede on vajalik, et reageerida praegusele COVID-19 kriisile solidaarsuse vaimus. Seetõttu peab liit tekkinud tõsiste raskuste kõrvaldamiseks kavandatud meetmed vastu võtma ja koordineeritud tegevuse heaks kiitma ELi toimimise lepingu artikli 122 lõike 1 alusel.</w:t>
      </w:r>
    </w:p>
    <w:p>
      <w:pPr>
        <w:pStyle w:val="ManualHeading2"/>
        <w:rPr>
          <w:rFonts w:eastAsia="Arial Unicode MS"/>
          <w:noProof/>
          <w:u w:color="000000"/>
          <w:bdr w:val="nil"/>
        </w:rPr>
      </w:pPr>
      <w:r>
        <w:rPr>
          <w:noProof/>
          <w:u w:color="000000"/>
          <w:bdr w:val="nil"/>
        </w:rPr>
        <w:t>•</w:t>
      </w:r>
      <w:r>
        <w:rPr>
          <w:noProof/>
          <w:u w:color="000000"/>
          <w:bdr w:val="nil"/>
        </w:rPr>
        <w:tab/>
        <w:t xml:space="preserve">Subsidiaarsus (ainupädevusse mittekuuluva valdkonna puhul) </w:t>
      </w:r>
    </w:p>
    <w:p>
      <w:pPr>
        <w:rPr>
          <w:rFonts w:eastAsia="Arial Unicode MS"/>
          <w:noProof/>
          <w:sz w:val="23"/>
          <w:szCs w:val="23"/>
        </w:rPr>
      </w:pPr>
      <w:r>
        <w:rPr>
          <w:noProof/>
          <w:sz w:val="23"/>
          <w:szCs w:val="23"/>
        </w:rPr>
        <w:t>Erakorralise toetuse rahastamisvahendi aktiveerimine COVID-19 vastaseks võitluseks ELis toimub subsidiaarsuse põhimõttel. COVID-19 pandeemia üleilmse mõõtme, selle tugeva majandusliku ja sotsiaalse mõju ning kõigi liikmesriikide tervishoiusüsteemidele avalduva suure surve tõttu saab liit üksikute liikmesriikidega võrreldes paremini kriisi terviklikul ja koordineeritud viisil hallata.</w:t>
      </w:r>
    </w:p>
    <w:p>
      <w:pPr>
        <w:rPr>
          <w:rFonts w:eastAsia="Arial Unicode MS"/>
          <w:noProof/>
          <w:u w:color="000000"/>
          <w:bdr w:val="nil"/>
        </w:rPr>
      </w:pPr>
      <w:r>
        <w:rPr>
          <w:noProof/>
          <w:sz w:val="23"/>
          <w:szCs w:val="23"/>
        </w:rPr>
        <w:t>Ainult liikmesriikide solidaarne koordineeritud tegevus saab aidata COVID-19 levikut kiiresti ja tulemuslikult tõkestada, selle mõju võimalikult suurel määral leevendada ja selle hilisemate tagajärgedega tegeleda, et hoida ära haiguse uut levikut. Selleks et vastata tungivale nõudmisele kaasata piisavaid ressursse ja jaotada neid ELi liikmesriikide vahel vastavalt nende vajadustele, peab EL tegutsema koostöös kõigi COVID-19 pandeemiast mõjutatud liikmesriikidega</w:t>
      </w:r>
      <w:r>
        <w:rPr>
          <w:noProof/>
        </w:rPr>
        <w:t>.</w:t>
      </w:r>
    </w:p>
    <w:p>
      <w:pPr>
        <w:pStyle w:val="ManualHeading2"/>
        <w:rPr>
          <w:rFonts w:eastAsia="Arial Unicode MS"/>
          <w:noProof/>
          <w:u w:color="000000"/>
          <w:bdr w:val="nil"/>
        </w:rPr>
      </w:pPr>
      <w:r>
        <w:rPr>
          <w:noProof/>
          <w:u w:color="000000"/>
          <w:bdr w:val="nil"/>
        </w:rPr>
        <w:t>•</w:t>
      </w:r>
      <w:r>
        <w:rPr>
          <w:noProof/>
          <w:u w:color="000000"/>
          <w:bdr w:val="nil"/>
        </w:rPr>
        <w:tab/>
        <w:t>Proportsionaalsus</w:t>
      </w:r>
    </w:p>
    <w:p>
      <w:pPr>
        <w:rPr>
          <w:noProof/>
        </w:rPr>
      </w:pPr>
      <w:r>
        <w:rPr>
          <w:noProof/>
          <w:sz w:val="23"/>
          <w:szCs w:val="23"/>
        </w:rPr>
        <w:t>Kui EL kaasaks kõik COVID-19 leviku tõkestamiseks vajalikud ressursid ja kasutaks neid, aitaks see märkimisväärselt tugevdada inimeste elu, tervist ja väärikust säilitavaid meetmeid ning elavdada liikmesriikide majandust. Pidades silmas COVID-19 enneolematuid tagajärgi kõigile ELi kodanikele ja kõigile majandussektoritele ning tarvidust kiirelt ja tõhusalt tegutseda, ei lähe ettepanek kaugemale sellest, mis on vajalik praeguses õigusaktis sätestatud eesmärkide saavutamiseks.</w:t>
      </w:r>
    </w:p>
    <w:p>
      <w:pPr>
        <w:pStyle w:val="ManualHeading2"/>
        <w:rPr>
          <w:rFonts w:eastAsia="Arial Unicode MS"/>
          <w:noProof/>
          <w:u w:color="000000"/>
          <w:bdr w:val="nil"/>
        </w:rPr>
      </w:pPr>
      <w:r>
        <w:rPr>
          <w:noProof/>
          <w:u w:color="000000"/>
          <w:bdr w:val="nil"/>
        </w:rPr>
        <w:t>•</w:t>
      </w:r>
      <w:r>
        <w:rPr>
          <w:noProof/>
          <w:u w:color="000000"/>
          <w:bdr w:val="nil"/>
        </w:rPr>
        <w:tab/>
        <w:t>Vahendi valik</w:t>
      </w:r>
    </w:p>
    <w:p>
      <w:pPr>
        <w:rPr>
          <w:noProof/>
          <w:sz w:val="23"/>
          <w:szCs w:val="23"/>
        </w:rPr>
      </w:pPr>
      <w:r>
        <w:rPr>
          <w:noProof/>
          <w:sz w:val="23"/>
          <w:szCs w:val="23"/>
        </w:rPr>
        <w:t>Võttes arvesse COVID-19 pandeemia mõõdet ning selle sotsiaalset, majanduslikku ja finantsmõju, peab komisjon asjakohaseks võtta vastu määrus, kuna selle reguleerimisala on üldine ning see on vahetult ja viivitamata kohaldatav. Selle tulemuseks oleks kiire, ühetaoline ja kogu liidus kehtiv finantsabi mehhanism.</w:t>
      </w:r>
    </w:p>
    <w:p>
      <w:pPr>
        <w:pStyle w:val="ManualHeading1"/>
        <w:rPr>
          <w:rFonts w:eastAsia="Arial Unicode MS"/>
          <w:noProof/>
        </w:rPr>
      </w:pPr>
      <w:r>
        <w:rPr>
          <w:noProof/>
        </w:rPr>
        <w:lastRenderedPageBreak/>
        <w:t>3.</w:t>
      </w:r>
      <w:r>
        <w:rPr>
          <w:noProof/>
        </w:rPr>
        <w:tab/>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u w:color="000000"/>
          <w:bdr w:val="nil"/>
        </w:rPr>
        <w:tab/>
        <w:t>Konsulteerimine sidusrühmadega</w:t>
      </w:r>
    </w:p>
    <w:p>
      <w:pPr>
        <w:rPr>
          <w:rFonts w:eastAsia="Arial Unicode MS"/>
          <w:noProof/>
          <w:sz w:val="23"/>
          <w:szCs w:val="23"/>
        </w:rPr>
      </w:pPr>
      <w:r>
        <w:rPr>
          <w:noProof/>
          <w:sz w:val="23"/>
          <w:szCs w:val="23"/>
        </w:rPr>
        <w:t>Kuna ettepanek tuli koostada kiiresti, et nõukogu saaks selle aegsasti vastu võtta, ei olnud sidusrühmadega võimalik konsulteerida.</w:t>
      </w:r>
    </w:p>
    <w:p>
      <w:pPr>
        <w:pStyle w:val="ManualHeading2"/>
        <w:rPr>
          <w:rFonts w:eastAsia="Arial Unicode MS"/>
          <w:noProof/>
          <w:u w:color="000000"/>
          <w:bdr w:val="nil"/>
        </w:rPr>
      </w:pPr>
      <w:r>
        <w:rPr>
          <w:noProof/>
          <w:u w:color="000000"/>
          <w:bdr w:val="nil"/>
        </w:rPr>
        <w:t>•</w:t>
      </w:r>
      <w:r>
        <w:rPr>
          <w:noProof/>
          <w:u w:color="000000"/>
          <w:bdr w:val="nil"/>
        </w:rPr>
        <w:tab/>
        <w:t>Eksperdiarvamuste kogumine ja kasutamine</w:t>
      </w:r>
    </w:p>
    <w:p>
      <w:pPr>
        <w:rPr>
          <w:rFonts w:eastAsia="Arial Unicode MS"/>
          <w:noProof/>
          <w:sz w:val="23"/>
          <w:szCs w:val="23"/>
        </w:rPr>
      </w:pPr>
      <w:r>
        <w:rPr>
          <w:noProof/>
          <w:sz w:val="23"/>
          <w:szCs w:val="23"/>
        </w:rPr>
        <w:t>Ei ole asjakohane.</w:t>
      </w:r>
    </w:p>
    <w:p>
      <w:pPr>
        <w:pStyle w:val="ManualHeading2"/>
        <w:rPr>
          <w:rFonts w:eastAsia="Arial Unicode MS"/>
          <w:noProof/>
          <w:u w:color="000000"/>
          <w:bdr w:val="nil"/>
        </w:rPr>
      </w:pPr>
      <w:r>
        <w:rPr>
          <w:noProof/>
          <w:u w:color="000000"/>
          <w:bdr w:val="nil"/>
        </w:rPr>
        <w:t>•</w:t>
      </w:r>
      <w:r>
        <w:rPr>
          <w:noProof/>
          <w:u w:color="000000"/>
          <w:bdr w:val="nil"/>
        </w:rPr>
        <w:tab/>
        <w:t>Mõjuhinnang</w:t>
      </w:r>
    </w:p>
    <w:p>
      <w:pPr>
        <w:rPr>
          <w:noProof/>
        </w:rPr>
      </w:pPr>
      <w:r>
        <w:rPr>
          <w:noProof/>
          <w:sz w:val="23"/>
          <w:szCs w:val="23"/>
        </w:rPr>
        <w:t>Kuna ettepanek on kiireloomuline, ei ole selle mõju hinnatud.</w:t>
      </w:r>
    </w:p>
    <w:p>
      <w:pPr>
        <w:pStyle w:val="ManualHeading2"/>
        <w:rPr>
          <w:rFonts w:eastAsia="Arial Unicode MS"/>
          <w:noProof/>
          <w:u w:color="000000"/>
          <w:bdr w:val="nil"/>
        </w:rPr>
      </w:pPr>
      <w:r>
        <w:rPr>
          <w:noProof/>
          <w:u w:color="000000"/>
          <w:bdr w:val="nil"/>
        </w:rPr>
        <w:t>•</w:t>
      </w:r>
      <w:r>
        <w:rPr>
          <w:noProof/>
          <w:u w:color="000000"/>
          <w:bdr w:val="nil"/>
        </w:rPr>
        <w:tab/>
        <w:t>Õigusnormide toimivus ja lihtsustamine</w:t>
      </w:r>
    </w:p>
    <w:p>
      <w:pPr>
        <w:rPr>
          <w:rFonts w:eastAsia="Arial Unicode MS"/>
          <w:noProof/>
          <w:sz w:val="23"/>
          <w:szCs w:val="23"/>
        </w:rPr>
      </w:pPr>
      <w:r>
        <w:rPr>
          <w:noProof/>
          <w:sz w:val="23"/>
          <w:szCs w:val="23"/>
        </w:rPr>
        <w:t>Ei ole asjakohane.</w:t>
      </w:r>
    </w:p>
    <w:p>
      <w:pPr>
        <w:pStyle w:val="ManualHeading2"/>
        <w:rPr>
          <w:rFonts w:eastAsia="Arial Unicode MS"/>
          <w:noProof/>
          <w:u w:color="000000"/>
          <w:bdr w:val="nil"/>
        </w:rPr>
      </w:pPr>
      <w:r>
        <w:rPr>
          <w:noProof/>
          <w:u w:color="000000"/>
          <w:bdr w:val="nil"/>
        </w:rPr>
        <w:t>•</w:t>
      </w:r>
      <w:r>
        <w:rPr>
          <w:noProof/>
          <w:u w:color="000000"/>
          <w:bdr w:val="nil"/>
        </w:rPr>
        <w:tab/>
        <w:t>Põhiõigused</w:t>
      </w:r>
    </w:p>
    <w:p>
      <w:pPr>
        <w:rPr>
          <w:rFonts w:eastAsia="Arial Unicode MS"/>
          <w:noProof/>
          <w:sz w:val="23"/>
          <w:szCs w:val="23"/>
        </w:rPr>
      </w:pPr>
      <w:r>
        <w:rPr>
          <w:noProof/>
          <w:sz w:val="23"/>
          <w:szCs w:val="23"/>
        </w:rPr>
        <w:t>Ei ole asjakohane.</w:t>
      </w:r>
    </w:p>
    <w:p>
      <w:pPr>
        <w:pStyle w:val="ManualHeading1"/>
        <w:rPr>
          <w:noProof/>
        </w:rPr>
      </w:pPr>
      <w:r>
        <w:rPr>
          <w:noProof/>
        </w:rPr>
        <w:t>4.</w:t>
      </w:r>
      <w:r>
        <w:rPr>
          <w:noProof/>
        </w:rPr>
        <w:tab/>
        <w:t>MÕJU EELARVELE</w:t>
      </w:r>
    </w:p>
    <w:p>
      <w:pPr>
        <w:rPr>
          <w:rFonts w:eastAsia="Arial Unicode MS"/>
          <w:noProof/>
          <w:sz w:val="23"/>
          <w:szCs w:val="23"/>
        </w:rPr>
      </w:pPr>
      <w:r>
        <w:rPr>
          <w:noProof/>
          <w:sz w:val="23"/>
          <w:szCs w:val="23"/>
        </w:rPr>
        <w:t xml:space="preserve">Tehakse ettepanek eraldada 2020. aastaks 2,7 miljardit eurot, et toetada taasaktiveeritava erakorralise toetuse rahastamisvahendi abil võetavate meetmete rahastamist. Rahastamisallikaid on täpsemalt kirjeldatud käesolevale ettepanekule lisatud finantsselgituses ja neid on kajastatud ka paranduseelarve projektis nr 2/2020. </w:t>
      </w:r>
    </w:p>
    <w:p>
      <w:pPr>
        <w:rPr>
          <w:rFonts w:eastAsia="Arial Unicode MS"/>
          <w:noProof/>
        </w:rPr>
      </w:pPr>
      <w:r>
        <w:rPr>
          <w:noProof/>
          <w:sz w:val="23"/>
          <w:szCs w:val="23"/>
        </w:rPr>
        <w:t>Sõltuvalt kriisi arengust ja sellega seotud vajadustest, mida ei ole võimalik muudest vahenditest katta, võib ette näha täiendava rahastamise.</w:t>
      </w:r>
    </w:p>
    <w:p>
      <w:pPr>
        <w:pStyle w:val="ManualHeading1"/>
        <w:rPr>
          <w:noProof/>
        </w:rPr>
      </w:pPr>
      <w:r>
        <w:rPr>
          <w:noProof/>
        </w:rPr>
        <w:t>5.</w:t>
      </w:r>
      <w:r>
        <w:rPr>
          <w:noProof/>
        </w:rPr>
        <w:tab/>
        <w:t>MUU TEAVE</w:t>
      </w:r>
    </w:p>
    <w:p>
      <w:pPr>
        <w:rPr>
          <w:noProof/>
        </w:rPr>
      </w:pPr>
      <w:r>
        <w:rPr>
          <w:noProof/>
          <w:sz w:val="23"/>
          <w:szCs w:val="23"/>
        </w:rPr>
        <w:t>Ei ole asjakohane.</w:t>
      </w:r>
    </w:p>
    <w:p>
      <w:pPr>
        <w:rPr>
          <w:noProof/>
        </w:rPr>
      </w:pPr>
      <w:r>
        <w:rPr>
          <w:noProof/>
        </w:rPr>
        <w:br w:type="page"/>
      </w:r>
    </w:p>
    <w:p>
      <w:pPr>
        <w:pStyle w:val="Rfrenceinterinstitutionnelle"/>
        <w:rPr>
          <w:noProof/>
        </w:rPr>
      </w:pPr>
      <w:r>
        <w:rPr>
          <w:noProof/>
        </w:rPr>
        <w:lastRenderedPageBreak/>
        <w:t>2020/0056 (NLE)</w:t>
      </w:r>
    </w:p>
    <w:p>
      <w:pPr>
        <w:pStyle w:val="Statut"/>
        <w:rPr>
          <w:noProof/>
        </w:rPr>
      </w:pPr>
      <w:r>
        <w:rPr>
          <w:noProof/>
        </w:rPr>
        <w:t>Ettepanek:</w:t>
      </w:r>
    </w:p>
    <w:p>
      <w:pPr>
        <w:pStyle w:val="Typedudocument"/>
        <w:rPr>
          <w:noProof/>
        </w:rPr>
      </w:pPr>
      <w:r>
        <w:rPr>
          <w:noProof/>
        </w:rPr>
        <w:t>NÕUKOGU MÄÄRUS,</w:t>
      </w:r>
    </w:p>
    <w:p>
      <w:pPr>
        <w:pStyle w:val="Titreobjet"/>
        <w:rPr>
          <w:noProof/>
        </w:rPr>
      </w:pPr>
      <w:r>
        <w:rPr>
          <w:noProof/>
        </w:rPr>
        <w:t>millega aktiveeritakse nõukogu 15. märtsi 2016. aasta määruse (EL) 2016/369 kohane erakorraline toetus ja muudetakse määruse sätteid seoses COVID-19 puhanguga</w:t>
      </w:r>
    </w:p>
    <w:p>
      <w:pPr>
        <w:pStyle w:val="Institutionquiagit"/>
        <w:rPr>
          <w:noProof/>
        </w:rPr>
      </w:pPr>
      <w:r>
        <w:rPr>
          <w:noProof/>
        </w:rPr>
        <w:t>EUROOPA LIIDU NÕUKOGU,</w:t>
      </w:r>
    </w:p>
    <w:p>
      <w:pPr>
        <w:rPr>
          <w:noProof/>
        </w:rPr>
      </w:pPr>
      <w:r>
        <w:rPr>
          <w:noProof/>
        </w:rPr>
        <w:t>võttes arvesse Euroopa Liidu toimimise lepingut, eriti artikli 122 lõiget 1,</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COVID-19 kriis, mille Maailma Terviseorganisatsioon (WHO) kuulutas pandeemiaks 11. märtsil 2020, on avaldanud Euroopa Liidu ühiskonnale ja majandusele ränka mõju ning sundinud liikmesriike võtma erakorralisi meetmeid.</w:t>
      </w:r>
    </w:p>
    <w:p>
      <w:pPr>
        <w:pStyle w:val="ManualConsidrant"/>
        <w:rPr>
          <w:noProof/>
        </w:rPr>
      </w:pPr>
      <w:r>
        <w:t>(2)</w:t>
      </w:r>
      <w:r>
        <w:tab/>
      </w:r>
      <w:r>
        <w:rPr>
          <w:noProof/>
        </w:rPr>
        <w:t>Lisaks pandeemia majanduslikule ja sotsiaalsele mõjule on kriis seadnud suure surve alla liikmesriikide tervishoiusüsteemid. Kõik liikmesriigid seisavad silmitsi suurenenud nõudlusega eelkõige meditsiinivahendite ja -tarvete, selliste materjalide tootmisvõimsuse ning oluliste avalike teenuste järele.</w:t>
      </w:r>
    </w:p>
    <w:p>
      <w:pPr>
        <w:pStyle w:val="ManualConsidrant"/>
        <w:rPr>
          <w:noProof/>
        </w:rPr>
      </w:pPr>
      <w:r>
        <w:t>(3)</w:t>
      </w:r>
      <w:r>
        <w:tab/>
      </w:r>
      <w:r>
        <w:rPr>
          <w:noProof/>
        </w:rPr>
        <w:t>Vaja on kiireid ja mitmekülgseid meetmeid, mis võimaldaksid liidul tervikuna tegeleda kriisiga solidaarselt, arvestades viiruse kiirest levikust tingitud piiranguid. Eelkõige peaksid sellised meetmed aitama hoida inimelusid, hoida ära ja leevendada inimeste kannatusi ning säilitada inimväärikust kõikjal, kus see on praeguse COVID-19 kriisi tõttu vajalik.</w:t>
      </w:r>
    </w:p>
    <w:p>
      <w:pPr>
        <w:pStyle w:val="ManualConsidrant"/>
        <w:rPr>
          <w:noProof/>
          <w:sz w:val="22"/>
        </w:rPr>
      </w:pPr>
      <w:r>
        <w:t>(4)</w:t>
      </w:r>
      <w:r>
        <w:tab/>
      </w:r>
      <w:r>
        <w:rPr>
          <w:noProof/>
        </w:rPr>
        <w:t>COVID-19 puhangu laad ja tagajärjed on laiaulatuslikud ja piiriülesed ning nõuavad seetõttu terviklikku reageerimist. Meetmed, mis on ette nähtud Euroopa Parlamendi ja nõukogu otsusega nr 1313/2013/EL</w:t>
      </w:r>
      <w:r>
        <w:rPr>
          <w:rStyle w:val="FootnoteReference"/>
          <w:noProof/>
        </w:rPr>
        <w:footnoteReference w:id="4"/>
      </w:r>
      <w:r>
        <w:rPr>
          <w:noProof/>
        </w:rPr>
        <w:t xml:space="preserve"> loodud liidu elanikkonnakaitse mehhanismi („rescEU“) ja muude olemasolevate liidu õigusaktide raames, on piiratud ulatusega ega võimalda seetõttu piisavalt jõuliselt reageerida ega tõhusalt tegeleda COVID-19 kriisi ulatuslike tagajärgedega liidus. </w:t>
      </w:r>
    </w:p>
    <w:p>
      <w:pPr>
        <w:pStyle w:val="ManualConsidrant"/>
        <w:rPr>
          <w:noProof/>
          <w:sz w:val="22"/>
        </w:rPr>
      </w:pPr>
      <w:r>
        <w:t>(5)</w:t>
      </w:r>
      <w:r>
        <w:tab/>
      </w:r>
      <w:r>
        <w:rPr>
          <w:noProof/>
        </w:rPr>
        <w:t>Seepärast on vaja aktiveerida nõukogu määrusega (EL) 2016/369 sätestatud erakorraline toetus.</w:t>
      </w:r>
    </w:p>
    <w:p>
      <w:pPr>
        <w:pStyle w:val="ManualConsidrant"/>
        <w:rPr>
          <w:noProof/>
          <w:sz w:val="22"/>
        </w:rPr>
      </w:pPr>
      <w:r>
        <w:t>(6)</w:t>
      </w:r>
      <w:r>
        <w:tab/>
      </w:r>
      <w:r>
        <w:rPr>
          <w:noProof/>
        </w:rPr>
        <w:t xml:space="preserve">Selleks et võimaldada paindlikkust, mis on vajalik pikaajalise koordineeritud reageerimise tagamiseks sellistes ettenägematutes olukordades nagu COVID-19 kriis (nt meditsiinitarvete ja ravimite tarnimise, taastamismeetmete, asjakohaste meditsiiniliste uuringute jms jaoks), on vaja tagada, et aktiveerimisperioodil võetud eelarvelisi kulukohustusi saaks kasutada juriidiliste kohustuste sõlmimiseks kogu aktiveerimisperioodi jooksul, ilma et see piiraks liidu üldeelarve suhtes kohaldatavaid üldisi finantsreegleid, mis on ette nähtud Euroopa Parlamendi ja nõukogu määruse </w:t>
      </w:r>
      <w:r>
        <w:rPr>
          <w:noProof/>
        </w:rPr>
        <w:lastRenderedPageBreak/>
        <w:t>(EL, Euratom) 2018/1046</w:t>
      </w:r>
      <w:r>
        <w:rPr>
          <w:rStyle w:val="FootnoteReference"/>
          <w:noProof/>
        </w:rPr>
        <w:footnoteReference w:id="5"/>
      </w:r>
      <w:r>
        <w:rPr>
          <w:noProof/>
        </w:rPr>
        <w:t xml:space="preserve"> artikli 114 lõikega 2</w:t>
      </w:r>
      <w:r>
        <w:rPr>
          <w:noProof/>
          <w:sz w:val="22"/>
        </w:rPr>
        <w:t xml:space="preserve">. </w:t>
      </w:r>
      <w:r>
        <w:rPr>
          <w:noProof/>
        </w:rPr>
        <w:t>Selliste juriidiliste kohustustega seotud kulud peaksid olema rahastamiskõlblikud kogu nende täitmise aja jooksul.</w:t>
      </w:r>
    </w:p>
    <w:p>
      <w:pPr>
        <w:pStyle w:val="ManualConsidrant"/>
        <w:rPr>
          <w:noProof/>
        </w:rPr>
      </w:pPr>
      <w:r>
        <w:t>(7)</w:t>
      </w:r>
      <w:r>
        <w:tab/>
      </w:r>
      <w:r>
        <w:rPr>
          <w:noProof/>
        </w:rPr>
        <w:t>Selleks et tagada kõigile liikmesriikidele võrdne kohtlemine ja võrdsed tingimused, tuleb võimaldada ka kulude tagasiulatuvat rahastamiskõlblikkust alates toetuse aktiveerimise kuupäevast, sealhulgas juba lõpuleviidud meetmete puhul, tingimusel et need on alanud pärast kõnealust kuupäeva.</w:t>
      </w:r>
    </w:p>
    <w:p>
      <w:pPr>
        <w:pStyle w:val="ManualConsidrant"/>
        <w:rPr>
          <w:noProof/>
          <w:sz w:val="22"/>
        </w:rPr>
      </w:pPr>
      <w:r>
        <w:t>(8)</w:t>
      </w:r>
      <w:r>
        <w:tab/>
      </w:r>
      <w:r>
        <w:rPr>
          <w:noProof/>
        </w:rPr>
        <w:t>Selleks et määruses</w:t>
      </w:r>
      <w:r>
        <w:rPr>
          <w:noProof/>
          <w:color w:val="000000"/>
          <w:sz w:val="23"/>
          <w:szCs w:val="23"/>
        </w:rPr>
        <w:t xml:space="preserve"> (EL) 2016/369</w:t>
      </w:r>
      <w:r>
        <w:rPr>
          <w:noProof/>
        </w:rPr>
        <w:t xml:space="preserve"> sätestatud erakorraline toetus vastaks subsidiaarsuse põhimõttele, peaks selle otstarve muudest liidu vahenditest antava mis tahes abi suhtes olema rangelt täiendav.</w:t>
      </w:r>
    </w:p>
    <w:p>
      <w:pPr>
        <w:pStyle w:val="ManualConsidrant"/>
        <w:rPr>
          <w:noProof/>
        </w:rPr>
      </w:pPr>
      <w:r>
        <w:t>(9)</w:t>
      </w:r>
      <w:r>
        <w:tab/>
      </w:r>
      <w:r>
        <w:rPr>
          <w:noProof/>
        </w:rPr>
        <w:t xml:space="preserve">COVID-19 kriisi käigus on selgunud, et on vaja laiendada määruse (EL) 2016/369 kohaldamisala, et rahastada kulusid, mis on seotud vajadusega kiiresti soetada meditsiinivahendeid ja -materjale, nagu hingamisaparaadid ja kaitsevahendid ning testimiseks vajalikud kemikaalid, ning töötada välja, toota ja turustada ravimeid ning muid vahendeid ja materjale. Samuti peaks olema võimalik rahastada meetmeid, millega toetatakse meditsiinitoodetele kasutusloa saamiseks vajalikke samme. </w:t>
      </w:r>
    </w:p>
    <w:p>
      <w:pPr>
        <w:pStyle w:val="ManualConsidrant"/>
        <w:rPr>
          <w:noProof/>
        </w:rPr>
      </w:pPr>
      <w:r>
        <w:t>(10)</w:t>
      </w:r>
      <w:r>
        <w:tab/>
      </w:r>
      <w:r>
        <w:rPr>
          <w:noProof/>
        </w:rPr>
        <w:t>Selleks et leevendada teravat survet, mida raskused oluliste avalike teenuste pakkumisel avaldavad meditsiinitöötajatele ja riikide ressurssidele, ning säilitada tervishoiusüsteemi töövõime, tuleks rahaliselt või korralduslike vahenditega toetada meditsiinipersonali ajutist suurendamist ja vahetust ning teistest liikmesriikidest pärit patsientide ravi.</w:t>
      </w:r>
    </w:p>
    <w:p>
      <w:pPr>
        <w:pStyle w:val="ManualConsidrant"/>
        <w:rPr>
          <w:noProof/>
        </w:rPr>
      </w:pPr>
      <w:r>
        <w:t>(11)</w:t>
      </w:r>
      <w:r>
        <w:tab/>
      </w:r>
      <w:r>
        <w:rPr>
          <w:noProof/>
        </w:rPr>
        <w:t>Tervishoiu- ja logistikaspetsialistid peaksid saama koolitust ka tervishoiutoodete võltsimise vastu võitlemiseks.</w:t>
      </w:r>
    </w:p>
    <w:p>
      <w:pPr>
        <w:pStyle w:val="ManualConsidrant"/>
        <w:rPr>
          <w:noProof/>
        </w:rPr>
      </w:pPr>
      <w:r>
        <w:t>(12)</w:t>
      </w:r>
      <w:r>
        <w:tab/>
      </w:r>
      <w:r>
        <w:rPr>
          <w:noProof/>
        </w:rPr>
        <w:t>Pidades silmas COVID-19 ulatuslikke tagajärgi, on vaja kiiresti ja mitmekülgselt kaasata kõiki asjaomaseid partnereid, sealhulgas avaliku sektori asutusi, avaliku ja erasektori esmatasandi ja haiglaravi pakkujaid, hooldekodusid jms. Vaja on võtta meetmeid, et leevendada survet tervishoiutaristule ja toetada haavatavaid rühmi.</w:t>
      </w:r>
    </w:p>
    <w:p>
      <w:pPr>
        <w:pStyle w:val="ManualConsidrant"/>
        <w:rPr>
          <w:noProof/>
        </w:rPr>
      </w:pPr>
      <w:r>
        <w:t>(13)</w:t>
      </w:r>
      <w:r>
        <w:tab/>
      </w:r>
      <w:r>
        <w:rPr>
          <w:noProof/>
        </w:rPr>
        <w:t>Tarneprobleemide lahendamiseks tuleks toetada selliste oluliste meditsiinitoodete nagu ravimid, diagnostilised testid, laboritarbed, kaitsevahendid jne tootmisvõimsust ning nende toodete varude hoidmiseks tuleks ette näha rahalised vahendid.</w:t>
      </w:r>
    </w:p>
    <w:p>
      <w:pPr>
        <w:pStyle w:val="ManualConsidrant"/>
        <w:rPr>
          <w:noProof/>
        </w:rPr>
      </w:pPr>
      <w:r>
        <w:t>(14)</w:t>
      </w:r>
      <w:r>
        <w:tab/>
      </w:r>
      <w:r>
        <w:rPr>
          <w:noProof/>
        </w:rPr>
        <w:t>Rahaliste ja/või korralduslike vahenditega tuleks toetada täiendavate või alternatiivsete katsemeetodite väljatöötamist suutlikkuse suurendamiseks, ning asjakohaseid meditsiinilisi uuringuid.</w:t>
      </w:r>
    </w:p>
    <w:p>
      <w:pPr>
        <w:pStyle w:val="ManualConsidrant"/>
        <w:rPr>
          <w:rFonts w:cs="Calibri"/>
          <w:noProof/>
        </w:rPr>
      </w:pPr>
      <w:r>
        <w:t>(15)</w:t>
      </w:r>
      <w:r>
        <w:tab/>
      </w:r>
      <w:r>
        <w:rPr>
          <w:noProof/>
        </w:rPr>
        <w:t xml:space="preserve">Kaupade või teenuste ostmisel hädaolukorras seisavad liikmesriikide avaliku sektori hankijad silmitsi märkimisväärsete õiguslike ja praktiliste raskustega. Selleks et avaliku sektori hankijad saaksid siseturu potentsiaali mastaabisäästu kaudu ning riski ja kasu jagamise teel maksimaalset ära kasutada, on äärmiselt oluline laiendada komisjoni võimalusi osta kaupu või teenuseid liikmesriikide nimel. Komisjonil peaks olema võimalik korraldada asjakohaseid hankemenetlusi. Kui menetluse teatavat osa, näiteks minikonkurssi raamlepingu alusel või individuaalsete hankelepingute sõlmimist dünaamilise hankesüsteemi alusel, viib läbi liikmesriigi avaliku sektori </w:t>
      </w:r>
      <w:r>
        <w:rPr>
          <w:noProof/>
        </w:rPr>
        <w:lastRenderedPageBreak/>
        <w:t>hankija, vastutaks sama avaliku sektori hankija menetluse nende osade eest, mida viib läbi tema.</w:t>
      </w:r>
    </w:p>
    <w:p>
      <w:pPr>
        <w:pStyle w:val="ManualConsidrant"/>
        <w:rPr>
          <w:rFonts w:cs="Calibri"/>
          <w:noProof/>
        </w:rPr>
      </w:pPr>
      <w:r>
        <w:t>(16)</w:t>
      </w:r>
      <w:r>
        <w:tab/>
      </w:r>
      <w:r>
        <w:rPr>
          <w:noProof/>
        </w:rPr>
        <w:t>Hädaolukordades, kui on vaja korraldada komisjoni ja ühe või mitme liikmesriigi avaliku sektori hankija ühishange, peaks liikmesriikidel olema võimalik täies ulatuses omandada, rentida või liisida ühiselt hangitud vahendeid.</w:t>
      </w:r>
    </w:p>
    <w:p>
      <w:pPr>
        <w:pStyle w:val="ManualConsidrant"/>
        <w:rPr>
          <w:rFonts w:cs="Calibri"/>
          <w:noProof/>
        </w:rPr>
      </w:pPr>
      <w:r>
        <w:t>(17)</w:t>
      </w:r>
      <w:r>
        <w:tab/>
      </w:r>
      <w:r>
        <w:rPr>
          <w:noProof/>
        </w:rPr>
        <w:t xml:space="preserve">Komisjonil peaks olema lubatud osta ja varuda tooteid ja teenuseid, sealhulgas renditavaid, ning neid liikmesriikidele või komisjoni valitud partnerorganisatsioonidele edasi müüa või annetada. </w:t>
      </w:r>
    </w:p>
    <w:p>
      <w:pPr>
        <w:pStyle w:val="ManualConsidrant"/>
        <w:rPr>
          <w:noProof/>
        </w:rPr>
      </w:pPr>
      <w:r>
        <w:t>(18)</w:t>
      </w:r>
      <w:r>
        <w:tab/>
      </w:r>
      <w:r>
        <w:rPr>
          <w:noProof/>
        </w:rPr>
        <w:t>Seetõttu tuleks määrust (EL) 2016/369 vastavalt muuta.</w:t>
      </w:r>
    </w:p>
    <w:p>
      <w:pPr>
        <w:pStyle w:val="ManualConsidrant"/>
        <w:rPr>
          <w:noProof/>
        </w:rPr>
      </w:pPr>
      <w:r>
        <w:t>(19)</w:t>
      </w:r>
      <w:r>
        <w:tab/>
      </w:r>
      <w:r>
        <w:rPr>
          <w:noProof/>
        </w:rPr>
        <w:t>Võttes arvesse COVID-19 kriisiga seotud olukorda, peaks käesolev määrus jõustuma võimalikult kiiresti.</w:t>
      </w:r>
    </w:p>
    <w:p>
      <w:pPr>
        <w:pStyle w:val="ManualConsidrant"/>
        <w:rPr>
          <w:noProof/>
        </w:rPr>
      </w:pPr>
      <w:r>
        <w:t>(20)</w:t>
      </w:r>
      <w:r>
        <w:tab/>
      </w:r>
      <w:r>
        <w:rPr>
          <w:noProof/>
        </w:rPr>
        <w:t>Selleks et tagada kõikide liikmesriikide võrdne kohtlemine ja võrdsed tingimused ning määruse kohaldatavus olenemata haiguspuhangu esinemise ajast konkreetses liikmesriigis, on vaja käesolevat määrust kohaldada alates 1. veebruarist 2020,</w:t>
      </w:r>
    </w:p>
    <w:p>
      <w:pPr>
        <w:pStyle w:val="Formuledadoption"/>
        <w:rPr>
          <w:noProof/>
        </w:rPr>
      </w:pPr>
      <w:r>
        <w:rPr>
          <w:noProof/>
        </w:rPr>
        <w:t>ON VASTU VÕTNUD KÄESOLEVA MÄÄRUSE:</w:t>
      </w:r>
    </w:p>
    <w:p>
      <w:pPr>
        <w:pStyle w:val="Titrearticle"/>
        <w:rPr>
          <w:noProof/>
        </w:rPr>
      </w:pPr>
      <w:r>
        <w:rPr>
          <w:noProof/>
        </w:rPr>
        <w:t>Artikkel 1</w:t>
      </w:r>
    </w:p>
    <w:p>
      <w:pPr>
        <w:rPr>
          <w:noProof/>
        </w:rPr>
      </w:pPr>
      <w:r>
        <w:rPr>
          <w:noProof/>
        </w:rPr>
        <w:t xml:space="preserve">Käesolevaga aktiveeritakse määruse (EL) 2016/369 kohane erakorraline toetus, et rahastada COVID-19 pandeemiaga tegelemiseks vajalikke kulutusi ajavahemikul 1. veebruarist 2020 kuni 31. jaanuarini 2022. </w:t>
      </w:r>
    </w:p>
    <w:p>
      <w:pPr>
        <w:pStyle w:val="Titrearticle"/>
        <w:rPr>
          <w:noProof/>
        </w:rPr>
      </w:pPr>
      <w:r>
        <w:rPr>
          <w:noProof/>
        </w:rPr>
        <w:t>Artikkel 2</w:t>
      </w:r>
    </w:p>
    <w:p>
      <w:pPr>
        <w:rPr>
          <w:noProof/>
        </w:rPr>
      </w:pPr>
      <w:r>
        <w:rPr>
          <w:noProof/>
        </w:rPr>
        <w:t>Erandina määruse (EL, Euratom) 2018/1046 artikli 114 lõikest 2 ja piiramata selle kohaldamist, katavad käesoleva määruse kohase toetuse kulude aluseks olevad üldised eelarvelised kulukohustused artiklis 1 osutatud aktiveerimisperioodi jooksul võetud vastavate juriidiliste kohustuste kogukulud.</w:t>
      </w:r>
    </w:p>
    <w:p>
      <w:pPr>
        <w:rPr>
          <w:noProof/>
        </w:rPr>
      </w:pPr>
      <w:r>
        <w:rPr>
          <w:noProof/>
        </w:rPr>
        <w:t xml:space="preserve">Kulutused on rahastamiskõlblikud alates artiklis 1 osutatud toetuse aktiveerimise kuupäevast. </w:t>
      </w:r>
    </w:p>
    <w:p>
      <w:pPr>
        <w:rPr>
          <w:b/>
          <w:i/>
          <w:noProof/>
          <w:u w:val="single"/>
        </w:rPr>
      </w:pPr>
      <w:r>
        <w:rPr>
          <w:noProof/>
        </w:rPr>
        <w:t>Erandina määruse (EL, Euratom) 2018/1046 artikli 193 lõikest 3 võib toetust anda meetmetele, mis on enne käesoleva määruse jõustumise kuupäeva juba lõpetatud, tingimusel et meetmed algasid pärast artiklis 1 osutatud aktiveerimiskuupäeva.</w:t>
      </w:r>
    </w:p>
    <w:p>
      <w:pPr>
        <w:pStyle w:val="Titrearticle"/>
        <w:rPr>
          <w:noProof/>
        </w:rPr>
      </w:pPr>
      <w:r>
        <w:rPr>
          <w:noProof/>
        </w:rPr>
        <w:t>Artikkel 3</w:t>
      </w:r>
    </w:p>
    <w:p>
      <w:pPr>
        <w:rPr>
          <w:noProof/>
        </w:rPr>
      </w:pPr>
      <w:r>
        <w:rPr>
          <w:noProof/>
        </w:rPr>
        <w:t xml:space="preserve">Määrust </w:t>
      </w:r>
      <w:r>
        <w:rPr>
          <w:noProof/>
          <w:color w:val="000000"/>
          <w:sz w:val="23"/>
          <w:szCs w:val="23"/>
        </w:rPr>
        <w:t>(EL) 2016/369 muudetakse järgmiselt.</w:t>
      </w:r>
    </w:p>
    <w:p>
      <w:pPr>
        <w:pStyle w:val="Point0"/>
        <w:rPr>
          <w:noProof/>
        </w:rPr>
      </w:pPr>
      <w:r>
        <w:t>(1)</w:t>
      </w:r>
      <w:r>
        <w:tab/>
      </w:r>
      <w:r>
        <w:rPr>
          <w:noProof/>
        </w:rPr>
        <w:t>Artiklid 3 ja 4 asendatakse järgmistega:</w:t>
      </w:r>
    </w:p>
    <w:p>
      <w:pPr>
        <w:pStyle w:val="Titrearticle"/>
        <w:ind w:left="960"/>
        <w:rPr>
          <w:noProof/>
        </w:rPr>
      </w:pPr>
      <w:r>
        <w:rPr>
          <w:noProof/>
        </w:rPr>
        <w:t>„Artikkel 3</w:t>
      </w:r>
    </w:p>
    <w:p>
      <w:pPr>
        <w:pStyle w:val="Titrearticle"/>
        <w:ind w:left="960"/>
        <w:rPr>
          <w:b/>
          <w:bCs/>
          <w:noProof/>
          <w:szCs w:val="24"/>
        </w:rPr>
      </w:pPr>
      <w:r>
        <w:rPr>
          <w:b/>
          <w:bCs/>
          <w:i w:val="0"/>
          <w:noProof/>
          <w:szCs w:val="24"/>
        </w:rPr>
        <w:t>Rahastamiskõlblikud meetmed</w:t>
      </w:r>
    </w:p>
    <w:p>
      <w:pPr>
        <w:pStyle w:val="ListParagraph"/>
        <w:spacing w:after="200"/>
        <w:ind w:left="960"/>
        <w:contextualSpacing w:val="0"/>
        <w:rPr>
          <w:noProof/>
          <w:u w:val="single"/>
        </w:rPr>
      </w:pPr>
      <w:r>
        <w:rPr>
          <w:noProof/>
        </w:rPr>
        <w:t xml:space="preserve">1. Käesoleva määruse alusel antava erakorralise toetusega pakutakse vajaduspõhist erakorralist abi, mis täiendab mõjutatud liikmesriikide meetmeid ja mille eesmärk on hoida inimelusid, hoida ära ja leevendada inimeste kannatusi ning säilitada inimväärikust kõikjal, kus selleks artikli 1 lõikes 1 osutatud katastroofi tulemusel vajadus tekib. Ilma et see piiraks artikli 2 lõikes 1 osutatud aktiveerimisperioodi </w:t>
      </w:r>
      <w:r>
        <w:rPr>
          <w:noProof/>
        </w:rPr>
        <w:lastRenderedPageBreak/>
        <w:t>kohaldamist, võib toetust anda ka selleks, et rahuldada pärast katastroofi ilmnevaid vajadusi või vältida selle taaspuhkemist.</w:t>
      </w:r>
    </w:p>
    <w:p>
      <w:pPr>
        <w:pStyle w:val="ListParagraph"/>
        <w:spacing w:after="200"/>
        <w:ind w:left="960"/>
        <w:contextualSpacing w:val="0"/>
        <w:rPr>
          <w:i/>
          <w:noProof/>
        </w:rPr>
      </w:pPr>
      <w:r>
        <w:rPr>
          <w:noProof/>
        </w:rPr>
        <w:t>2. Lõikes 1 osutatud erakorraline toetus võib hõlmata humanitaarabi meetmeid, mida saab vastavalt määruse (EÜ) nr 1257/96 artiklitele 2, 3 ja 4 rahastada liidu vahenditest, ning võib seetõttu sisaldada abi või hädaabi ja vajaduse korral kaitseoperatsioone, et päästa ja hoida inimelusid katastroofides või vahetult nende järel. Seda toetust võib kasutada ka mis tahes muude kulude rahastamiseks, mis on otseselt seotud käesoleva määruse kohase erakorralise toetuse rakendamisega. Eelkõige võib toetust kasutada 1. lisas sätestatud meetmete rahastamiseks.</w:t>
      </w:r>
    </w:p>
    <w:p>
      <w:pPr>
        <w:pStyle w:val="ListParagraph"/>
        <w:spacing w:after="200"/>
        <w:ind w:left="960"/>
        <w:contextualSpacing w:val="0"/>
        <w:rPr>
          <w:noProof/>
        </w:rPr>
      </w:pPr>
      <w:r>
        <w:rPr>
          <w:noProof/>
        </w:rPr>
        <w:t>3. Ilma et see piiraks lõike 4 kohaldamist, antakse ja rakendatakse käesoleva määruse kohast erakorralist toetust kooskõlas humanitaarabi aluspõhimõtetega, nagu humaansus, neutraalsus, erapooletus ja sõltumatus.</w:t>
      </w:r>
    </w:p>
    <w:p>
      <w:pPr>
        <w:pStyle w:val="ListParagraph"/>
        <w:spacing w:after="200"/>
        <w:ind w:left="960"/>
        <w:contextualSpacing w:val="0"/>
        <w:rPr>
          <w:noProof/>
          <w:szCs w:val="24"/>
        </w:rPr>
      </w:pPr>
      <w:r>
        <w:rPr>
          <w:noProof/>
        </w:rPr>
        <w:t>4. Lõikes 2 osutatud meetmeid võtavad komisjon või tema valitud partnerorganisatsioonid. Komisjon võib eelkõige valida partnerorganisatsioonideks valitsusväliseid organisatsioone, liikmesriikide spetsialiseeritud asutusi, riigiasutusi ja muid avalik-õiguslikke asutusi, rahvusvahelisi organisatsioone ja nende allasutusi ning, kui see on meetme rakendamiseks kohane ja vajalik, muid organisatsioone ja üksusi, kellel on vajalikud eriteadmised või kes tegutsevad katastroofiabi seisukohalt olulistes sektorites, nagu erasektori teenuseosutajad, vahendite tootjad ning teadlased ja teadusasutused. Seejuures jätkab komisjon tihedat koostööd mõjutatud liikmesriigiga.</w:t>
      </w:r>
    </w:p>
    <w:p>
      <w:pPr>
        <w:pStyle w:val="Titrearticle"/>
        <w:ind w:left="960"/>
        <w:rPr>
          <w:noProof/>
        </w:rPr>
      </w:pPr>
      <w:r>
        <w:rPr>
          <w:noProof/>
        </w:rPr>
        <w:t>Artikkel 4</w:t>
      </w:r>
    </w:p>
    <w:p>
      <w:pPr>
        <w:pStyle w:val="Titrearticle"/>
        <w:ind w:left="960"/>
        <w:rPr>
          <w:b/>
          <w:bCs/>
          <w:i w:val="0"/>
          <w:noProof/>
          <w:szCs w:val="24"/>
        </w:rPr>
      </w:pPr>
      <w:r>
        <w:rPr>
          <w:b/>
          <w:bCs/>
          <w:i w:val="0"/>
          <w:noProof/>
          <w:szCs w:val="24"/>
        </w:rPr>
        <w:t xml:space="preserve">Rahalise abi vormid ja rakenduskord </w:t>
      </w:r>
    </w:p>
    <w:p>
      <w:pPr>
        <w:pStyle w:val="ListParagraph"/>
        <w:spacing w:after="200"/>
        <w:ind w:left="960"/>
        <w:contextualSpacing w:val="0"/>
        <w:rPr>
          <w:noProof/>
        </w:rPr>
      </w:pPr>
      <w:r>
        <w:rPr>
          <w:noProof/>
        </w:rPr>
        <w:t>1. Komisjon rakendab liidu rahalist toetust kooskõlas Euroopa Parlamendi ja nõukogu määrusega (EL, Euratom) 2018/1046</w:t>
      </w:r>
      <w:r>
        <w:rPr>
          <w:rStyle w:val="FootnoteReference"/>
          <w:noProof/>
        </w:rPr>
        <w:footnoteReference w:id="6"/>
      </w:r>
      <w:r>
        <w:rPr>
          <w:noProof/>
        </w:rPr>
        <w:t>. Käesoleva määruse kohaseid toetusmeetmeid rahastatakse liidu vahenditest eelkõige eelarve otsese või kaudse täitmise kaudu kooskõlas nimetatud määruse artikli 62 lõike 1 punktiga a või c.</w:t>
      </w:r>
    </w:p>
    <w:p>
      <w:pPr>
        <w:pStyle w:val="ListParagraph"/>
        <w:spacing w:after="200"/>
        <w:ind w:left="960"/>
        <w:contextualSpacing w:val="0"/>
        <w:rPr>
          <w:noProof/>
        </w:rPr>
      </w:pPr>
      <w:r>
        <w:rPr>
          <w:noProof/>
        </w:rPr>
        <w:t xml:space="preserve">2. Käesoleva määruse alusel antavat erakorralist toetust rahastatakse liidu üldeelarvest ning liikmesriikide ja muude avalik-õiguslike või erasektori abiandjate võimalikust rahalisest panusest kui sihtotstarbelisest välistulust vastavalt määruse (EL, Euratom) 2018/1046 artikli 21 lõikele 5. </w:t>
      </w:r>
    </w:p>
    <w:p>
      <w:pPr>
        <w:pStyle w:val="ListParagraph"/>
        <w:spacing w:after="200"/>
        <w:ind w:left="960"/>
        <w:contextualSpacing w:val="0"/>
        <w:rPr>
          <w:noProof/>
        </w:rPr>
      </w:pPr>
      <w:r>
        <w:rPr>
          <w:noProof/>
        </w:rPr>
        <w:t>3. Käesoleva määruse alusel võetavate, eelarve otsese täitmise teel rakendatavate toetusmeetmete rahastamist liidu vahenditest võib komisjon pakkuda otse, ilma konkursi korraldamiseta, kooskõlas määruse (EL, Euratom) 2018/1046 artikliga 195. Selleks võib komisjon sõlmida partnerluse raamlepinguid või tugineda olemasolevatele partnerluse raamlepingutele, mis on sõlmitud määruse (EÜ) nr 1257/96 kohaselt.</w:t>
      </w:r>
    </w:p>
    <w:p>
      <w:pPr>
        <w:pStyle w:val="ListParagraph"/>
        <w:spacing w:after="200"/>
        <w:ind w:left="960"/>
        <w:contextualSpacing w:val="0"/>
        <w:rPr>
          <w:noProof/>
        </w:rPr>
      </w:pPr>
      <w:r>
        <w:rPr>
          <w:noProof/>
        </w:rPr>
        <w:lastRenderedPageBreak/>
        <w:t>4. Kui komisjon rakendab erakorralise toetuse meetmeid valitsusväliste organisatsioonide kaudu, loetakse finants- ja tegevussuutlikkuse kriteeriumid täidetuks, kui asjaomase organisatsiooni ja komisjoni vahel on sõlmitud määruse (EÜ) nr 1257/96 kohane partnerluse raamleping.</w:t>
      </w:r>
    </w:p>
    <w:p>
      <w:pPr>
        <w:pStyle w:val="ListParagraph"/>
        <w:spacing w:after="200"/>
        <w:ind w:left="960"/>
        <w:rPr>
          <w:noProof/>
          <w:szCs w:val="24"/>
        </w:rPr>
      </w:pPr>
      <w:r>
        <w:rPr>
          <w:noProof/>
        </w:rPr>
        <w:t>5. Käesoleva määruse kohast erakorralist toetust võib anda järgmises vormis:</w:t>
      </w:r>
    </w:p>
    <w:p>
      <w:pPr>
        <w:tabs>
          <w:tab w:val="left" w:pos="1320"/>
        </w:tabs>
        <w:spacing w:after="200"/>
        <w:ind w:left="1320" w:hanging="360"/>
        <w:rPr>
          <w:noProof/>
        </w:rPr>
      </w:pPr>
      <w:r>
        <w:rPr>
          <w:noProof/>
        </w:rPr>
        <w:t>a) määruse (EL, Euratom) 2018/1046 artikli 165 lõikes 2 osutatud ühishange, mis korraldatakse koos liikmesriikidega ja mille puhul liikmesriigid võivad täies ulatuses omandada, rentida või liisida ühiselt hangitud vahendid;</w:t>
      </w:r>
    </w:p>
    <w:p>
      <w:pPr>
        <w:tabs>
          <w:tab w:val="left" w:pos="1320"/>
        </w:tabs>
        <w:spacing w:after="200"/>
        <w:ind w:left="1320" w:hanging="360"/>
        <w:rPr>
          <w:noProof/>
        </w:rPr>
      </w:pPr>
      <w:r>
        <w:rPr>
          <w:noProof/>
        </w:rPr>
        <w:t xml:space="preserve">b) hanked, mida komisjon korraldab liikmesriikide nimel komisjoni ja liikmesriikide vahelise kokkuleppe alusel; </w:t>
      </w:r>
    </w:p>
    <w:p>
      <w:pPr>
        <w:tabs>
          <w:tab w:val="left" w:pos="1320"/>
        </w:tabs>
        <w:spacing w:after="200"/>
        <w:ind w:left="1320" w:hanging="360"/>
        <w:rPr>
          <w:noProof/>
        </w:rPr>
      </w:pPr>
      <w:r>
        <w:rPr>
          <w:noProof/>
        </w:rPr>
        <w:t>c) hanked, mida komisjon korraldab hulgikauplejana selliselt, et ostab või varub kaupu või teenuseid, sealhulgas renditavaid, ning müüb need edasi või annetab liikmesriikidele või komisjoni valitud partnerorganisatsioonidele.</w:t>
      </w:r>
    </w:p>
    <w:p>
      <w:pPr>
        <w:pStyle w:val="ListParagraph"/>
        <w:spacing w:after="200"/>
        <w:ind w:left="960"/>
        <w:rPr>
          <w:noProof/>
          <w:color w:val="050004"/>
        </w:rPr>
      </w:pPr>
      <w:r>
        <w:rPr>
          <w:noProof/>
        </w:rPr>
        <w:t>6. Lõike</w:t>
      </w:r>
      <w:r>
        <w:rPr>
          <w:noProof/>
          <w:color w:val="050004"/>
        </w:rPr>
        <w:t xml:space="preserve"> 5 punktis b osutatud hankemenetluse korral sõlmib sellest tulenevad lepingud kas:</w:t>
      </w:r>
    </w:p>
    <w:p>
      <w:pPr>
        <w:tabs>
          <w:tab w:val="left" w:pos="1320"/>
        </w:tabs>
        <w:spacing w:after="200"/>
        <w:ind w:left="1320" w:hanging="360"/>
        <w:rPr>
          <w:noProof/>
        </w:rPr>
      </w:pPr>
      <w:r>
        <w:rPr>
          <w:noProof/>
        </w:rPr>
        <w:t>a) komisjon, millisel juhul teenuseid osutatakse või kaupu tarnitakse liikmesriikidele või komisjoni valitud partnerorganisatsioonidele;</w:t>
      </w:r>
    </w:p>
    <w:p>
      <w:pPr>
        <w:tabs>
          <w:tab w:val="left" w:pos="1320"/>
        </w:tabs>
        <w:spacing w:after="200"/>
        <w:ind w:left="1320" w:hanging="360"/>
        <w:rPr>
          <w:noProof/>
        </w:rPr>
      </w:pPr>
      <w:r>
        <w:rPr>
          <w:noProof/>
        </w:rPr>
        <w:t>b) või osalevad liikmesriigid, millisel juhul omandavad, rendivad või liisivad nad otse vahendid, mille komisjon on neile hankinud.</w:t>
      </w:r>
    </w:p>
    <w:p>
      <w:pPr>
        <w:pStyle w:val="ListParagraph"/>
        <w:spacing w:after="200"/>
        <w:ind w:left="960"/>
        <w:rPr>
          <w:noProof/>
          <w:szCs w:val="24"/>
        </w:rPr>
      </w:pPr>
      <w:r>
        <w:rPr>
          <w:noProof/>
        </w:rPr>
        <w:t>7. Lõike 5 punktides b ja c osutatud hankemenetluste korral järgib komisjon määrusega (EL, Euratom) 2018/1046 komisjoni hangete suhtes sätestatud norme.“</w:t>
      </w:r>
    </w:p>
    <w:p>
      <w:pPr>
        <w:pStyle w:val="Point0"/>
        <w:rPr>
          <w:noProof/>
        </w:rPr>
      </w:pPr>
      <w:r>
        <w:t>(2)</w:t>
      </w:r>
      <w:r>
        <w:tab/>
      </w:r>
      <w:r>
        <w:rPr>
          <w:noProof/>
        </w:rPr>
        <w:t>Artikli 5 lõiked 1 ja 2 asendatakse järgmistega:</w:t>
      </w:r>
    </w:p>
    <w:p>
      <w:pPr>
        <w:spacing w:after="200"/>
        <w:ind w:left="851"/>
        <w:rPr>
          <w:noProof/>
        </w:rPr>
      </w:pPr>
      <w:r>
        <w:rPr>
          <w:noProof/>
        </w:rPr>
        <w:t>„1. Liidu vahenditest võib rahastada kõiki otseseid kulusid, mis on vajalikud artiklis 3 sätestatud rahastamiskõlblike meetmete rakendamiseks, sealhulgas kaupade ja teenuste ostmist, ettevalmistamist, kogumist, transporti, ladustamist ja jaotamist kõnealuste meetmete raames, samuti selliste meetmete või projektide investeerimiskulusid, mis on otseselt seotud käesoleva määruse kohaselt aktiveeritud erakorralise toetuse eesmärkide saavutamisega. “</w:t>
      </w:r>
    </w:p>
    <w:p>
      <w:pPr>
        <w:spacing w:after="200"/>
        <w:ind w:left="851"/>
        <w:rPr>
          <w:noProof/>
        </w:rPr>
      </w:pPr>
      <w:r>
        <w:rPr>
          <w:noProof/>
        </w:rPr>
        <w:t>2. Kooskõlas määrusega (EL, Euratom) 2018/1046 võib katta ka partnerorganisatsioonide kaudseid kulusid. “</w:t>
      </w:r>
    </w:p>
    <w:p>
      <w:pPr>
        <w:pStyle w:val="Point0"/>
        <w:rPr>
          <w:noProof/>
        </w:rPr>
      </w:pPr>
      <w:r>
        <w:t>(3)</w:t>
      </w:r>
      <w:r>
        <w:tab/>
      </w:r>
      <w:r>
        <w:rPr>
          <w:noProof/>
        </w:rPr>
        <w:t xml:space="preserve">Lisatakse 1. lisa järgmises sõnastuses: </w:t>
      </w:r>
    </w:p>
    <w:p>
      <w:pPr>
        <w:spacing w:after="200"/>
        <w:ind w:left="851"/>
        <w:jc w:val="center"/>
        <w:rPr>
          <w:b/>
          <w:noProof/>
        </w:rPr>
      </w:pPr>
      <w:r>
        <w:rPr>
          <w:noProof/>
        </w:rPr>
        <w:t>„</w:t>
      </w:r>
      <w:r>
        <w:rPr>
          <w:b/>
          <w:noProof/>
        </w:rPr>
        <w:t>1. LISA</w:t>
      </w:r>
    </w:p>
    <w:p>
      <w:pPr>
        <w:spacing w:after="200"/>
        <w:ind w:left="851"/>
        <w:jc w:val="center"/>
        <w:rPr>
          <w:noProof/>
        </w:rPr>
      </w:pPr>
      <w:r>
        <w:rPr>
          <w:noProof/>
        </w:rPr>
        <w:t>Rahastamiskõlblikud meetmed</w:t>
      </w:r>
    </w:p>
    <w:p>
      <w:pPr>
        <w:spacing w:after="200"/>
        <w:ind w:left="851"/>
        <w:rPr>
          <w:noProof/>
        </w:rPr>
      </w:pPr>
      <w:r>
        <w:rPr>
          <w:noProof/>
        </w:rPr>
        <w:t>Ulatusliku mõjuga pandeemia korral võib rahastada meetmeid, mis aitavad:</w:t>
      </w:r>
    </w:p>
    <w:p>
      <w:pPr>
        <w:tabs>
          <w:tab w:val="left" w:pos="1320"/>
        </w:tabs>
        <w:spacing w:after="200"/>
        <w:ind w:left="1320" w:hanging="360"/>
        <w:rPr>
          <w:noProof/>
        </w:rPr>
      </w:pPr>
      <w:r>
        <w:rPr>
          <w:noProof/>
        </w:rPr>
        <w:t>a) suurendada ajutiselt meditsiinipersonali, korraldada meditsiinitöötajate vahetust, võtta vastu välisriikide patsiente või pakkuda muud liiki vastastikust toetust;</w:t>
      </w:r>
    </w:p>
    <w:p>
      <w:pPr>
        <w:tabs>
          <w:tab w:val="left" w:pos="1320"/>
        </w:tabs>
        <w:spacing w:after="200"/>
        <w:ind w:left="1320" w:hanging="360"/>
        <w:rPr>
          <w:noProof/>
        </w:rPr>
      </w:pPr>
      <w:r>
        <w:rPr>
          <w:noProof/>
        </w:rPr>
        <w:t>b) võtta kasutusele ajutisi tervishoiurajatisi ja laiendada ajutiselt olemasolevaid, et leevendada survet olemasolevatele struktuuridele ja suurendada üldist tervishoiusuutlikkust;</w:t>
      </w:r>
    </w:p>
    <w:p>
      <w:pPr>
        <w:tabs>
          <w:tab w:val="left" w:pos="1320"/>
        </w:tabs>
        <w:spacing w:after="200"/>
        <w:ind w:left="1320" w:hanging="360"/>
        <w:rPr>
          <w:noProof/>
        </w:rPr>
      </w:pPr>
      <w:r>
        <w:rPr>
          <w:noProof/>
        </w:rPr>
        <w:lastRenderedPageBreak/>
        <w:t>c) toetada meditsiiniliste testide laiaulatuslikku kasutamist ning valmistada ette vajalikke teaduslikke testimisstrateegiaid ja -protokolle;</w:t>
      </w:r>
    </w:p>
    <w:p>
      <w:pPr>
        <w:tabs>
          <w:tab w:val="left" w:pos="1320"/>
        </w:tabs>
        <w:spacing w:after="200"/>
        <w:ind w:left="1320" w:hanging="360"/>
        <w:rPr>
          <w:noProof/>
        </w:rPr>
      </w:pPr>
      <w:r>
        <w:rPr>
          <w:noProof/>
        </w:rPr>
        <w:t>d) luua ajutisi karantiinirajatisi ja kohaldada muid asjakohaseid meetmeid liidu piiridel;</w:t>
      </w:r>
    </w:p>
    <w:p>
      <w:pPr>
        <w:tabs>
          <w:tab w:val="left" w:pos="1320"/>
        </w:tabs>
        <w:spacing w:after="200"/>
        <w:ind w:left="1320" w:hanging="360"/>
        <w:rPr>
          <w:noProof/>
        </w:rPr>
      </w:pPr>
      <w:r>
        <w:rPr>
          <w:noProof/>
        </w:rPr>
        <w:t>e) töötada välja, toota või osta ja turustada meditsiinitooteid;</w:t>
      </w:r>
    </w:p>
    <w:p>
      <w:pPr>
        <w:tabs>
          <w:tab w:val="left" w:pos="1320"/>
        </w:tabs>
        <w:spacing w:after="200"/>
        <w:ind w:left="1320" w:hanging="360"/>
        <w:rPr>
          <w:noProof/>
        </w:rPr>
      </w:pPr>
      <w:r>
        <w:rPr>
          <w:noProof/>
        </w:rPr>
        <w:t>f) suurendada või ümber korraldada punktis e osutatud meditsiinitoodete tootmisvõimsusi, et lahendada tarnedefitsiidi probleemi;</w:t>
      </w:r>
    </w:p>
    <w:p>
      <w:pPr>
        <w:tabs>
          <w:tab w:val="left" w:pos="1320"/>
        </w:tabs>
        <w:spacing w:after="200"/>
        <w:ind w:left="1320" w:hanging="360"/>
        <w:rPr>
          <w:noProof/>
        </w:rPr>
      </w:pPr>
      <w:r>
        <w:rPr>
          <w:noProof/>
        </w:rPr>
        <w:t>g) hoida punktis e osutatud meditsiinitoodete varusid ja neid kõrvaldada;</w:t>
      </w:r>
    </w:p>
    <w:p>
      <w:pPr>
        <w:tabs>
          <w:tab w:val="left" w:pos="1320"/>
        </w:tabs>
        <w:spacing w:after="200"/>
        <w:ind w:left="1320" w:hanging="360"/>
        <w:rPr>
          <w:noProof/>
        </w:rPr>
      </w:pPr>
      <w:r>
        <w:rPr>
          <w:noProof/>
        </w:rPr>
        <w:t>h) toetada samme, mis on vajalikud punktis e osutatud meditsiinitoodetele kasutusloa saamiseks, kui see on nõutav;</w:t>
      </w:r>
    </w:p>
    <w:p>
      <w:pPr>
        <w:tabs>
          <w:tab w:val="left" w:pos="1320"/>
        </w:tabs>
        <w:spacing w:after="200"/>
        <w:ind w:left="1320" w:hanging="360"/>
        <w:rPr>
          <w:noProof/>
        </w:rPr>
      </w:pPr>
      <w:r>
        <w:rPr>
          <w:noProof/>
        </w:rPr>
        <w:t>j) töötada välja asjakohaseid meetodeid epideemia leviku ja selle vastu võitlemiseks võetud meetmete tulemuste jälgimiseks;</w:t>
      </w:r>
    </w:p>
    <w:p>
      <w:pPr>
        <w:tabs>
          <w:tab w:val="left" w:pos="1320"/>
        </w:tabs>
        <w:spacing w:after="200"/>
        <w:ind w:left="1320" w:hanging="360"/>
        <w:rPr>
          <w:noProof/>
        </w:rPr>
      </w:pPr>
      <w:r>
        <w:rPr>
          <w:noProof/>
        </w:rPr>
        <w:t>k) korraldada võimalike ravimeetodite või diagnostika sihtotstarbelisi kliinilisi uuringuid kooskõlas liidu tasandil kokku lepitud uuringustandarditega;</w:t>
      </w:r>
    </w:p>
    <w:p>
      <w:pPr>
        <w:tabs>
          <w:tab w:val="left" w:pos="1320"/>
        </w:tabs>
        <w:spacing w:after="200"/>
        <w:ind w:left="1320" w:hanging="360"/>
        <w:rPr>
          <w:noProof/>
        </w:rPr>
      </w:pPr>
      <w:r>
        <w:rPr>
          <w:noProof/>
        </w:rPr>
        <w:t>l) teaduslikult valideerida meditsiinitooteid, sealhulgas võimalikke uusi testimismeetodeid.</w:t>
      </w:r>
    </w:p>
    <w:p>
      <w:pPr>
        <w:tabs>
          <w:tab w:val="left" w:pos="1320"/>
        </w:tabs>
        <w:spacing w:after="200"/>
        <w:ind w:left="1320" w:hanging="360"/>
        <w:rPr>
          <w:noProof/>
        </w:rPr>
      </w:pPr>
      <w:r>
        <w:rPr>
          <w:noProof/>
        </w:rPr>
        <w:t>Loetelu ei ole ammendav.“</w:t>
      </w:r>
    </w:p>
    <w:p>
      <w:pPr>
        <w:pStyle w:val="Titrearticle"/>
        <w:rPr>
          <w:noProof/>
        </w:rPr>
      </w:pPr>
      <w:r>
        <w:rPr>
          <w:noProof/>
        </w:rPr>
        <w:t>Artikkel 3</w:t>
      </w:r>
    </w:p>
    <w:p>
      <w:pPr>
        <w:pStyle w:val="Titrearticle"/>
        <w:rPr>
          <w:noProof/>
        </w:rPr>
      </w:pPr>
      <w:r>
        <w:rPr>
          <w:noProof/>
        </w:rPr>
        <w:t>Jõustumine</w:t>
      </w:r>
    </w:p>
    <w:p>
      <w:pPr>
        <w:rPr>
          <w:noProof/>
        </w:rPr>
      </w:pPr>
      <w:r>
        <w:rPr>
          <w:noProof/>
        </w:rPr>
        <w:t xml:space="preserve">Käesolev määrus jõustub </w:t>
      </w:r>
      <w:r>
        <w:rPr>
          <w:i/>
          <w:noProof/>
        </w:rPr>
        <w:t>Euroopa Liidu Teatajas</w:t>
      </w:r>
      <w:r>
        <w:rPr>
          <w:noProof/>
        </w:rPr>
        <w:t xml:space="preserve"> avaldamise päeval.</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p>
      <w:pPr>
        <w:spacing w:before="0" w:after="200" w:line="276" w:lineRule="auto"/>
        <w:jc w:val="left"/>
        <w:rPr>
          <w:b/>
          <w:noProof/>
          <w:u w:val="single"/>
        </w:rPr>
      </w:pPr>
      <w:r>
        <w:rPr>
          <w:noProof/>
        </w:rPr>
        <w:br w:type="page"/>
      </w:r>
    </w:p>
    <w:p>
      <w:pPr>
        <w:pStyle w:val="Fichefinanciretitre"/>
        <w:rPr>
          <w:noProof/>
        </w:rPr>
      </w:pPr>
      <w:r>
        <w:rPr>
          <w:noProof/>
        </w:rPr>
        <w:lastRenderedPageBreak/>
        <w:t>FINANTSSELGITUS</w:t>
      </w:r>
    </w:p>
    <w:p>
      <w:pPr>
        <w:pStyle w:val="ManualHeading1"/>
        <w:rPr>
          <w:noProof/>
        </w:rPr>
      </w:pPr>
      <w:r>
        <w:rPr>
          <w:noProof/>
        </w:rPr>
        <w:t>1.</w:t>
      </w:r>
      <w:r>
        <w:rPr>
          <w:noProof/>
        </w:rPr>
        <w:tab/>
        <w:t xml:space="preserve">ETTEPANEKU/ALGATUSE RAAMISTIK </w:t>
      </w:r>
    </w:p>
    <w:p>
      <w:pPr>
        <w:pStyle w:val="ManualHeading2"/>
        <w:rPr>
          <w:b w:val="0"/>
          <w:noProof/>
        </w:rPr>
      </w:pPr>
      <w:r>
        <w:rPr>
          <w:noProof/>
        </w:rPr>
        <w:tab/>
      </w:r>
      <w:r>
        <w:rPr>
          <w:b w:val="0"/>
          <w:noProof/>
        </w:rPr>
        <w:t>1.1.</w:t>
      </w:r>
      <w:r>
        <w:rPr>
          <w:b w:val="0"/>
          <w:noProof/>
        </w:rPr>
        <w:tab/>
        <w:t xml:space="preserve">Ettepaneku/algatuse nimetus </w:t>
      </w:r>
    </w:p>
    <w:p>
      <w:pPr>
        <w:pStyle w:val="ManualHeading2"/>
        <w:rPr>
          <w:b w:val="0"/>
          <w:noProof/>
        </w:rPr>
      </w:pPr>
      <w:r>
        <w:rPr>
          <w:b w:val="0"/>
          <w:noProof/>
        </w:rPr>
        <w:tab/>
        <w:t>1.2.</w:t>
      </w:r>
      <w:r>
        <w:rPr>
          <w:b w:val="0"/>
          <w:noProof/>
        </w:rPr>
        <w:tab/>
        <w:t>Asjaomased poliitikavaldkonnad vastavalt tegevuspõhise juhtimise ja eelarvestamise (ABM/ABB) struktuurile</w:t>
      </w:r>
    </w:p>
    <w:p>
      <w:pPr>
        <w:pStyle w:val="ManualHeading2"/>
        <w:rPr>
          <w:b w:val="0"/>
          <w:noProof/>
        </w:rPr>
      </w:pPr>
      <w:r>
        <w:rPr>
          <w:b w:val="0"/>
          <w:noProof/>
        </w:rPr>
        <w:tab/>
        <w:t>1.3.</w:t>
      </w:r>
      <w:r>
        <w:rPr>
          <w:b w:val="0"/>
          <w:noProof/>
        </w:rPr>
        <w:tab/>
        <w:t xml:space="preserve">Ettepaneku/algatuse nimetus </w:t>
      </w:r>
    </w:p>
    <w:p>
      <w:pPr>
        <w:pStyle w:val="ManualHeading2"/>
        <w:rPr>
          <w:b w:val="0"/>
          <w:noProof/>
        </w:rPr>
      </w:pPr>
      <w:r>
        <w:rPr>
          <w:b w:val="0"/>
          <w:noProof/>
        </w:rPr>
        <w:tab/>
        <w:t>1.4.</w:t>
      </w:r>
      <w:r>
        <w:rPr>
          <w:b w:val="0"/>
          <w:noProof/>
        </w:rPr>
        <w:tab/>
        <w:t xml:space="preserve">Eesmärgid </w:t>
      </w:r>
    </w:p>
    <w:p>
      <w:pPr>
        <w:pStyle w:val="ManualHeading2"/>
        <w:rPr>
          <w:b w:val="0"/>
          <w:noProof/>
        </w:rPr>
      </w:pPr>
      <w:r>
        <w:rPr>
          <w:b w:val="0"/>
          <w:noProof/>
        </w:rPr>
        <w:tab/>
        <w:t>1.5.</w:t>
      </w:r>
      <w:r>
        <w:rPr>
          <w:b w:val="0"/>
          <w:noProof/>
        </w:rPr>
        <w:tab/>
        <w:t xml:space="preserve">Ettepaneku/algatuse põhjendused </w:t>
      </w:r>
    </w:p>
    <w:p>
      <w:pPr>
        <w:pStyle w:val="ManualHeading2"/>
        <w:rPr>
          <w:b w:val="0"/>
          <w:noProof/>
        </w:rPr>
      </w:pPr>
      <w:r>
        <w:rPr>
          <w:b w:val="0"/>
          <w:noProof/>
        </w:rPr>
        <w:tab/>
        <w:t>1.6.</w:t>
      </w:r>
      <w:r>
        <w:rPr>
          <w:b w:val="0"/>
          <w:noProof/>
        </w:rPr>
        <w:tab/>
        <w:t xml:space="preserve">Ettepaneku/algatuse kestus ja finantsmõju </w:t>
      </w:r>
    </w:p>
    <w:p>
      <w:pPr>
        <w:pStyle w:val="ManualHeading2"/>
        <w:rPr>
          <w:b w:val="0"/>
          <w:noProof/>
        </w:rPr>
      </w:pPr>
      <w:r>
        <w:rPr>
          <w:b w:val="0"/>
          <w:noProof/>
        </w:rPr>
        <w:tab/>
        <w:t>1.7.</w:t>
      </w:r>
      <w:r>
        <w:rPr>
          <w:b w:val="0"/>
          <w:noProof/>
        </w:rPr>
        <w:tab/>
        <w:t xml:space="preserve">Ettenähtud eelarve täitmise viisid </w:t>
      </w:r>
    </w:p>
    <w:p>
      <w:pPr>
        <w:pStyle w:val="ManualHeading1"/>
        <w:rPr>
          <w:noProof/>
        </w:rPr>
      </w:pPr>
      <w:r>
        <w:rPr>
          <w:noProof/>
        </w:rPr>
        <w:t>2.</w:t>
      </w:r>
      <w:r>
        <w:rPr>
          <w:noProof/>
        </w:rPr>
        <w:tab/>
        <w:t xml:space="preserve">HALDUSMEETMED </w:t>
      </w:r>
    </w:p>
    <w:p>
      <w:pPr>
        <w:pStyle w:val="ManualHeading2"/>
        <w:rPr>
          <w:b w:val="0"/>
          <w:noProof/>
        </w:rPr>
      </w:pPr>
      <w:r>
        <w:rPr>
          <w:b w:val="0"/>
          <w:noProof/>
        </w:rPr>
        <w:tab/>
        <w:t>2.1.</w:t>
      </w:r>
      <w:r>
        <w:rPr>
          <w:b w:val="0"/>
          <w:noProof/>
        </w:rPr>
        <w:tab/>
        <w:t xml:space="preserve">Järelevalve ja aruandluse eeskirjad </w:t>
      </w:r>
    </w:p>
    <w:p>
      <w:pPr>
        <w:pStyle w:val="ManualHeading2"/>
        <w:rPr>
          <w:b w:val="0"/>
          <w:noProof/>
        </w:rPr>
      </w:pPr>
      <w:r>
        <w:rPr>
          <w:b w:val="0"/>
          <w:noProof/>
        </w:rPr>
        <w:tab/>
        <w:t>2.2.</w:t>
      </w:r>
      <w:r>
        <w:rPr>
          <w:b w:val="0"/>
          <w:noProof/>
        </w:rPr>
        <w:tab/>
        <w:t xml:space="preserve">Haldus- ja kontrollisüsteemid </w:t>
      </w:r>
    </w:p>
    <w:p>
      <w:pPr>
        <w:pStyle w:val="ManualHeading2"/>
        <w:rPr>
          <w:b w:val="0"/>
          <w:noProof/>
        </w:rPr>
      </w:pPr>
      <w:r>
        <w:rPr>
          <w:b w:val="0"/>
          <w:noProof/>
        </w:rPr>
        <w:tab/>
        <w:t>2.3.</w:t>
      </w:r>
      <w:r>
        <w:rPr>
          <w:b w:val="0"/>
          <w:noProof/>
        </w:rPr>
        <w:tab/>
        <w:t xml:space="preserve">Pettuse ja eeskirjade eiramise ärahoidmise meetmed </w:t>
      </w:r>
    </w:p>
    <w:p>
      <w:pPr>
        <w:pStyle w:val="ManualHeading1"/>
        <w:rPr>
          <w:noProof/>
        </w:rPr>
      </w:pPr>
      <w:r>
        <w:rPr>
          <w:noProof/>
        </w:rPr>
        <w:t>3.</w:t>
      </w:r>
      <w:r>
        <w:rPr>
          <w:noProof/>
        </w:rPr>
        <w:tab/>
        <w:t xml:space="preserve">ETTEPANEKU/ALGATUSE HINNANGULINE FINANTSMÕJU </w:t>
      </w:r>
    </w:p>
    <w:p>
      <w:pPr>
        <w:pStyle w:val="ManualHeading2"/>
        <w:rPr>
          <w:b w:val="0"/>
          <w:noProof/>
        </w:rPr>
      </w:pPr>
      <w:r>
        <w:rPr>
          <w:b w:val="0"/>
          <w:noProof/>
        </w:rPr>
        <w:tab/>
        <w:t>3,1.</w:t>
      </w:r>
      <w:r>
        <w:rPr>
          <w:b w:val="0"/>
          <w:noProof/>
        </w:rPr>
        <w:tab/>
        <w:t xml:space="preserve">Mitmeaastase finantsraamistiku rubriigid ja kulude eelarveread, millele mõju avaldub </w:t>
      </w:r>
    </w:p>
    <w:p>
      <w:pPr>
        <w:pStyle w:val="ManualHeading2"/>
        <w:rPr>
          <w:noProof/>
        </w:rPr>
      </w:pPr>
      <w:r>
        <w:rPr>
          <w:b w:val="0"/>
          <w:noProof/>
        </w:rPr>
        <w:tab/>
        <w:t>3.2.</w:t>
      </w:r>
      <w:r>
        <w:rPr>
          <w:b w:val="0"/>
          <w:noProof/>
        </w:rPr>
        <w:tab/>
        <w:t>Hinnanguline mõju kuludele</w:t>
      </w:r>
      <w:r>
        <w:rPr>
          <w:noProof/>
        </w:rPr>
        <w:t xml:space="preserve"> </w:t>
      </w:r>
    </w:p>
    <w:p>
      <w:pPr>
        <w:pStyle w:val="ManualHeading3"/>
        <w:rPr>
          <w:noProof/>
        </w:rPr>
      </w:pPr>
      <w:r>
        <w:rPr>
          <w:noProof/>
        </w:rPr>
        <w:tab/>
        <w:t>3.2.1.</w:t>
      </w:r>
      <w:r>
        <w:rPr>
          <w:noProof/>
        </w:rPr>
        <w:tab/>
        <w:t xml:space="preserve">Hinnanguline mõju kuludele – ülevaade </w:t>
      </w:r>
    </w:p>
    <w:p>
      <w:pPr>
        <w:pStyle w:val="ManualHeading3"/>
        <w:rPr>
          <w:noProof/>
        </w:rPr>
      </w:pPr>
      <w:r>
        <w:rPr>
          <w:noProof/>
        </w:rPr>
        <w:tab/>
        <w:t>3.2.2.</w:t>
      </w:r>
      <w:r>
        <w:rPr>
          <w:noProof/>
        </w:rPr>
        <w:tab/>
        <w:t xml:space="preserve">Hinnanguline mõju tegevusassigneeringutele </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 xml:space="preserve">Kolmandate isikute rahaline osalus </w:t>
      </w:r>
    </w:p>
    <w:p>
      <w:pPr>
        <w:rPr>
          <w:noProof/>
        </w:rPr>
      </w:pPr>
      <w:r>
        <w:rPr>
          <w:noProof/>
        </w:rPr>
        <w:tab/>
        <w:t>3.3.</w:t>
      </w:r>
      <w:r>
        <w:rPr>
          <w:noProof/>
        </w:rPr>
        <w:tab/>
        <w:t>Hinnanguline mõju tuludele</w:t>
      </w:r>
    </w:p>
    <w:p>
      <w:pPr>
        <w:rPr>
          <w:noProof/>
        </w:rPr>
        <w:sectPr>
          <w:footerReference w:type="default" r:id="rId14"/>
          <w:footerReference w:type="first" r:id="rId15"/>
          <w:pgSz w:w="11907" w:h="16840" w:code="9"/>
          <w:pgMar w:top="1134" w:right="1418" w:bottom="1134" w:left="1418" w:header="709" w:footer="709" w:gutter="0"/>
          <w:cols w:space="708"/>
          <w:docGrid w:linePitch="360"/>
        </w:sectPr>
      </w:pPr>
    </w:p>
    <w:p>
      <w:pPr>
        <w:jc w:val="center"/>
        <w:rPr>
          <w:noProof/>
        </w:rPr>
      </w:pPr>
      <w:r>
        <w:rPr>
          <w:b/>
          <w:noProof/>
          <w:u w:val="single"/>
        </w:rPr>
        <w:t>FINANTSSELGITUS</w:t>
      </w:r>
    </w:p>
    <w:p>
      <w:pPr>
        <w:pStyle w:val="ManualHeading1"/>
        <w:rPr>
          <w:noProof/>
        </w:rPr>
      </w:pPr>
      <w:r>
        <w:t>1.</w:t>
      </w:r>
      <w:r>
        <w:tab/>
      </w:r>
      <w:r>
        <w:rPr>
          <w:noProof/>
        </w:rPr>
        <w:t xml:space="preserve">ETTEPANEKU/ALGATUSE RAAMISTIK </w:t>
      </w:r>
    </w:p>
    <w:p>
      <w:pPr>
        <w:pStyle w:val="ManualHeading2"/>
        <w:rPr>
          <w:noProof/>
        </w:rPr>
      </w:pPr>
      <w:r>
        <w:t>1.1.</w:t>
      </w:r>
      <w:r>
        <w:tab/>
      </w:r>
      <w:r>
        <w:rPr>
          <w:noProof/>
        </w:rPr>
        <w:t xml:space="preserve">Ettepaneku/algatuse nimetus </w:t>
      </w:r>
    </w:p>
    <w:p>
      <w:pPr>
        <w:pStyle w:val="Text1"/>
        <w:pBdr>
          <w:top w:val="single" w:sz="4" w:space="1" w:color="auto"/>
          <w:left w:val="single" w:sz="4" w:space="4" w:color="auto"/>
          <w:bottom w:val="single" w:sz="4" w:space="1" w:color="auto"/>
          <w:right w:val="single" w:sz="4" w:space="4" w:color="auto"/>
        </w:pBdr>
        <w:rPr>
          <w:noProof/>
        </w:rPr>
      </w:pPr>
      <w:r>
        <w:rPr>
          <w:noProof/>
        </w:rPr>
        <w:t>Ettepanek: nõukogu määrus, millega aktiveeritakse nõukogu 15. märtsi 2016. aasta määruse (EL) 2016/369 kohane erakorraline toetus ja muudetakse määruse sätteid seoses COVID-19 puhanguga.</w:t>
      </w:r>
    </w:p>
    <w:p>
      <w:pPr>
        <w:pStyle w:val="ManualHeading2"/>
        <w:rPr>
          <w:noProof/>
          <w:szCs w:val="24"/>
        </w:rPr>
      </w:pPr>
      <w:r>
        <w:t>1.2.</w:t>
      </w:r>
      <w:r>
        <w:tab/>
      </w:r>
      <w:r>
        <w:rPr>
          <w:noProof/>
        </w:rPr>
        <w:t>Asjaomased poliitikavaldkonnad vastavalt tegevuspõhise juhtimise ja eelarvestamise (ABM/ABB) struktuurile</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Ränne ja siseasjad (Euroopa Liidu üldeelarve, jaotis 18, 3. jagu – Komisjon)</w:t>
      </w:r>
    </w:p>
    <w:p>
      <w:pPr>
        <w:pStyle w:val="ManualHeading2"/>
        <w:rPr>
          <w:bCs/>
          <w:noProof/>
          <w:szCs w:val="24"/>
        </w:rPr>
      </w:pPr>
      <w:r>
        <w:t>1.3.</w:t>
      </w:r>
      <w:r>
        <w:tab/>
      </w:r>
      <w:r>
        <w:rPr>
          <w:noProof/>
        </w:rPr>
        <w:t xml:space="preserve">Ettepaneku/algatuse liik </w:t>
      </w:r>
    </w:p>
    <w:p>
      <w:pPr>
        <w:pStyle w:val="Text1"/>
        <w:rPr>
          <w:b/>
          <w:noProof/>
          <w:sz w:val="22"/>
        </w:rPr>
      </w:pPr>
      <w:r>
        <w:rPr>
          <w:noProof/>
        </w:rPr>
        <w:t xml:space="preserve">X Ettepanek/algatus käsitleb </w:t>
      </w:r>
      <w:r>
        <w:rPr>
          <w:b/>
          <w:noProof/>
        </w:rPr>
        <w:t>uut meedet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bCs/>
          <w:noProof/>
        </w:rPr>
        <w:t>uut meedet, mis tuleneb katseprojektist / ettevalmistavast meetmest</w:t>
      </w:r>
      <w:r>
        <w:rPr>
          <w:rStyle w:val="FootnoteReference"/>
          <w:b/>
          <w:noProof/>
        </w:rPr>
        <w:footnoteReference w:id="8"/>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pPr>
        <w:pStyle w:val="ManualHeading2"/>
        <w:rPr>
          <w:bCs/>
          <w:noProof/>
          <w:szCs w:val="24"/>
        </w:rPr>
      </w:pPr>
      <w:r>
        <w:t>1.4.</w:t>
      </w:r>
      <w:r>
        <w:tab/>
      </w:r>
      <w:r>
        <w:rPr>
          <w:noProof/>
        </w:rPr>
        <w:t>Eesmärgid</w:t>
      </w:r>
    </w:p>
    <w:p>
      <w:pPr>
        <w:pStyle w:val="ManualHeading3"/>
        <w:rPr>
          <w:noProof/>
        </w:rPr>
      </w:pPr>
      <w:r>
        <w:t>1.4.1.</w:t>
      </w:r>
      <w:r>
        <w:tab/>
      </w:r>
      <w:r>
        <w:rPr>
          <w:noProof/>
        </w:rPr>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Määruse (EL) 2016/369 kohast erakorralist toetust võib anda käimasoleva või potentsiaalse inimtegevusest tingitud või looduskatastroofi korral, kui katastroofi erakordsel ulatusel ja mõjul on tõsised ja laiaulatuslikud humanitaartagajärjed ühes või mitmes liikmesriigis, ning ainult erakorralistel asjaoludel, kui ükski muu liikmesriikidele ja liidule kättesaadav vahend ei ole piisav. </w:t>
      </w:r>
    </w:p>
    <w:p>
      <w:pPr>
        <w:pStyle w:val="Text1"/>
        <w:pBdr>
          <w:top w:val="single" w:sz="4" w:space="1" w:color="auto"/>
          <w:left w:val="single" w:sz="4" w:space="4" w:color="auto"/>
          <w:bottom w:val="single" w:sz="4" w:space="1" w:color="auto"/>
          <w:right w:val="single" w:sz="4" w:space="4" w:color="auto"/>
        </w:pBdr>
        <w:rPr>
          <w:noProof/>
        </w:rPr>
      </w:pPr>
      <w:r>
        <w:rPr>
          <w:noProof/>
        </w:rPr>
        <w:t>Nõukogu määruse (EL) 2016/369 kohase erakorralise toetuse aktiveerimine peaks otseselt aitama kaitsta aktiveerimise tulemusena meetmetest rahalist abi saavate inimeste põhiõigusi, sealhulgas inimväärikust ning õigust elule ja isikupuutumatusele (ELi põhiõiguste harta artiklid 1, 2 ja 3).</w:t>
      </w:r>
    </w:p>
    <w:p>
      <w:pPr>
        <w:pStyle w:val="Text1"/>
        <w:pBdr>
          <w:top w:val="single" w:sz="4" w:space="1" w:color="auto"/>
          <w:left w:val="single" w:sz="4" w:space="4" w:color="auto"/>
          <w:bottom w:val="single" w:sz="4" w:space="1" w:color="auto"/>
          <w:right w:val="single" w:sz="4" w:space="4" w:color="auto"/>
        </w:pBdr>
        <w:rPr>
          <w:noProof/>
        </w:rPr>
      </w:pPr>
      <w:r>
        <w:rPr>
          <w:noProof/>
        </w:rPr>
        <w:t>Käesoleva nõukogu määruse eesmärk on kehtestada meetmed, et reageerida liikmesriikides tekkinud kiireloomulistele ja erakorralistele humanitaarvajadustele, mis tulenevad raskekujulise ägeda respiratoorse sündroomi koroonaviiruse-2 (SARS-CoV-2) ja sellega seotud haiguse (COVID-19) levikust, mille Maailma Terviseorganisatsioon (WHO) on kuulutanud rahvusvahelise ulatusega rahvatervisealaseks hädaolukorraks ja üleilmseks pandeemiaks. See puudutab kõiki ELi liikmesriike (samuti EMP riike ja Ühendkuningriiki).</w:t>
      </w:r>
    </w:p>
    <w:p>
      <w:pPr>
        <w:pStyle w:val="ManualHeading3"/>
        <w:rPr>
          <w:bCs/>
          <w:noProof/>
          <w:szCs w:val="24"/>
        </w:rPr>
      </w:pPr>
      <w:r>
        <w:t>1.4.2.</w:t>
      </w:r>
      <w:r>
        <w:tab/>
      </w:r>
      <w:r>
        <w:rPr>
          <w:noProof/>
        </w:rPr>
        <w:t xml:space="preserve">Erieesmärgid ning asjaomased tegevusalad vastavalt tegevuspõhise juhtimise ja eelarvestamise struktuurile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w:t>
      </w:r>
    </w:p>
    <w:p>
      <w:pPr>
        <w:pStyle w:val="Text1"/>
        <w:pBdr>
          <w:top w:val="single" w:sz="4" w:space="1" w:color="auto"/>
          <w:left w:val="single" w:sz="4" w:space="4" w:color="auto"/>
          <w:bottom w:val="single" w:sz="4" w:space="1" w:color="auto"/>
          <w:right w:val="single" w:sz="4" w:space="4" w:color="auto"/>
        </w:pBdr>
        <w:rPr>
          <w:noProof/>
        </w:rPr>
      </w:pPr>
      <w:r>
        <w:rPr>
          <w:noProof/>
        </w:rPr>
        <w:t xml:space="preserve">Anda liidus erakorralist toetust, et rahuldada kiireloomulised humanitaarvajadused, pakkudes liikmesriikidele toetust, abi, hädaabi ja vajaduse korral operatsioone, et hoida inimelusid. </w:t>
      </w:r>
    </w:p>
    <w:p>
      <w:pPr>
        <w:pStyle w:val="Text1"/>
        <w:pBdr>
          <w:top w:val="single" w:sz="4" w:space="1" w:color="auto"/>
          <w:left w:val="single" w:sz="4" w:space="4" w:color="auto"/>
          <w:bottom w:val="single" w:sz="4" w:space="1" w:color="auto"/>
          <w:right w:val="single" w:sz="4" w:space="4" w:color="auto"/>
        </w:pBdr>
        <w:rPr>
          <w:noProof/>
        </w:rPr>
      </w:pPr>
      <w:r>
        <w:rPr>
          <w:noProof/>
        </w:rPr>
        <w:t>See algatus on konkreetne märk solidaarsusest liidus.</w:t>
      </w:r>
    </w:p>
    <w:p>
      <w:pPr>
        <w:pStyle w:val="ManualHeading3"/>
        <w:rPr>
          <w:bCs/>
          <w:noProof/>
          <w:szCs w:val="24"/>
        </w:rPr>
      </w:pPr>
      <w:r>
        <w:t>1.4.3.</w:t>
      </w:r>
      <w:r>
        <w:tab/>
      </w:r>
      <w:r>
        <w:rPr>
          <w:noProof/>
        </w:rPr>
        <w:t>Oodatavad tulemused ja mõju</w:t>
      </w:r>
    </w:p>
    <w:p>
      <w:pPr>
        <w:pStyle w:val="Text1"/>
        <w:rPr>
          <w:i/>
          <w:noProof/>
          <w:sz w:val="20"/>
        </w:rPr>
      </w:pPr>
      <w:r>
        <w:rPr>
          <w:i/>
          <w:noProof/>
          <w:sz w:val="20"/>
        </w:rPr>
        <w:t>Märkige,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Ettepanek võimaldab Euroopa Liidul tegeleda oma territooriumil kiireloomuliste humanitaarvajadustega, mis ELi kodanikel ja elanikel on COVID-19 puhangu tagajärjel tekkinud.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Eelkõige võimaldab see võtta meetmeid, mis on suunatud seadmete transpordile, ajutiste haiglate rajamisele ja meditsiinirühmade lähetamisele, COVID-patsientidele spetsialiseerunud haiglatele, meditsiinivahenditele (sealhulgas hingamisaparaadid, isikukaitsevahendid, diagnostika- ja ravivahendid), lendavatele meditsiinirühmadele, COVID-patsientide ja mitte-COVID-patsientide transpordile. </w:t>
      </w:r>
    </w:p>
    <w:p>
      <w:pPr>
        <w:pStyle w:val="Text1"/>
        <w:pBdr>
          <w:top w:val="single" w:sz="4" w:space="1" w:color="auto"/>
          <w:left w:val="single" w:sz="4" w:space="4" w:color="auto"/>
          <w:bottom w:val="single" w:sz="4" w:space="1" w:color="auto"/>
          <w:right w:val="single" w:sz="4" w:space="4" w:color="auto"/>
        </w:pBdr>
        <w:rPr>
          <w:noProof/>
        </w:rPr>
      </w:pPr>
      <w:r>
        <w:rPr>
          <w:noProof/>
        </w:rPr>
        <w:t>Erakorralist toetust antakse kooskõlas humanitaarabi aluspõhimõtetega, milleks on humaansus, neutraalsus, erapooletus ja sõltumatus.</w:t>
      </w:r>
    </w:p>
    <w:p>
      <w:pPr>
        <w:pStyle w:val="ManualHeading3"/>
        <w:rPr>
          <w:bCs/>
          <w:noProof/>
          <w:szCs w:val="24"/>
        </w:rPr>
      </w:pPr>
      <w:r>
        <w:t>1.4.4.</w:t>
      </w:r>
      <w:r>
        <w:tab/>
      </w:r>
      <w:r>
        <w:rPr>
          <w:noProof/>
        </w:rPr>
        <w:t xml:space="preserve">Tulemus- ja mõjunäitajad </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rPr>
          <w:noProof/>
        </w:rPr>
      </w:pPr>
      <w:r>
        <w:rPr>
          <w:noProof/>
        </w:rPr>
        <w:t>Euroopa Liidus erakorralist toetust saavate inimeste arv absoluutarvuna ja kui võimalik, protsendina abi vajavatest inimestest.</w:t>
      </w:r>
    </w:p>
    <w:p>
      <w:pPr>
        <w:pStyle w:val="Text1"/>
        <w:pBdr>
          <w:top w:val="single" w:sz="4" w:space="1" w:color="auto"/>
          <w:left w:val="single" w:sz="4" w:space="4" w:color="auto"/>
          <w:bottom w:val="single" w:sz="4" w:space="1" w:color="auto"/>
          <w:right w:val="single" w:sz="4" w:space="4" w:color="auto"/>
        </w:pBdr>
        <w:rPr>
          <w:noProof/>
        </w:rPr>
      </w:pPr>
      <w:r>
        <w:rPr>
          <w:noProof/>
        </w:rPr>
        <w:t>Ajutiste haiglate ja meditsiinirühmade, lendavate meditsiinirühmade arv.</w:t>
      </w:r>
    </w:p>
    <w:p>
      <w:pPr>
        <w:pStyle w:val="Text1"/>
        <w:pBdr>
          <w:top w:val="single" w:sz="4" w:space="1" w:color="auto"/>
          <w:left w:val="single" w:sz="4" w:space="4" w:color="auto"/>
          <w:bottom w:val="single" w:sz="4" w:space="1" w:color="auto"/>
          <w:right w:val="single" w:sz="4" w:space="4" w:color="auto"/>
        </w:pBdr>
        <w:rPr>
          <w:noProof/>
        </w:rPr>
      </w:pPr>
      <w:r>
        <w:rPr>
          <w:noProof/>
        </w:rPr>
        <w:t>Tarnitavate meditsiinivahendite kogus (absoluutarv ja kui võimalik, protsent koguvajadusest).</w:t>
      </w:r>
    </w:p>
    <w:p>
      <w:pPr>
        <w:pStyle w:val="ManualHeading2"/>
        <w:rPr>
          <w:bCs/>
          <w:noProof/>
          <w:szCs w:val="24"/>
        </w:rPr>
      </w:pPr>
      <w:r>
        <w:t>1.5.</w:t>
      </w:r>
      <w:r>
        <w:tab/>
      </w:r>
      <w:r>
        <w:rPr>
          <w:noProof/>
        </w:rPr>
        <w:t xml:space="preserve">Ettepaneku/algatuse põhjendused </w:t>
      </w:r>
    </w:p>
    <w:p>
      <w:pPr>
        <w:pStyle w:val="ManualHeading3"/>
        <w:rPr>
          <w:noProof/>
        </w:rPr>
      </w:pPr>
      <w:r>
        <w:t>1.5.1.</w:t>
      </w:r>
      <w:r>
        <w:tab/>
      </w:r>
      <w:r>
        <w:rPr>
          <w:noProof/>
        </w:rPr>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noProof/>
        </w:rPr>
      </w:pPr>
      <w:r>
        <w:rPr>
          <w:noProof/>
        </w:rPr>
        <w:t>Käesoleva nõukogu määruse ettepaneku eesmärk on täiendada olemasolevaid liidu vahendeid ja õiguslikku alust, täpsemalt anda eesmärgipärasemalt erakorralist toetust inimestele liidus, et reageerida kiireloomulistele humanitaarabivajadustele, mis on liikmesriikides tekkinud COVID-19 puhangu tagajärjel. Erakorralise toetuse andmine Euroopa Liidus on vajalik, kui selle erakordne ulatus ja mõju on sedavõrd suur, et see põhjustab ränki ja ulatuslikke humanitaartagajärgi.</w:t>
      </w:r>
    </w:p>
    <w:p>
      <w:pPr>
        <w:pStyle w:val="ManualHeading3"/>
        <w:rPr>
          <w:bCs/>
          <w:noProof/>
          <w:szCs w:val="24"/>
        </w:rPr>
      </w:pPr>
      <w:r>
        <w:t>1.5.2.</w:t>
      </w:r>
      <w:r>
        <w:tab/>
      </w:r>
      <w:r>
        <w:rPr>
          <w:noProof/>
        </w:rPr>
        <w:t>Euroopa Liidu meetme lisaväärtus</w:t>
      </w:r>
    </w:p>
    <w:p>
      <w:pPr>
        <w:pStyle w:val="Text1"/>
        <w:pBdr>
          <w:top w:val="single" w:sz="4" w:space="1" w:color="auto"/>
          <w:left w:val="single" w:sz="4" w:space="4" w:color="auto"/>
          <w:bottom w:val="single" w:sz="4" w:space="1" w:color="auto"/>
          <w:right w:val="single" w:sz="4" w:space="4" w:color="auto"/>
        </w:pBdr>
        <w:rPr>
          <w:noProof/>
        </w:rPr>
      </w:pPr>
      <w:r>
        <w:rPr>
          <w:noProof/>
        </w:rPr>
        <w:t>Mõjutatud liikmeriikide võetud meetmed, sealhulgas need, mis hõlmavad juba ka liidu rahalist toetust, mis tehakse kättesaadavaks muude liidu vahendite kaudu, ei näi suutvat tõhusalt lahendada puhangust tulenevaid rahvatervisele avalduvaid humanitaartagajärgi liidus, arvestades eelkõige ajavahemikku, mille jooksul liidu rahaline toetus võidakse kättesaadavaks teha.</w:t>
      </w:r>
    </w:p>
    <w:p>
      <w:pPr>
        <w:pStyle w:val="Text1"/>
        <w:pBdr>
          <w:top w:val="single" w:sz="4" w:space="1" w:color="auto"/>
          <w:left w:val="single" w:sz="4" w:space="4" w:color="auto"/>
          <w:bottom w:val="single" w:sz="4" w:space="1" w:color="auto"/>
          <w:right w:val="single" w:sz="4" w:space="4" w:color="auto"/>
        </w:pBdr>
        <w:rPr>
          <w:noProof/>
        </w:rPr>
      </w:pPr>
      <w:r>
        <w:rPr>
          <w:noProof/>
        </w:rPr>
        <w:t>Kuna nõukogu määruse (EL) 2016/369 artiklis 1 sätestatud tingimused on täidetud, on asjakohane, et nõukogu aktiveerib määruse kohase erakorralise toetuse seoses COVID-2019 puhanguga.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 xml:space="preserve">15. märtsil 2016 võttis nõukogu vastu määruse erakorralise toetuse andmise kohta liidus. Erakorralise toetuse rahastamisvahend aktiveeriti 2016. aastal, et tulla Kreekas toime pagulaste ja rändajate suure sissevooluga, mis tekitas humanitaarhädaolukorra. </w:t>
      </w:r>
    </w:p>
    <w:p>
      <w:pPr>
        <w:pStyle w:val="Text1"/>
        <w:pBdr>
          <w:top w:val="single" w:sz="4" w:space="1" w:color="auto"/>
          <w:left w:val="single" w:sz="4" w:space="4" w:color="auto"/>
          <w:bottom w:val="single" w:sz="4" w:space="1" w:color="auto"/>
          <w:right w:val="single" w:sz="4" w:space="4" w:color="auto"/>
        </w:pBdr>
        <w:rPr>
          <w:noProof/>
        </w:rPr>
      </w:pPr>
      <w:r>
        <w:rPr>
          <w:noProof/>
        </w:rPr>
        <w:t>Kooskõlas nõukogu määruse (EL) 2016/369 artikli 8 lõikega 2 esitas komisjon 2019. aasta märtsis nõukogule hinnangu määruse toimimise kohta. Hinnang oli positiivne ja selle tulemusena jäeti määrus jõusse, kuigi see oli inaktiveeritud ja selle kohta ei tehtud ühtegi muudatusettepanekut.</w:t>
      </w:r>
    </w:p>
    <w:p>
      <w:pPr>
        <w:pStyle w:val="ManualHeading3"/>
        <w:rPr>
          <w:bCs/>
          <w:noProof/>
          <w:szCs w:val="24"/>
        </w:rPr>
      </w:pPr>
      <w:r>
        <w:t>1.5.3.</w:t>
      </w:r>
      <w:r>
        <w:tab/>
      </w:r>
      <w:r>
        <w:rPr>
          <w:noProof/>
        </w:rPr>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Käesoleva algatuse rahastamine eeldab mitmeaastase finantsraamistiku määruse muutmist.</w:t>
      </w:r>
    </w:p>
    <w:p>
      <w:pPr>
        <w:pStyle w:val="Text1"/>
        <w:pBdr>
          <w:top w:val="single" w:sz="4" w:space="1" w:color="auto"/>
          <w:left w:val="single" w:sz="4" w:space="4" w:color="auto"/>
          <w:bottom w:val="single" w:sz="4" w:space="1" w:color="auto"/>
          <w:right w:val="single" w:sz="4" w:space="4" w:color="auto"/>
        </w:pBdr>
        <w:rPr>
          <w:noProof/>
        </w:rPr>
      </w:pPr>
      <w:r>
        <w:rPr>
          <w:noProof/>
        </w:rPr>
        <w:t xml:space="preserve">Liidul on olemas elanikkonnakaitse mehhanism („liidu mehhanism“), mille eesmärk on tugevdada koostööd liidu ja liikmesriikide vahel ning aidata kaasa tegevuse koordineerimisele elanikkonnakaitse valdkonnas, et parandada süsteemide tõhusust looduslike ja inimtegevusest tingitud katastroofide ennetamisel, nendeks valmistumisel ja neile reageerimisel. Liikmesriigid saavad liidu mehhanismi aktiveerida loodusõnnetuste ja inimtegevusest tingitud õnnetuste korral, sealhulgas juhul, kui liidus tekib äge tervisega seotud hädaolukord.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rescEU suutlikkuse arendamine seoses varadega, mis on otse seotud kriisiga, mille jaoks aktiveerimist kavandatakse, on veel pooleli. </w:t>
      </w:r>
    </w:p>
    <w:p>
      <w:pPr>
        <w:pStyle w:val="Text1"/>
        <w:pBdr>
          <w:top w:val="single" w:sz="4" w:space="1" w:color="auto"/>
          <w:left w:val="single" w:sz="4" w:space="4" w:color="auto"/>
          <w:bottom w:val="single" w:sz="4" w:space="1" w:color="auto"/>
          <w:right w:val="single" w:sz="4" w:space="4" w:color="auto"/>
        </w:pBdr>
        <w:rPr>
          <w:noProof/>
        </w:rPr>
      </w:pPr>
      <w:r>
        <w:rPr>
          <w:noProof/>
        </w:rPr>
        <w:t>Kuigi ei ole kahtlust, et igasugune toetus, mida antaks kavandatud aktiveerimise raames, peaks täiendama igasugust abi, mida pakutakse mehhanismi kaudu, ei ole selle raames antav abi tõenäoliselt nii ulatuslik, et seda saaks pidada piisavaks puhangust rahvatervisele tulenevate tagajärgede tõhusaks lahendamiseks liidus. Seepärast on elanikkonnakaitse mehhanismi ja erakorralise toetuse rahastamisvahendi raames võetavad meetmed teineteist täiendavad.</w:t>
      </w:r>
    </w:p>
    <w:p>
      <w:pPr>
        <w:pStyle w:val="Text1"/>
        <w:pBdr>
          <w:top w:val="single" w:sz="4" w:space="1" w:color="auto"/>
          <w:left w:val="single" w:sz="4" w:space="4" w:color="auto"/>
          <w:bottom w:val="single" w:sz="4" w:space="1" w:color="auto"/>
          <w:right w:val="single" w:sz="4" w:space="4" w:color="auto"/>
        </w:pBdr>
        <w:rPr>
          <w:noProof/>
        </w:rPr>
      </w:pPr>
      <w:r>
        <w:rPr>
          <w:noProof/>
        </w:rPr>
        <w:t xml:space="preserve">Kui nõukogu määruse (EL) 2016/369 kohast erakorralist toetust antakse erakorralise abina õnnetustes kannatada saanud inimeste vajaduste rahuldamiseks, võib seda pidada sarnaseks nõukogu 20. juuni 1996. aasta määruse (EÜ) nr 1257/96 (humanitaarabi kohta) alusel antava abiga. Nõukogu määrust (EÜ) nr 1257/96 võib siiski kasutada üksnes humanitaarabioperatsioonide rahastamiseks väljaspool liitu ning seetõttu ei asenda see nõukogu määrust (EL) 2016/369 katastroofide korral liidus. </w:t>
      </w:r>
    </w:p>
    <w:p>
      <w:pPr>
        <w:pStyle w:val="ManualHeading3"/>
        <w:rPr>
          <w:bCs/>
          <w:noProof/>
          <w:szCs w:val="24"/>
        </w:rPr>
      </w:pPr>
      <w:r>
        <w:t>1.5.4.</w:t>
      </w:r>
      <w:r>
        <w:tab/>
      </w:r>
      <w:r>
        <w:rPr>
          <w:noProof/>
        </w:rPr>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Kõik võimalikud ümberpaigutused on COVID-19 puhangu praeguses kontekstis ammendatud. COVID-19 puhangu ulatus liikmesriikides ja sellega seotud võimalikud vajadused õigustavad mitmeaastase finantsraamistiku määrusega ette nähtud erivahendite kasutamist.</w:t>
      </w:r>
    </w:p>
    <w:p>
      <w:pPr>
        <w:pStyle w:val="ManualHeading2"/>
        <w:rPr>
          <w:bCs/>
          <w:noProof/>
          <w:szCs w:val="24"/>
        </w:rPr>
      </w:pPr>
      <w:r>
        <w:t>1.6.</w:t>
      </w:r>
      <w:r>
        <w:tab/>
      </w:r>
      <w:r>
        <w:rPr>
          <w:noProof/>
        </w:rPr>
        <w:t>Ettepaneku/algatuse kestus ja finantsmõju</w:t>
      </w:r>
    </w:p>
    <w:p>
      <w:pPr>
        <w:pStyle w:val="Text1"/>
        <w:rPr>
          <w:noProof/>
        </w:rPr>
      </w:pPr>
      <w:r>
        <w:rPr>
          <w:noProof/>
        </w:rPr>
        <w:t xml:space="preserve">X </w:t>
      </w:r>
      <w:r>
        <w:rPr>
          <w:b/>
          <w:noProof/>
        </w:rPr>
        <w:t>Piiratud kestusega</w:t>
      </w:r>
      <w:r>
        <w:rPr>
          <w:noProof/>
        </w:rPr>
        <w:t xml:space="preserve"> ettepanek</w:t>
      </w:r>
      <w:r>
        <w:rPr>
          <w:b/>
          <w:noProof/>
        </w:rPr>
        <w:t xml:space="preserve"> </w:t>
      </w:r>
    </w:p>
    <w:p>
      <w:pPr>
        <w:pStyle w:val="ListDash2"/>
        <w:rPr>
          <w:noProof/>
        </w:rPr>
      </w:pPr>
      <w:r>
        <w:rPr>
          <w:noProof/>
        </w:rPr>
        <w:t>alates vastuvõtmise kuupäevast 24 kuud („aktiveerimisperiood“); meetmete puhul, mis saavad selle aktiveerimise raames määruse (EL) 2016/369 kohast rahalist toetust, võib rakendamisperiood lõppeda pärast aktiveerimisperioodi lõppu, tingimusel et selline rakendusperiood ei lõpe hiljem kui 24 kuud pärast aktiveerimisperioodi lõppu.</w:t>
      </w:r>
    </w:p>
    <w:p>
      <w:pPr>
        <w:pStyle w:val="ListDash2"/>
        <w:rPr>
          <w:noProof/>
        </w:rPr>
      </w:pPr>
      <w:r>
        <w:rPr>
          <w:noProof/>
        </w:rPr>
        <w:t xml:space="preserve">Finantsmõju: kulukohustuste assigneeringutele 2020. aastal ja maksete assigneeringutele ajavahemikul 2020–2023. </w:t>
      </w:r>
    </w:p>
    <w:p>
      <w:pPr>
        <w:pStyle w:val="ManualHeading2"/>
        <w:rPr>
          <w:bCs/>
          <w:noProof/>
          <w:szCs w:val="24"/>
        </w:rPr>
      </w:pPr>
      <w:r>
        <w:t>1.7.</w:t>
      </w:r>
      <w:r>
        <w:tab/>
      </w:r>
      <w:r>
        <w:rPr>
          <w:noProof/>
        </w:rPr>
        <w:t>Ettenähtud eelarve täitmise viisid</w:t>
      </w:r>
      <w:r>
        <w:rPr>
          <w:rStyle w:val="FootnoteReference"/>
          <w:noProof/>
        </w:rPr>
        <w:footnoteReference w:id="9"/>
      </w:r>
      <w:r>
        <w:rPr>
          <w:rStyle w:val="FootnoteReference"/>
          <w:noProof/>
        </w:rPr>
        <w:t xml:space="preserve"> </w:t>
      </w:r>
    </w:p>
    <w:p>
      <w:pPr>
        <w:pStyle w:val="Text1"/>
        <w:rPr>
          <w:noProof/>
        </w:rPr>
      </w:pPr>
      <w:r>
        <w:rPr>
          <w:noProof/>
        </w:rPr>
        <w:t xml:space="preserve">X </w:t>
      </w:r>
      <w:r>
        <w:rPr>
          <w:b/>
          <w:noProof/>
        </w:rPr>
        <w:t>Eelarve otsene täitmine</w:t>
      </w:r>
      <w:r>
        <w:rPr>
          <w:noProof/>
        </w:rPr>
        <w:t xml:space="preserve"> komisjoni poolt</w:t>
      </w:r>
    </w:p>
    <w:p>
      <w:pPr>
        <w:pStyle w:val="ListDash2"/>
        <w:rPr>
          <w:rFonts w:cs="EUAlbertina"/>
          <w:noProof/>
        </w:rPr>
      </w:pPr>
      <w:r>
        <w:rPr>
          <w:noProof/>
        </w:rPr>
        <w:t xml:space="preserve">X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b/>
          <w:noProof/>
        </w:rPr>
        <w:t>Eelarve jagatud täitmine</w:t>
      </w:r>
      <w:r>
        <w:rPr>
          <w:noProof/>
        </w:rPr>
        <w:t xml:space="preserve"> koostöös liikmesriikidega </w:t>
      </w:r>
    </w:p>
    <w:p>
      <w:pPr>
        <w:pStyle w:val="Text1"/>
        <w:rPr>
          <w:noProof/>
        </w:rPr>
      </w:pPr>
      <w:r>
        <w:rPr>
          <w:noProof/>
        </w:rPr>
        <w:t xml:space="preserve">X </w:t>
      </w:r>
      <w:r>
        <w:rPr>
          <w:b/>
          <w:noProof/>
        </w:rPr>
        <w:t>Eelarve kaudne täitmine</w:t>
      </w:r>
      <w:r>
        <w:rPr>
          <w:noProof/>
        </w:rPr>
        <w:t>, mille puhul eelarve täitmise ülesanded on delegeeritud:</w:t>
      </w:r>
    </w:p>
    <w:p>
      <w:pPr>
        <w:pStyle w:val="ListDash2"/>
        <w:rPr>
          <w:noProof/>
        </w:rPr>
      </w:pPr>
      <w:r>
        <w:rPr>
          <w:noProof/>
        </w:rPr>
        <w:sym w:font="Wingdings" w:char="F0A8"/>
      </w:r>
      <w:r>
        <w:rPr>
          <w:noProof/>
        </w:rPr>
        <w:t xml:space="preserve"> kolmandatele riikidele või nende määratud asutustele;</w:t>
      </w:r>
    </w:p>
    <w:p>
      <w:pPr>
        <w:pStyle w:val="ListDash2"/>
        <w:rPr>
          <w:noProof/>
        </w:rPr>
      </w:pPr>
      <w:r>
        <w:rPr>
          <w:noProof/>
        </w:rPr>
        <w:t>X rahvusvahelistele organisatsioonidele ja nende allasutustele (nimetage);</w:t>
      </w:r>
    </w:p>
    <w:p>
      <w:pPr>
        <w:pStyle w:val="ListDash2"/>
        <w:rPr>
          <w:noProof/>
        </w:rPr>
      </w:pPr>
      <w:r>
        <w:rPr>
          <w:noProof/>
        </w:rPr>
        <w:sym w:font="Wingdings" w:char="F0A8"/>
      </w:r>
      <w:r>
        <w:rPr>
          <w:noProof/>
        </w:rPr>
        <w:t xml:space="preserve"> Euroopa Investeerimispangale ja Euroopa Investeerimisfondile;</w:t>
      </w:r>
    </w:p>
    <w:p>
      <w:pPr>
        <w:pStyle w:val="ListDash2"/>
        <w:rPr>
          <w:noProof/>
        </w:rPr>
      </w:pPr>
      <w:r>
        <w:rPr>
          <w:noProof/>
        </w:rPr>
        <w:sym w:font="Wingdings" w:char="F0A8"/>
      </w:r>
      <w:r>
        <w:rPr>
          <w:noProof/>
        </w:rPr>
        <w:t xml:space="preserve"> finantsmääruse artiklites 208 ja 209 nimetatud asutustele;</w:t>
      </w:r>
    </w:p>
    <w:p>
      <w:pPr>
        <w:pStyle w:val="ListDash2"/>
        <w:rPr>
          <w:noProof/>
        </w:rPr>
      </w:pPr>
      <w:r>
        <w:rPr>
          <w:noProof/>
        </w:rPr>
        <w:t>X avalik-õiguslikele asutustele;</w:t>
      </w:r>
    </w:p>
    <w:p>
      <w:pPr>
        <w:pStyle w:val="ListDash2"/>
        <w:rPr>
          <w:noProof/>
        </w:rPr>
      </w:pPr>
      <w:r>
        <w:rPr>
          <w:noProof/>
        </w:rPr>
        <w:t>X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korral esitage üksikasjad rubriigis „Märkused“.</w:t>
      </w:r>
    </w:p>
    <w:p>
      <w:pPr>
        <w:rPr>
          <w:noProof/>
        </w:rPr>
      </w:pPr>
      <w:r>
        <w:rPr>
          <w:noProof/>
        </w:rPr>
        <w:t xml:space="preserve">Märkused </w:t>
      </w:r>
    </w:p>
    <w:p>
      <w:pPr>
        <w:pBdr>
          <w:top w:val="single" w:sz="4" w:space="1" w:color="auto"/>
          <w:left w:val="single" w:sz="4" w:space="4" w:color="auto"/>
          <w:bottom w:val="single" w:sz="4" w:space="1" w:color="auto"/>
          <w:right w:val="single" w:sz="4" w:space="4" w:color="auto"/>
        </w:pBdr>
        <w:rPr>
          <w:noProof/>
        </w:rPr>
      </w:pPr>
      <w:r>
        <w:rPr>
          <w:noProof/>
        </w:rPr>
        <w:t>Puuduvad.</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HALDUSMEETMED </w:t>
      </w:r>
    </w:p>
    <w:p>
      <w:pPr>
        <w:pStyle w:val="ManualHeading2"/>
        <w:rPr>
          <w:noProof/>
        </w:rPr>
      </w:pPr>
      <w:r>
        <w:t>2.1.</w:t>
      </w:r>
      <w:r>
        <w:tab/>
      </w:r>
      <w:r>
        <w:rPr>
          <w:noProof/>
        </w:rPr>
        <w:t xml:space="preserve">Järelevalve ja aruandluse eeskirjad </w:t>
      </w:r>
    </w:p>
    <w:p>
      <w:pPr>
        <w:pStyle w:val="Text1"/>
        <w:rPr>
          <w:i/>
          <w:noProof/>
          <w:sz w:val="20"/>
          <w:u w:val="single"/>
        </w:rPr>
      </w:pPr>
      <w:r>
        <w:rPr>
          <w:i/>
          <w:noProof/>
          <w:sz w:val="20"/>
        </w:rPr>
        <w:t>Märkige sagedus ja tingimused.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Käesoleva ettepaneku raames rahalist toetust saavaid meetmeid jälgitakse korrapäraselt. </w:t>
      </w:r>
    </w:p>
    <w:p>
      <w:pPr>
        <w:pStyle w:val="Text1"/>
        <w:pBdr>
          <w:top w:val="single" w:sz="4" w:space="1" w:color="auto"/>
          <w:left w:val="single" w:sz="4" w:space="4" w:color="auto"/>
          <w:bottom w:val="single" w:sz="4" w:space="1" w:color="auto"/>
          <w:right w:val="single" w:sz="4" w:space="4" w:color="auto"/>
        </w:pBdr>
        <w:rPr>
          <w:noProof/>
        </w:rPr>
      </w:pPr>
      <w:r>
        <w:rPr>
          <w:noProof/>
        </w:rPr>
        <w:t>Komisjon koostab ja esitab nõukogule järelhindamise aruande 3 aastat pärast käesoleva määruse jõustumist.</w:t>
      </w:r>
    </w:p>
    <w:p>
      <w:pPr>
        <w:pStyle w:val="ManualHeading2"/>
        <w:rPr>
          <w:bCs/>
          <w:noProof/>
          <w:szCs w:val="24"/>
        </w:rPr>
      </w:pPr>
      <w:r>
        <w:t>2.2.</w:t>
      </w:r>
      <w:r>
        <w:tab/>
      </w:r>
      <w:r>
        <w:rPr>
          <w:noProof/>
        </w:rPr>
        <w:t xml:space="preserve">Haldus- ja kontrollisüsteemid </w:t>
      </w:r>
    </w:p>
    <w:p>
      <w:pPr>
        <w:pStyle w:val="ManualHeading3"/>
        <w:rPr>
          <w:noProof/>
        </w:rPr>
      </w:pPr>
      <w:r>
        <w:t>2.2.1.</w:t>
      </w:r>
      <w:r>
        <w:tab/>
      </w:r>
      <w:r>
        <w:rPr>
          <w:noProof/>
        </w:rPr>
        <w:t xml:space="preserve">Tuvastatud oht (ohud)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Meetmete rakendamiseks kasutatakse valitud partnerorganisatsioone, sealhulgas valitsusväliseid organisatsioone ning ÜROd ja selle asutusi, rahvusvahelisi organisatsioone ja liikmesriikide spetsialiseeritud asutusi ning seda tehakse eelarve otsese ja kaudse täitmise raames. Kui vaja, võib konkreetset tegevust ellu viia muude organisatsioonide erimeetmete kaudu eelarve otsese täitmise raames. Sellist korraldust peetakse rahastamisvahendi eesmärkide saavutamiseks kõige sobivamaks, võttes täielikult arvesse säästlikkuse, tõhususe ning parima hinna ja kvaliteedi suhte põhimõtteid. </w:t>
      </w:r>
    </w:p>
    <w:p>
      <w:pPr>
        <w:pStyle w:val="Text1"/>
        <w:pBdr>
          <w:top w:val="single" w:sz="4" w:space="1" w:color="auto"/>
          <w:left w:val="single" w:sz="4" w:space="4" w:color="auto"/>
          <w:bottom w:val="single" w:sz="4" w:space="1" w:color="auto"/>
          <w:right w:val="single" w:sz="4" w:space="4" w:color="auto"/>
        </w:pBdr>
        <w:rPr>
          <w:noProof/>
        </w:rPr>
      </w:pPr>
      <w:r>
        <w:rPr>
          <w:noProof/>
        </w:rPr>
        <w:t>Meetmete puhul, mis on olemuselt sarnased humanitaarabimeetmetega, kohaldatakse humanitaarabi rahastamisvahendi ja liidu elanikkonnakaitse mehhanismi puhul nii otsese kui ka kaudse eelarve täitmise raames kasutatavaid makseviise, sest need on osutunud kohasteks.</w:t>
      </w:r>
    </w:p>
    <w:p>
      <w:pPr>
        <w:pStyle w:val="ManualHeading3"/>
        <w:rPr>
          <w:bCs/>
          <w:noProof/>
          <w:szCs w:val="24"/>
        </w:rPr>
      </w:pPr>
      <w:r>
        <w:t>2.2.2.</w:t>
      </w:r>
      <w:r>
        <w:tab/>
      </w:r>
      <w:r>
        <w:rPr>
          <w:noProof/>
        </w:rPr>
        <w:t>Teave loodud sisekontrollisüsteemi kohta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Kohaldatakse Euroopa Komisjoni olemasolevat sisekontrollisüsteemi, et tagada liidu mehhanismi raames kättesaadavate rahaliste vahendite nõuetekohane kasutamine kooskõlas asjaomaste õigusaktidega.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Praegu kehtiv süsteem on korraldatud järgmiselt.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Juhtiva talituse (Euroopa elanikkonnakaitse ja humanitaarabioperatsioonide peadirektoraadi (DG ECHO)) sisekontrollimeeskond kontrollib vastavust haldusmenetlustele ja elanikkonnakaitse valdkonnas kehtivatele õigusaktidele. Selleks kasutatakse komisjoni sisekontrolliraamistikku. Teised rahastamisvahendi rakendamisega seotud komisjoni talitused järgivad sama kontrolliraamistikku.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Välisaudiitorite poolne toetuste ja sõlmitud lepingute korrapärane kontroll on täielikult integreeritud Euroopa elanikkonnakaitse ja humanitaarabioperatsioonide peadirektoraadi iga-aastasse auditikavasse.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Kogu tegevust hindavad välishindajad.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Võetud meetmeid võivad auditeerida Euroopa Pettustevastane Amet (OLAF) ja kontrollikoda. </w:t>
      </w:r>
    </w:p>
    <w:p>
      <w:pPr>
        <w:pStyle w:val="Text1"/>
        <w:pBdr>
          <w:top w:val="single" w:sz="4" w:space="1" w:color="auto"/>
          <w:left w:val="single" w:sz="4" w:space="4" w:color="auto"/>
          <w:bottom w:val="single" w:sz="4" w:space="1" w:color="auto"/>
          <w:right w:val="single" w:sz="4" w:space="4" w:color="auto"/>
        </w:pBdr>
        <w:rPr>
          <w:noProof/>
        </w:rPr>
      </w:pPr>
      <w:r>
        <w:rPr>
          <w:noProof/>
        </w:rPr>
        <w:t>Humanitaarabimeetmetega sarnaste meetmete järelevalve ja seire puhul tuginetakse ulatuslikule kogemusele, mis on saadud humanitaarabi rahastamisvahendi ja liidu elanikkonnakaitse mehhanismi rakendamisel nii otsese kui ka kaudse eelarve täitmise raames.</w:t>
      </w:r>
    </w:p>
    <w:p>
      <w:pPr>
        <w:pStyle w:val="ManualHeading3"/>
        <w:rPr>
          <w:noProof/>
        </w:rPr>
      </w:pPr>
      <w:r>
        <w:t>2.2.3.</w:t>
      </w:r>
      <w:r>
        <w:tab/>
      </w:r>
      <w:r>
        <w:rPr>
          <w:noProof/>
        </w:rPr>
        <w:t xml:space="preserve">Kontrolliga kaasnevate kulude ja sellest saadava kasu hinnang ning veariski taseme prognoos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Euroopa elanikkonnakaitse ja humanitaarabioperatsioonide peadirektoraadi kontrollistrateegia hinnanguline maksumus moodustab 2018. aasta eelarve kaudsest täitmisest 0,3 % ning 2018. aasta eelarve otsesest täitmisest 0,5 %. See näitaja moodustub peamiselt järgmistest osadest: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 Euroopa elanikkonnakaitse ja humanitaarabioperatsioonide peadirektoraadi asjaomase valdkonna ekspertide ning finants- ja tegevusüksuste personalikulude kogusumma korrutatuna ajaga, mis hinnanguliselt kulub kvaliteedi tagamisele ning kontrolli- ja järelevalvetoimingutele;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 Euroopa elanikkonnakaitse ja humanitaarabioperatsioonide peadirektoraadi välisauditi sektoris audititeks ja kontrollideks ettenähtud vahendite kogusumma.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Võttes arvesse selliste kontrollide väga väikest maksumust ning nendega seotud mõõdetavat (parandused ja sissenõudmised) ja mittemõõdetavat (kontrollide hoiatav ja kvaliteeti tagav mõju) kasu, võib komisjon järeldada, et kontrollidest tulenev mõõdetav ja mittemõõdetav kasu ületab oluliselt nende väikest maksumust.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Mis puudutab eelarve kaudse täitmise raames ELi rahaliste vahendite kasutamiseks volitatud üksusi, siis kannab komisjon kuni 7 % nende otsestest abikõlblikest kuludest, et tagada ELi rahaliste vahendite kasutamise järelevalve ja juhtimine.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Seda kinnitab mitmeaastane jääkvigade määr 0,5 % komisjoni humanitaarabi ja elanikkonnakaitse talitustes 2018. aastal.</w:t>
      </w:r>
    </w:p>
    <w:p>
      <w:pPr>
        <w:pStyle w:val="ManualHeading2"/>
        <w:rPr>
          <w:bCs/>
          <w:noProof/>
          <w:szCs w:val="24"/>
        </w:rPr>
      </w:pPr>
      <w:r>
        <w:t>2.3.</w:t>
      </w:r>
      <w:r>
        <w:tab/>
      </w:r>
      <w:r>
        <w:rPr>
          <w:noProof/>
        </w:rPr>
        <w:t xml:space="preserve">Pettuse ja eeskirjade eiramise ärahoidmise meetmed </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Kooskõlas komisjoni pettustevastase võitluse strateegiaga on Euroopa elanikkonnakaitse ja humanitaarabioperatsioonide peadirektoraadi pettusevastase võitluse strateegia eesmärk tagada muu hulgas järgmist: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 Euroopa elanikkonnakaitse ja humanitaarabioperatsioonide peadirektoraadi pettusevastase võitlusega seotud sisekontrollimeetmed on täielikult kooskõlas komisjoni pettusevastase võitluse strateegiaga;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 Euroopa elanikkonnakaitse ja humanitaarabioperatsioonide peadirektoraadi lähenemisviis pettuseriski juhtimisel on suunatud pettuseriski valdkondade ja asjakohaste meetmete väljaselgitamisele.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ELi rahaliste vahendite kasutamise süsteemidest kolmandates riikides saab asjaomaseid andmeid, mida saab kasutada pettuseriski juhtimiseks (näiteks topeltrahastamise tuvastamiseks).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Vajaduse korral luuakse kõnealuse valdkonnaga seotud pettusejuhtumite analüüsiks võrgustikud ja vajalikud IT-vahendid.</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ETTEPANEKU/ALGATUSE HINNANGULINE FINANTSMÕJU </w:t>
      </w:r>
    </w:p>
    <w:p>
      <w:pPr>
        <w:pStyle w:val="ManualHeading2"/>
        <w:rPr>
          <w:noProof/>
        </w:rPr>
      </w:pPr>
      <w:r>
        <w:t>3.1.</w:t>
      </w:r>
      <w:r>
        <w:tab/>
      </w:r>
      <w:r>
        <w:rPr>
          <w:noProof/>
        </w:rPr>
        <w:t xml:space="preserve">Mitmeaastase finantsraamistiku rubriigid ja kulude eelarveread, millele mõju avaldub </w:t>
      </w:r>
    </w:p>
    <w:p>
      <w:pPr>
        <w:pStyle w:val="ListBullet1"/>
        <w:rPr>
          <w:noProof/>
        </w:rPr>
      </w:pPr>
      <w:r>
        <w:rPr>
          <w:noProof/>
        </w:rPr>
        <w:t xml:space="preserve">Olemasolevad eelarveread </w:t>
      </w:r>
    </w:p>
    <w:p>
      <w:pPr>
        <w:pStyle w:val="Text1"/>
        <w:rPr>
          <w:noProof/>
        </w:rPr>
      </w:pPr>
      <w:r>
        <w:rPr>
          <w:noProof/>
          <w:u w:val="single"/>
        </w:rPr>
        <w:t>Järjestage</w:t>
      </w:r>
      <w:r>
        <w:rPr>
          <w:noProof/>
        </w:rPr>
        <w:t xml:space="preserve"> mitmeaastase finantsraamistiku rubriigiti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93"/>
        <w:gridCol w:w="1411"/>
      </w:tblGrid>
      <w:tr>
        <w:tc>
          <w:tcPr>
            <w:tcW w:w="1080" w:type="dxa"/>
            <w:vMerge w:val="restart"/>
            <w:vAlign w:val="center"/>
          </w:tcPr>
          <w:p>
            <w:pPr>
              <w:spacing w:before="60" w:after="60"/>
              <w:jc w:val="center"/>
              <w:rPr>
                <w:noProof/>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sz w:val="18"/>
                <w:szCs w:val="18"/>
              </w:rPr>
            </w:pPr>
            <w:r>
              <w:rPr>
                <w:noProof/>
                <w:sz w:val="18"/>
                <w:szCs w:val="18"/>
              </w:rPr>
              <w:t>Assigneeringute liik</w:t>
            </w:r>
          </w:p>
        </w:tc>
        <w:tc>
          <w:tcPr>
            <w:tcW w:w="4440"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Nr </w:t>
            </w:r>
            <w:r>
              <w:rPr>
                <w:noProof/>
                <w:sz w:val="22"/>
              </w:rPr>
              <w:br/>
            </w:r>
          </w:p>
        </w:tc>
        <w:tc>
          <w:tcPr>
            <w:tcW w:w="1080" w:type="dxa"/>
            <w:vAlign w:val="center"/>
          </w:tcPr>
          <w:p>
            <w:pPr>
              <w:jc w:val="center"/>
              <w:rPr>
                <w:noProof/>
                <w:sz w:val="16"/>
                <w:szCs w:val="16"/>
              </w:rPr>
            </w:pPr>
            <w:r>
              <w:rPr>
                <w:noProof/>
                <w:sz w:val="16"/>
                <w:szCs w:val="16"/>
              </w:rPr>
              <w:t>Liigen-datud/lii-gendamata</w:t>
            </w:r>
            <w:r>
              <w:rPr>
                <w:rStyle w:val="FootnoteReference"/>
                <w:noProof/>
                <w:sz w:val="16"/>
                <w:szCs w:val="16"/>
              </w:rPr>
              <w:footnoteReference w:id="10"/>
            </w:r>
          </w:p>
        </w:tc>
        <w:tc>
          <w:tcPr>
            <w:tcW w:w="956" w:type="dxa"/>
            <w:vAlign w:val="center"/>
          </w:tcPr>
          <w:p>
            <w:pPr>
              <w:jc w:val="center"/>
              <w:rPr>
                <w:noProof/>
              </w:rPr>
            </w:pPr>
            <w:r>
              <w:rPr>
                <w:noProof/>
                <w:sz w:val="18"/>
                <w:szCs w:val="18"/>
              </w:rPr>
              <w:t>EFTA riigid</w:t>
            </w:r>
            <w:r>
              <w:rPr>
                <w:rStyle w:val="FootnoteReference"/>
                <w:noProof/>
                <w:sz w:val="18"/>
                <w:szCs w:val="18"/>
              </w:rPr>
              <w:footnoteReference w:id="11"/>
            </w:r>
          </w:p>
          <w:p>
            <w:pPr>
              <w:spacing w:before="0" w:after="0"/>
              <w:jc w:val="center"/>
              <w:rPr>
                <w:b/>
                <w:noProof/>
                <w:sz w:val="18"/>
              </w:rPr>
            </w:pPr>
          </w:p>
        </w:tc>
        <w:tc>
          <w:tcPr>
            <w:tcW w:w="1080" w:type="dxa"/>
            <w:vAlign w:val="center"/>
          </w:tcPr>
          <w:p>
            <w:pPr>
              <w:jc w:val="center"/>
              <w:rPr>
                <w:noProof/>
              </w:rPr>
            </w:pPr>
            <w:r>
              <w:rPr>
                <w:noProof/>
                <w:sz w:val="18"/>
                <w:szCs w:val="18"/>
              </w:rPr>
              <w:t>kandidaat-riigid</w:t>
            </w:r>
            <w:r>
              <w:rPr>
                <w:rStyle w:val="FootnoteReference"/>
                <w:noProof/>
                <w:sz w:val="18"/>
                <w:szCs w:val="18"/>
              </w:rPr>
              <w:footnoteReference w:id="12"/>
            </w:r>
          </w:p>
          <w:p>
            <w:pPr>
              <w:spacing w:before="0" w:after="0"/>
              <w:jc w:val="center"/>
              <w:rPr>
                <w:noProof/>
                <w:sz w:val="18"/>
              </w:rPr>
            </w:pPr>
          </w:p>
        </w:tc>
        <w:tc>
          <w:tcPr>
            <w:tcW w:w="993" w:type="dxa"/>
            <w:vAlign w:val="center"/>
          </w:tcPr>
          <w:p>
            <w:pPr>
              <w:jc w:val="center"/>
              <w:rPr>
                <w:noProof/>
                <w:sz w:val="17"/>
                <w:szCs w:val="17"/>
              </w:rPr>
            </w:pPr>
            <w:r>
              <w:rPr>
                <w:noProof/>
                <w:sz w:val="17"/>
                <w:szCs w:val="17"/>
              </w:rPr>
              <w:t>kolmandad riigid</w:t>
            </w:r>
          </w:p>
        </w:tc>
        <w:tc>
          <w:tcPr>
            <w:tcW w:w="1411"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rPr>
            </w:pPr>
            <w:r>
              <w:rPr>
                <w:noProof/>
              </w:rPr>
              <w:t>3</w:t>
            </w:r>
          </w:p>
        </w:tc>
        <w:tc>
          <w:tcPr>
            <w:tcW w:w="3960" w:type="dxa"/>
            <w:vAlign w:val="center"/>
          </w:tcPr>
          <w:p>
            <w:pPr>
              <w:rPr>
                <w:noProof/>
                <w:sz w:val="20"/>
              </w:rPr>
            </w:pPr>
            <w:r>
              <w:rPr>
                <w:noProof/>
                <w:sz w:val="22"/>
              </w:rPr>
              <w:t>18 01 04 05 – Liidus antava erakorralise toetuse toetuskulud</w:t>
            </w:r>
          </w:p>
        </w:tc>
        <w:tc>
          <w:tcPr>
            <w:tcW w:w="1080" w:type="dxa"/>
            <w:vAlign w:val="center"/>
          </w:tcPr>
          <w:p>
            <w:pPr>
              <w:jc w:val="center"/>
              <w:rPr>
                <w:noProof/>
                <w:sz w:val="20"/>
                <w:szCs w:val="20"/>
              </w:rPr>
            </w:pPr>
            <w:r>
              <w:rPr>
                <w:noProof/>
                <w:sz w:val="20"/>
                <w:szCs w:val="20"/>
              </w:rPr>
              <w:t>Liigen-damata</w:t>
            </w:r>
          </w:p>
        </w:tc>
        <w:tc>
          <w:tcPr>
            <w:tcW w:w="956" w:type="dxa"/>
            <w:vAlign w:val="center"/>
          </w:tcPr>
          <w:p>
            <w:pPr>
              <w:jc w:val="center"/>
              <w:rPr>
                <w:noProof/>
                <w:sz w:val="18"/>
              </w:rPr>
            </w:pPr>
            <w:r>
              <w:rPr>
                <w:noProof/>
                <w:sz w:val="18"/>
              </w:rPr>
              <w:t>EI</w:t>
            </w:r>
          </w:p>
        </w:tc>
        <w:tc>
          <w:tcPr>
            <w:tcW w:w="1080" w:type="dxa"/>
            <w:vAlign w:val="center"/>
          </w:tcPr>
          <w:p>
            <w:pPr>
              <w:jc w:val="center"/>
              <w:rPr>
                <w:noProof/>
                <w:sz w:val="18"/>
              </w:rPr>
            </w:pPr>
            <w:r>
              <w:rPr>
                <w:noProof/>
                <w:sz w:val="18"/>
              </w:rPr>
              <w:t>EI</w:t>
            </w:r>
          </w:p>
        </w:tc>
        <w:tc>
          <w:tcPr>
            <w:tcW w:w="993" w:type="dxa"/>
            <w:vAlign w:val="center"/>
          </w:tcPr>
          <w:p>
            <w:pPr>
              <w:jc w:val="center"/>
              <w:rPr>
                <w:noProof/>
                <w:sz w:val="18"/>
              </w:rPr>
            </w:pPr>
            <w:r>
              <w:rPr>
                <w:noProof/>
                <w:sz w:val="18"/>
              </w:rPr>
              <w:t>EI</w:t>
            </w:r>
          </w:p>
        </w:tc>
        <w:tc>
          <w:tcPr>
            <w:tcW w:w="1411" w:type="dxa"/>
            <w:vAlign w:val="center"/>
          </w:tcPr>
          <w:p>
            <w:pPr>
              <w:jc w:val="center"/>
              <w:rPr>
                <w:noProof/>
                <w:sz w:val="16"/>
              </w:rPr>
            </w:pPr>
            <w:r>
              <w:rPr>
                <w:noProof/>
                <w:sz w:val="16"/>
              </w:rPr>
              <w:t>EI</w:t>
            </w:r>
          </w:p>
        </w:tc>
      </w:tr>
      <w:tr>
        <w:tc>
          <w:tcPr>
            <w:tcW w:w="1080" w:type="dxa"/>
            <w:vAlign w:val="center"/>
          </w:tcPr>
          <w:p>
            <w:pPr>
              <w:jc w:val="center"/>
              <w:rPr>
                <w:noProof/>
              </w:rPr>
            </w:pPr>
            <w:r>
              <w:rPr>
                <w:noProof/>
              </w:rPr>
              <w:t>3</w:t>
            </w:r>
          </w:p>
        </w:tc>
        <w:tc>
          <w:tcPr>
            <w:tcW w:w="3960" w:type="dxa"/>
            <w:vAlign w:val="center"/>
          </w:tcPr>
          <w:p>
            <w:pPr>
              <w:spacing w:after="60"/>
              <w:rPr>
                <w:noProof/>
              </w:rPr>
            </w:pPr>
            <w:r>
              <w:rPr>
                <w:noProof/>
                <w:sz w:val="22"/>
              </w:rPr>
              <w:t xml:space="preserve">18 07 01 – Liidus antava erakorralise toetuse vahend </w:t>
            </w:r>
          </w:p>
        </w:tc>
        <w:tc>
          <w:tcPr>
            <w:tcW w:w="1080" w:type="dxa"/>
            <w:vAlign w:val="center"/>
          </w:tcPr>
          <w:p>
            <w:pPr>
              <w:jc w:val="center"/>
              <w:rPr>
                <w:noProof/>
                <w:color w:val="0000FF"/>
                <w:sz w:val="20"/>
                <w:szCs w:val="20"/>
              </w:rPr>
            </w:pPr>
            <w:r>
              <w:rPr>
                <w:noProof/>
                <w:sz w:val="20"/>
                <w:szCs w:val="20"/>
              </w:rPr>
              <w:t>Liigen-datud</w:t>
            </w:r>
          </w:p>
        </w:tc>
        <w:tc>
          <w:tcPr>
            <w:tcW w:w="956" w:type="dxa"/>
            <w:vAlign w:val="center"/>
          </w:tcPr>
          <w:p>
            <w:pPr>
              <w:jc w:val="center"/>
              <w:rPr>
                <w:noProof/>
                <w:sz w:val="20"/>
                <w:szCs w:val="20"/>
              </w:rPr>
            </w:pPr>
            <w:r>
              <w:rPr>
                <w:noProof/>
                <w:sz w:val="20"/>
                <w:szCs w:val="20"/>
              </w:rPr>
              <w:t>EI</w:t>
            </w:r>
          </w:p>
        </w:tc>
        <w:tc>
          <w:tcPr>
            <w:tcW w:w="1080" w:type="dxa"/>
            <w:vAlign w:val="center"/>
          </w:tcPr>
          <w:p>
            <w:pPr>
              <w:jc w:val="center"/>
              <w:rPr>
                <w:noProof/>
                <w:sz w:val="20"/>
                <w:szCs w:val="20"/>
              </w:rPr>
            </w:pPr>
            <w:r>
              <w:rPr>
                <w:noProof/>
                <w:sz w:val="20"/>
                <w:szCs w:val="20"/>
              </w:rPr>
              <w:t>EI</w:t>
            </w:r>
          </w:p>
        </w:tc>
        <w:tc>
          <w:tcPr>
            <w:tcW w:w="993" w:type="dxa"/>
            <w:vAlign w:val="center"/>
          </w:tcPr>
          <w:p>
            <w:pPr>
              <w:jc w:val="center"/>
              <w:rPr>
                <w:noProof/>
                <w:sz w:val="20"/>
                <w:szCs w:val="20"/>
              </w:rPr>
            </w:pPr>
            <w:r>
              <w:rPr>
                <w:noProof/>
                <w:sz w:val="20"/>
                <w:szCs w:val="20"/>
              </w:rPr>
              <w:t>EI</w:t>
            </w:r>
          </w:p>
        </w:tc>
        <w:tc>
          <w:tcPr>
            <w:tcW w:w="1411" w:type="dxa"/>
            <w:vAlign w:val="center"/>
          </w:tcPr>
          <w:p>
            <w:pPr>
              <w:jc w:val="center"/>
              <w:rPr>
                <w:noProof/>
                <w:sz w:val="20"/>
                <w:szCs w:val="20"/>
              </w:rPr>
            </w:pPr>
            <w:r>
              <w:rPr>
                <w:noProof/>
                <w:sz w:val="20"/>
                <w:szCs w:val="20"/>
              </w:rPr>
              <w:t>EI</w:t>
            </w:r>
          </w:p>
        </w:tc>
      </w:tr>
    </w:tbl>
    <w:p>
      <w:pPr>
        <w:pStyle w:val="ListBullet1"/>
        <w:rPr>
          <w:noProof/>
        </w:rPr>
      </w:pPr>
      <w:r>
        <w:rPr>
          <w:noProof/>
        </w:rPr>
        <w:t xml:space="preserve">Uute eelarveridade loomist </w:t>
      </w:r>
      <w:r>
        <w:rPr>
          <w:noProof/>
          <w:u w:val="single"/>
        </w:rPr>
        <w:t>ei</w:t>
      </w:r>
      <w:r>
        <w:rPr>
          <w:noProof/>
        </w:rPr>
        <w:t xml:space="preserve"> taotleta. </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Hinnanguline mõju kuludele </w:t>
      </w:r>
    </w:p>
    <w:p>
      <w:pPr>
        <w:pStyle w:val="ManualHeading3"/>
        <w:rPr>
          <w:noProof/>
          <w:u w:val="single"/>
        </w:rPr>
      </w:pPr>
      <w:r>
        <w:t>3.2.1.</w:t>
      </w:r>
      <w:r>
        <w:tab/>
      </w:r>
      <w:r>
        <w:rPr>
          <w:noProof/>
        </w:rPr>
        <w:t xml:space="preserve">Hinnanguline mõju kuludele – ülevaade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Mitmeaastase finantsraamistiku rubriik </w:t>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3</w:t>
            </w:r>
          </w:p>
        </w:tc>
        <w:tc>
          <w:tcPr>
            <w:tcW w:w="7817" w:type="dxa"/>
            <w:vAlign w:val="center"/>
          </w:tcPr>
          <w:p>
            <w:pPr>
              <w:spacing w:before="60" w:after="60"/>
              <w:rPr>
                <w:noProof/>
                <w:sz w:val="22"/>
              </w:rPr>
            </w:pPr>
            <w:r>
              <w:rPr>
                <w:noProof/>
              </w:rPr>
              <w:t>Julgeolek ja kodakondsus</w:t>
            </w:r>
          </w:p>
        </w:tc>
      </w:tr>
    </w:tbl>
    <w:p>
      <w:pPr>
        <w:rPr>
          <w:noProof/>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7"/>
        <w:gridCol w:w="587"/>
        <w:gridCol w:w="1386"/>
        <w:gridCol w:w="1320"/>
        <w:gridCol w:w="1200"/>
        <w:gridCol w:w="1200"/>
        <w:gridCol w:w="1507"/>
      </w:tblGrid>
      <w:tr>
        <w:trPr>
          <w:jc w:val="center"/>
        </w:trPr>
        <w:tc>
          <w:tcPr>
            <w:tcW w:w="6054" w:type="dxa"/>
            <w:gridSpan w:val="3"/>
            <w:vAlign w:val="center"/>
          </w:tcPr>
          <w:p>
            <w:pPr>
              <w:jc w:val="center"/>
              <w:rPr>
                <w:noProof/>
                <w:sz w:val="20"/>
              </w:rPr>
            </w:pPr>
            <w:r>
              <w:rPr>
                <w:noProof/>
                <w:sz w:val="22"/>
              </w:rPr>
              <w:t>Euroopa elanikkonnakaitse ja humanitaarabioperatsioonide peadirektoraat</w:t>
            </w:r>
          </w:p>
        </w:tc>
        <w:tc>
          <w:tcPr>
            <w:tcW w:w="1386" w:type="dxa"/>
            <w:vAlign w:val="center"/>
          </w:tcPr>
          <w:p>
            <w:pPr>
              <w:jc w:val="center"/>
              <w:rPr>
                <w:noProof/>
                <w:sz w:val="20"/>
              </w:rPr>
            </w:pPr>
            <w:r>
              <w:rPr>
                <w:noProof/>
                <w:sz w:val="20"/>
              </w:rPr>
              <w:t>Aasta</w:t>
            </w:r>
            <w:r>
              <w:rPr>
                <w:noProof/>
                <w:sz w:val="22"/>
              </w:rPr>
              <w:br/>
            </w:r>
            <w:r>
              <w:rPr>
                <w:b/>
                <w:noProof/>
                <w:sz w:val="20"/>
              </w:rPr>
              <w:t>2020</w:t>
            </w:r>
          </w:p>
        </w:tc>
        <w:tc>
          <w:tcPr>
            <w:tcW w:w="1320" w:type="dxa"/>
            <w:vAlign w:val="center"/>
          </w:tcPr>
          <w:p>
            <w:pPr>
              <w:jc w:val="center"/>
              <w:rPr>
                <w:noProof/>
                <w:sz w:val="20"/>
              </w:rPr>
            </w:pPr>
            <w:r>
              <w:rPr>
                <w:noProof/>
                <w:sz w:val="20"/>
              </w:rPr>
              <w:t>Aasta</w:t>
            </w:r>
            <w:r>
              <w:rPr>
                <w:noProof/>
                <w:sz w:val="22"/>
              </w:rPr>
              <w:br/>
            </w:r>
            <w:r>
              <w:rPr>
                <w:b/>
                <w:noProof/>
                <w:sz w:val="20"/>
              </w:rPr>
              <w:t>2021</w:t>
            </w:r>
          </w:p>
        </w:tc>
        <w:tc>
          <w:tcPr>
            <w:tcW w:w="1200" w:type="dxa"/>
            <w:vAlign w:val="center"/>
          </w:tcPr>
          <w:p>
            <w:pPr>
              <w:jc w:val="center"/>
              <w:rPr>
                <w:noProof/>
                <w:sz w:val="20"/>
              </w:rPr>
            </w:pPr>
            <w:r>
              <w:rPr>
                <w:noProof/>
                <w:sz w:val="20"/>
              </w:rPr>
              <w:t>Aasta</w:t>
            </w:r>
            <w:r>
              <w:rPr>
                <w:noProof/>
                <w:sz w:val="22"/>
              </w:rPr>
              <w:br/>
            </w:r>
            <w:r>
              <w:rPr>
                <w:b/>
                <w:noProof/>
                <w:sz w:val="20"/>
              </w:rPr>
              <w:t>2022</w:t>
            </w:r>
          </w:p>
        </w:tc>
        <w:tc>
          <w:tcPr>
            <w:tcW w:w="1200" w:type="dxa"/>
            <w:vAlign w:val="center"/>
          </w:tcPr>
          <w:p>
            <w:pPr>
              <w:jc w:val="center"/>
              <w:rPr>
                <w:noProof/>
                <w:sz w:val="20"/>
              </w:rPr>
            </w:pPr>
            <w:r>
              <w:rPr>
                <w:noProof/>
                <w:sz w:val="20"/>
              </w:rPr>
              <w:t>Aasta</w:t>
            </w:r>
            <w:r>
              <w:rPr>
                <w:noProof/>
                <w:sz w:val="22"/>
              </w:rPr>
              <w:br/>
            </w:r>
            <w:r>
              <w:rPr>
                <w:b/>
                <w:noProof/>
                <w:sz w:val="20"/>
              </w:rPr>
              <w:t>2023</w:t>
            </w:r>
          </w:p>
        </w:tc>
        <w:tc>
          <w:tcPr>
            <w:tcW w:w="1507" w:type="dxa"/>
            <w:vAlign w:val="center"/>
          </w:tcPr>
          <w:p>
            <w:pPr>
              <w:jc w:val="center"/>
              <w:rPr>
                <w:b/>
                <w:noProof/>
                <w:sz w:val="20"/>
              </w:rPr>
            </w:pPr>
            <w:r>
              <w:rPr>
                <w:b/>
                <w:noProof/>
                <w:sz w:val="20"/>
              </w:rPr>
              <w:t>KOKKU</w:t>
            </w:r>
          </w:p>
        </w:tc>
      </w:tr>
      <w:tr>
        <w:trPr>
          <w:trHeight w:val="213"/>
          <w:jc w:val="center"/>
        </w:trPr>
        <w:tc>
          <w:tcPr>
            <w:tcW w:w="6054" w:type="dxa"/>
            <w:gridSpan w:val="3"/>
            <w:vAlign w:val="center"/>
          </w:tcPr>
          <w:p>
            <w:pPr>
              <w:spacing w:before="20" w:after="20"/>
              <w:rPr>
                <w:noProof/>
                <w:sz w:val="21"/>
              </w:rPr>
            </w:pPr>
            <w:r>
              <w:rPr>
                <w:noProof/>
                <w:sz w:val="21"/>
              </w:rPr>
              <w:sym w:font="Wingdings" w:char="F09F"/>
            </w:r>
            <w:r>
              <w:rPr>
                <w:noProof/>
              </w:rPr>
              <w:t xml:space="preserve"> Tegevusassigneeringud</w:t>
            </w:r>
            <w:r>
              <w:rPr>
                <w:noProof/>
                <w:sz w:val="21"/>
              </w:rPr>
              <w:t xml:space="preserve"> </w:t>
            </w:r>
          </w:p>
        </w:tc>
        <w:tc>
          <w:tcPr>
            <w:tcW w:w="1386" w:type="dxa"/>
            <w:vAlign w:val="center"/>
          </w:tcPr>
          <w:p>
            <w:pPr>
              <w:rPr>
                <w:noProof/>
                <w:sz w:val="20"/>
              </w:rPr>
            </w:pPr>
          </w:p>
        </w:tc>
        <w:tc>
          <w:tcPr>
            <w:tcW w:w="1320" w:type="dxa"/>
            <w:vAlign w:val="center"/>
          </w:tcPr>
          <w:p>
            <w:pPr>
              <w:rPr>
                <w:noProof/>
                <w:sz w:val="20"/>
              </w:rPr>
            </w:pPr>
          </w:p>
        </w:tc>
        <w:tc>
          <w:tcPr>
            <w:tcW w:w="1200" w:type="dxa"/>
            <w:vAlign w:val="center"/>
          </w:tcPr>
          <w:p>
            <w:pPr>
              <w:rPr>
                <w:noProof/>
                <w:sz w:val="20"/>
              </w:rPr>
            </w:pPr>
          </w:p>
        </w:tc>
        <w:tc>
          <w:tcPr>
            <w:tcW w:w="1200" w:type="dxa"/>
            <w:vAlign w:val="center"/>
          </w:tcPr>
          <w:p>
            <w:pPr>
              <w:rPr>
                <w:noProof/>
                <w:sz w:val="20"/>
              </w:rPr>
            </w:pPr>
          </w:p>
        </w:tc>
        <w:tc>
          <w:tcPr>
            <w:tcW w:w="1507" w:type="dxa"/>
            <w:vAlign w:val="center"/>
          </w:tcPr>
          <w:p>
            <w:pPr>
              <w:rPr>
                <w:b/>
                <w:noProof/>
                <w:sz w:val="20"/>
              </w:rPr>
            </w:pPr>
          </w:p>
        </w:tc>
      </w:tr>
      <w:tr>
        <w:trPr>
          <w:trHeight w:val="277"/>
          <w:jc w:val="center"/>
        </w:trPr>
        <w:tc>
          <w:tcPr>
            <w:tcW w:w="3960" w:type="dxa"/>
            <w:vMerge w:val="restart"/>
            <w:vAlign w:val="center"/>
          </w:tcPr>
          <w:p>
            <w:pPr>
              <w:rPr>
                <w:noProof/>
                <w:sz w:val="22"/>
              </w:rPr>
            </w:pPr>
            <w:r>
              <w:rPr>
                <w:noProof/>
                <w:sz w:val="20"/>
              </w:rPr>
              <w:t>18 07 01</w:t>
            </w:r>
          </w:p>
        </w:tc>
        <w:tc>
          <w:tcPr>
            <w:tcW w:w="1507" w:type="dxa"/>
            <w:vAlign w:val="center"/>
          </w:tcPr>
          <w:p>
            <w:pPr>
              <w:spacing w:before="20" w:after="20"/>
              <w:rPr>
                <w:noProof/>
                <w:sz w:val="18"/>
              </w:rPr>
            </w:pPr>
            <w:r>
              <w:rPr>
                <w:noProof/>
                <w:sz w:val="18"/>
              </w:rPr>
              <w:t>Kulukohustused</w:t>
            </w:r>
          </w:p>
        </w:tc>
        <w:tc>
          <w:tcPr>
            <w:tcW w:w="587" w:type="dxa"/>
            <w:vAlign w:val="center"/>
          </w:tcPr>
          <w:p>
            <w:pPr>
              <w:spacing w:before="20" w:after="20"/>
              <w:jc w:val="center"/>
              <w:rPr>
                <w:noProof/>
                <w:sz w:val="14"/>
              </w:rPr>
            </w:pPr>
            <w:r>
              <w:rPr>
                <w:noProof/>
                <w:sz w:val="14"/>
              </w:rPr>
              <w:t>(1)</w:t>
            </w:r>
          </w:p>
        </w:tc>
        <w:tc>
          <w:tcPr>
            <w:tcW w:w="1386" w:type="dxa"/>
            <w:vAlign w:val="center"/>
          </w:tcPr>
          <w:p>
            <w:pPr>
              <w:spacing w:before="20" w:after="20"/>
              <w:jc w:val="right"/>
              <w:rPr>
                <w:noProof/>
                <w:sz w:val="20"/>
              </w:rPr>
            </w:pPr>
            <w:r>
              <w:rPr>
                <w:noProof/>
                <w:sz w:val="20"/>
              </w:rPr>
              <w:t>2 646,000</w:t>
            </w:r>
          </w:p>
        </w:tc>
        <w:tc>
          <w:tcPr>
            <w:tcW w:w="1320" w:type="dxa"/>
            <w:vAlign w:val="center"/>
          </w:tcPr>
          <w:p>
            <w:pPr>
              <w:spacing w:before="20" w:after="20"/>
              <w:jc w:val="right"/>
              <w:rPr>
                <w:noProof/>
                <w:sz w:val="20"/>
              </w:rPr>
            </w:pPr>
            <w:r>
              <w:rPr>
                <w:noProof/>
                <w:sz w:val="20"/>
              </w:rPr>
              <w:t>-</w:t>
            </w:r>
          </w:p>
        </w:tc>
        <w:tc>
          <w:tcPr>
            <w:tcW w:w="1200" w:type="dxa"/>
            <w:vAlign w:val="center"/>
          </w:tcPr>
          <w:p>
            <w:pPr>
              <w:spacing w:before="20" w:after="20"/>
              <w:jc w:val="right"/>
              <w:rPr>
                <w:noProof/>
                <w:sz w:val="20"/>
              </w:rPr>
            </w:pPr>
            <w:r>
              <w:rPr>
                <w:noProof/>
                <w:sz w:val="20"/>
              </w:rPr>
              <w:t>-</w:t>
            </w:r>
          </w:p>
        </w:tc>
        <w:tc>
          <w:tcPr>
            <w:tcW w:w="1200" w:type="dxa"/>
            <w:vAlign w:val="center"/>
          </w:tcPr>
          <w:p>
            <w:pPr>
              <w:spacing w:before="20" w:after="20"/>
              <w:jc w:val="right"/>
              <w:rPr>
                <w:noProof/>
                <w:sz w:val="20"/>
              </w:rPr>
            </w:pPr>
            <w:r>
              <w:rPr>
                <w:noProof/>
                <w:sz w:val="20"/>
              </w:rPr>
              <w:t>-</w:t>
            </w:r>
          </w:p>
        </w:tc>
        <w:tc>
          <w:tcPr>
            <w:tcW w:w="1507" w:type="dxa"/>
            <w:vAlign w:val="center"/>
          </w:tcPr>
          <w:p>
            <w:pPr>
              <w:spacing w:before="20" w:after="20"/>
              <w:jc w:val="right"/>
              <w:rPr>
                <w:b/>
                <w:noProof/>
                <w:sz w:val="20"/>
              </w:rPr>
            </w:pPr>
            <w:r>
              <w:rPr>
                <w:b/>
                <w:noProof/>
                <w:sz w:val="20"/>
              </w:rPr>
              <w:t>2 646,000</w:t>
            </w:r>
          </w:p>
        </w:tc>
      </w:tr>
      <w:tr>
        <w:trPr>
          <w:jc w:val="center"/>
        </w:trPr>
        <w:tc>
          <w:tcPr>
            <w:tcW w:w="3960" w:type="dxa"/>
            <w:vMerge/>
          </w:tcPr>
          <w:p>
            <w:pPr>
              <w:jc w:val="center"/>
              <w:rPr>
                <w:noProof/>
                <w:sz w:val="20"/>
              </w:rPr>
            </w:pPr>
          </w:p>
        </w:tc>
        <w:tc>
          <w:tcPr>
            <w:tcW w:w="1507" w:type="dxa"/>
            <w:vAlign w:val="center"/>
          </w:tcPr>
          <w:p>
            <w:pPr>
              <w:spacing w:before="20" w:after="20"/>
              <w:rPr>
                <w:noProof/>
                <w:sz w:val="18"/>
              </w:rPr>
            </w:pPr>
            <w:r>
              <w:rPr>
                <w:noProof/>
                <w:sz w:val="18"/>
              </w:rPr>
              <w:t>Maksed</w:t>
            </w:r>
          </w:p>
        </w:tc>
        <w:tc>
          <w:tcPr>
            <w:tcW w:w="587" w:type="dxa"/>
            <w:vAlign w:val="center"/>
          </w:tcPr>
          <w:p>
            <w:pPr>
              <w:spacing w:before="20" w:after="20"/>
              <w:jc w:val="center"/>
              <w:rPr>
                <w:noProof/>
                <w:sz w:val="14"/>
              </w:rPr>
            </w:pPr>
            <w:r>
              <w:rPr>
                <w:noProof/>
                <w:sz w:val="14"/>
              </w:rPr>
              <w:t>(2)</w:t>
            </w:r>
          </w:p>
        </w:tc>
        <w:tc>
          <w:tcPr>
            <w:tcW w:w="1386" w:type="dxa"/>
            <w:vAlign w:val="center"/>
          </w:tcPr>
          <w:p>
            <w:pPr>
              <w:spacing w:before="20" w:after="20"/>
              <w:jc w:val="right"/>
              <w:rPr>
                <w:noProof/>
                <w:sz w:val="20"/>
              </w:rPr>
            </w:pPr>
            <w:r>
              <w:rPr>
                <w:noProof/>
                <w:sz w:val="20"/>
                <w:szCs w:val="20"/>
              </w:rPr>
              <w:t>1 326,000</w:t>
            </w:r>
          </w:p>
        </w:tc>
        <w:tc>
          <w:tcPr>
            <w:tcW w:w="1320" w:type="dxa"/>
            <w:vAlign w:val="center"/>
          </w:tcPr>
          <w:p>
            <w:pPr>
              <w:spacing w:before="20" w:after="20"/>
              <w:jc w:val="right"/>
              <w:rPr>
                <w:noProof/>
                <w:sz w:val="20"/>
              </w:rPr>
            </w:pPr>
            <w:r>
              <w:rPr>
                <w:noProof/>
                <w:sz w:val="20"/>
                <w:szCs w:val="20"/>
              </w:rPr>
              <w:t>790,000</w:t>
            </w:r>
          </w:p>
        </w:tc>
        <w:tc>
          <w:tcPr>
            <w:tcW w:w="1200" w:type="dxa"/>
            <w:vAlign w:val="center"/>
          </w:tcPr>
          <w:p>
            <w:pPr>
              <w:spacing w:before="20" w:after="20"/>
              <w:jc w:val="right"/>
              <w:rPr>
                <w:noProof/>
                <w:sz w:val="20"/>
              </w:rPr>
            </w:pPr>
            <w:r>
              <w:rPr>
                <w:noProof/>
                <w:sz w:val="20"/>
                <w:szCs w:val="20"/>
              </w:rPr>
              <w:t>265,000</w:t>
            </w:r>
          </w:p>
        </w:tc>
        <w:tc>
          <w:tcPr>
            <w:tcW w:w="1200" w:type="dxa"/>
            <w:vAlign w:val="center"/>
          </w:tcPr>
          <w:p>
            <w:pPr>
              <w:spacing w:before="20" w:after="20"/>
              <w:jc w:val="right"/>
              <w:rPr>
                <w:noProof/>
                <w:sz w:val="20"/>
              </w:rPr>
            </w:pPr>
            <w:r>
              <w:rPr>
                <w:noProof/>
                <w:sz w:val="20"/>
                <w:szCs w:val="20"/>
              </w:rPr>
              <w:t>265,000</w:t>
            </w:r>
          </w:p>
        </w:tc>
        <w:tc>
          <w:tcPr>
            <w:tcW w:w="1507" w:type="dxa"/>
            <w:vAlign w:val="center"/>
          </w:tcPr>
          <w:p>
            <w:pPr>
              <w:spacing w:before="20" w:after="20"/>
              <w:jc w:val="right"/>
              <w:rPr>
                <w:b/>
                <w:noProof/>
                <w:sz w:val="20"/>
              </w:rPr>
            </w:pPr>
            <w:r>
              <w:rPr>
                <w:b/>
                <w:noProof/>
                <w:sz w:val="20"/>
              </w:rPr>
              <w:t>2 646,000</w:t>
            </w:r>
          </w:p>
        </w:tc>
      </w:tr>
      <w:tr>
        <w:trPr>
          <w:trHeight w:val="231"/>
          <w:jc w:val="center"/>
        </w:trPr>
        <w:tc>
          <w:tcPr>
            <w:tcW w:w="6054" w:type="dxa"/>
            <w:gridSpan w:val="3"/>
            <w:vAlign w:val="center"/>
          </w:tcPr>
          <w:p>
            <w:pPr>
              <w:spacing w:before="20" w:after="20"/>
              <w:rPr>
                <w:noProof/>
                <w:sz w:val="22"/>
              </w:rPr>
            </w:pPr>
            <w:r>
              <w:rPr>
                <w:noProof/>
                <w:sz w:val="21"/>
              </w:rPr>
              <w:t>Eriprogrammide vahenditest rahastatavad haldusassigneeringud</w:t>
            </w:r>
            <w:r>
              <w:rPr>
                <w:rStyle w:val="FootnoteReference"/>
                <w:noProof/>
                <w:sz w:val="21"/>
              </w:rPr>
              <w:footnoteReference w:id="13"/>
            </w:r>
            <w:r>
              <w:rPr>
                <w:noProof/>
                <w:sz w:val="21"/>
              </w:rPr>
              <w:t xml:space="preserve"> </w:t>
            </w:r>
          </w:p>
          <w:p>
            <w:pPr>
              <w:spacing w:before="0" w:after="0"/>
              <w:rPr>
                <w:noProof/>
                <w:sz w:val="22"/>
              </w:rPr>
            </w:pPr>
          </w:p>
        </w:tc>
        <w:tc>
          <w:tcPr>
            <w:tcW w:w="1386" w:type="dxa"/>
            <w:vAlign w:val="center"/>
          </w:tcPr>
          <w:p>
            <w:pPr>
              <w:rPr>
                <w:b/>
                <w:noProof/>
                <w:sz w:val="20"/>
              </w:rPr>
            </w:pPr>
          </w:p>
        </w:tc>
        <w:tc>
          <w:tcPr>
            <w:tcW w:w="1320" w:type="dxa"/>
            <w:vAlign w:val="center"/>
          </w:tcPr>
          <w:p>
            <w:pPr>
              <w:rPr>
                <w:b/>
                <w:noProof/>
                <w:sz w:val="20"/>
              </w:rPr>
            </w:pPr>
          </w:p>
        </w:tc>
        <w:tc>
          <w:tcPr>
            <w:tcW w:w="1200" w:type="dxa"/>
            <w:vAlign w:val="center"/>
          </w:tcPr>
          <w:p>
            <w:pPr>
              <w:rPr>
                <w:b/>
                <w:noProof/>
                <w:sz w:val="20"/>
              </w:rPr>
            </w:pPr>
          </w:p>
        </w:tc>
        <w:tc>
          <w:tcPr>
            <w:tcW w:w="1200" w:type="dxa"/>
            <w:vAlign w:val="center"/>
          </w:tcPr>
          <w:p>
            <w:pPr>
              <w:rPr>
                <w:b/>
                <w:noProof/>
                <w:sz w:val="20"/>
              </w:rPr>
            </w:pPr>
          </w:p>
        </w:tc>
        <w:tc>
          <w:tcPr>
            <w:tcW w:w="1507" w:type="dxa"/>
            <w:vAlign w:val="center"/>
          </w:tcPr>
          <w:p>
            <w:pPr>
              <w:rPr>
                <w:b/>
                <w:noProof/>
                <w:sz w:val="20"/>
              </w:rPr>
            </w:pPr>
          </w:p>
        </w:tc>
      </w:tr>
      <w:tr>
        <w:trPr>
          <w:trHeight w:val="319"/>
          <w:jc w:val="center"/>
        </w:trPr>
        <w:tc>
          <w:tcPr>
            <w:tcW w:w="3960" w:type="dxa"/>
            <w:vAlign w:val="center"/>
          </w:tcPr>
          <w:p>
            <w:pPr>
              <w:spacing w:before="60" w:after="60"/>
              <w:rPr>
                <w:noProof/>
                <w:sz w:val="22"/>
              </w:rPr>
            </w:pPr>
            <w:r>
              <w:rPr>
                <w:noProof/>
                <w:sz w:val="20"/>
              </w:rPr>
              <w:t>18 01 04 05</w:t>
            </w:r>
          </w:p>
        </w:tc>
        <w:tc>
          <w:tcPr>
            <w:tcW w:w="1507" w:type="dxa"/>
            <w:vAlign w:val="center"/>
          </w:tcPr>
          <w:p>
            <w:pPr>
              <w:spacing w:before="40" w:after="40"/>
              <w:jc w:val="right"/>
              <w:rPr>
                <w:noProof/>
                <w:sz w:val="18"/>
              </w:rPr>
            </w:pPr>
          </w:p>
        </w:tc>
        <w:tc>
          <w:tcPr>
            <w:tcW w:w="587" w:type="dxa"/>
            <w:vAlign w:val="center"/>
          </w:tcPr>
          <w:p>
            <w:pPr>
              <w:spacing w:before="40" w:after="40"/>
              <w:jc w:val="center"/>
              <w:rPr>
                <w:noProof/>
                <w:sz w:val="14"/>
              </w:rPr>
            </w:pPr>
            <w:r>
              <w:rPr>
                <w:noProof/>
                <w:sz w:val="14"/>
              </w:rPr>
              <w:t>(3)</w:t>
            </w:r>
          </w:p>
        </w:tc>
        <w:tc>
          <w:tcPr>
            <w:tcW w:w="1386" w:type="dxa"/>
            <w:vAlign w:val="center"/>
          </w:tcPr>
          <w:p>
            <w:pPr>
              <w:spacing w:before="40" w:after="40"/>
              <w:jc w:val="right"/>
              <w:rPr>
                <w:b/>
                <w:noProof/>
                <w:sz w:val="20"/>
              </w:rPr>
            </w:pPr>
            <w:r>
              <w:rPr>
                <w:noProof/>
                <w:sz w:val="20"/>
              </w:rPr>
              <w:t>54,000</w:t>
            </w:r>
          </w:p>
        </w:tc>
        <w:tc>
          <w:tcPr>
            <w:tcW w:w="1320" w:type="dxa"/>
            <w:vAlign w:val="center"/>
          </w:tcPr>
          <w:p>
            <w:pPr>
              <w:spacing w:before="40" w:after="40"/>
              <w:jc w:val="right"/>
              <w:rPr>
                <w:b/>
                <w:noProof/>
                <w:sz w:val="20"/>
              </w:rPr>
            </w:pPr>
            <w:r>
              <w:rPr>
                <w:noProof/>
                <w:sz w:val="20"/>
              </w:rPr>
              <w:t>-</w:t>
            </w:r>
          </w:p>
        </w:tc>
        <w:tc>
          <w:tcPr>
            <w:tcW w:w="1200" w:type="dxa"/>
            <w:vAlign w:val="center"/>
          </w:tcPr>
          <w:p>
            <w:pPr>
              <w:spacing w:before="40" w:after="40"/>
              <w:jc w:val="right"/>
              <w:rPr>
                <w:b/>
                <w:noProof/>
                <w:sz w:val="20"/>
              </w:rPr>
            </w:pPr>
            <w:r>
              <w:rPr>
                <w:b/>
                <w:noProof/>
                <w:sz w:val="20"/>
              </w:rPr>
              <w:t>-</w:t>
            </w:r>
          </w:p>
        </w:tc>
        <w:tc>
          <w:tcPr>
            <w:tcW w:w="1200" w:type="dxa"/>
            <w:vAlign w:val="center"/>
          </w:tcPr>
          <w:p>
            <w:pPr>
              <w:spacing w:before="40" w:after="40"/>
              <w:jc w:val="right"/>
              <w:rPr>
                <w:b/>
                <w:noProof/>
                <w:sz w:val="20"/>
              </w:rPr>
            </w:pPr>
            <w:r>
              <w:rPr>
                <w:b/>
                <w:noProof/>
                <w:sz w:val="20"/>
              </w:rPr>
              <w:t>-</w:t>
            </w:r>
          </w:p>
        </w:tc>
        <w:tc>
          <w:tcPr>
            <w:tcW w:w="1507" w:type="dxa"/>
            <w:vAlign w:val="center"/>
          </w:tcPr>
          <w:p>
            <w:pPr>
              <w:spacing w:before="40" w:after="40"/>
              <w:jc w:val="right"/>
              <w:rPr>
                <w:b/>
                <w:noProof/>
                <w:sz w:val="20"/>
              </w:rPr>
            </w:pPr>
            <w:r>
              <w:rPr>
                <w:b/>
                <w:noProof/>
                <w:sz w:val="20"/>
              </w:rPr>
              <w:t>54,000</w:t>
            </w:r>
          </w:p>
        </w:tc>
      </w:tr>
      <w:tr>
        <w:trPr>
          <w:jc w:val="center"/>
        </w:trPr>
        <w:tc>
          <w:tcPr>
            <w:tcW w:w="3960" w:type="dxa"/>
            <w:vMerge w:val="restart"/>
            <w:vAlign w:val="center"/>
          </w:tcPr>
          <w:p>
            <w:pPr>
              <w:jc w:val="center"/>
              <w:rPr>
                <w:b/>
                <w:noProof/>
                <w:sz w:val="22"/>
              </w:rPr>
            </w:pPr>
            <w:r>
              <w:rPr>
                <w:b/>
                <w:bCs/>
                <w:noProof/>
                <w:sz w:val="22"/>
              </w:rPr>
              <w:t>Euroopa elanikkonnakaitse ja humanitaarabioperatsioonide peadirektoraadi assigneeringud KOKKU</w:t>
            </w:r>
          </w:p>
        </w:tc>
        <w:tc>
          <w:tcPr>
            <w:tcW w:w="1507" w:type="dxa"/>
            <w:vAlign w:val="center"/>
          </w:tcPr>
          <w:p>
            <w:pPr>
              <w:rPr>
                <w:noProof/>
                <w:sz w:val="18"/>
              </w:rPr>
            </w:pPr>
            <w:r>
              <w:rPr>
                <w:noProof/>
                <w:sz w:val="18"/>
              </w:rPr>
              <w:t>Kulukohustused</w:t>
            </w:r>
          </w:p>
        </w:tc>
        <w:tc>
          <w:tcPr>
            <w:tcW w:w="587" w:type="dxa"/>
            <w:vAlign w:val="center"/>
          </w:tcPr>
          <w:p>
            <w:pPr>
              <w:jc w:val="center"/>
              <w:rPr>
                <w:noProof/>
                <w:sz w:val="14"/>
              </w:rPr>
            </w:pPr>
            <w:r>
              <w:rPr>
                <w:noProof/>
                <w:sz w:val="14"/>
              </w:rPr>
              <w:t>=1+1 a +3</w:t>
            </w:r>
          </w:p>
        </w:tc>
        <w:tc>
          <w:tcPr>
            <w:tcW w:w="1386" w:type="dxa"/>
            <w:vAlign w:val="center"/>
          </w:tcPr>
          <w:p>
            <w:pPr>
              <w:spacing w:before="20" w:after="20"/>
              <w:jc w:val="right"/>
              <w:rPr>
                <w:noProof/>
                <w:sz w:val="20"/>
              </w:rPr>
            </w:pPr>
            <w:r>
              <w:rPr>
                <w:noProof/>
                <w:sz w:val="20"/>
              </w:rPr>
              <w:t>2 700,000</w:t>
            </w:r>
          </w:p>
        </w:tc>
        <w:tc>
          <w:tcPr>
            <w:tcW w:w="1320" w:type="dxa"/>
            <w:vAlign w:val="center"/>
          </w:tcPr>
          <w:p>
            <w:pPr>
              <w:spacing w:before="20" w:after="20"/>
              <w:jc w:val="right"/>
              <w:rPr>
                <w:noProof/>
                <w:sz w:val="20"/>
              </w:rPr>
            </w:pPr>
            <w:r>
              <w:rPr>
                <w:noProof/>
                <w:sz w:val="20"/>
              </w:rPr>
              <w:t>-</w:t>
            </w:r>
          </w:p>
        </w:tc>
        <w:tc>
          <w:tcPr>
            <w:tcW w:w="1200" w:type="dxa"/>
            <w:vAlign w:val="center"/>
          </w:tcPr>
          <w:p>
            <w:pPr>
              <w:spacing w:before="20" w:after="20"/>
              <w:jc w:val="right"/>
              <w:rPr>
                <w:noProof/>
                <w:sz w:val="20"/>
              </w:rPr>
            </w:pPr>
            <w:r>
              <w:rPr>
                <w:b/>
                <w:noProof/>
                <w:sz w:val="20"/>
              </w:rPr>
              <w:t>-</w:t>
            </w:r>
          </w:p>
        </w:tc>
        <w:tc>
          <w:tcPr>
            <w:tcW w:w="1200" w:type="dxa"/>
            <w:vAlign w:val="center"/>
          </w:tcPr>
          <w:p>
            <w:pPr>
              <w:spacing w:before="20" w:after="20"/>
              <w:jc w:val="right"/>
              <w:rPr>
                <w:noProof/>
                <w:sz w:val="20"/>
              </w:rPr>
            </w:pPr>
            <w:r>
              <w:rPr>
                <w:b/>
                <w:noProof/>
                <w:sz w:val="20"/>
              </w:rPr>
              <w:t>-</w:t>
            </w:r>
          </w:p>
        </w:tc>
        <w:tc>
          <w:tcPr>
            <w:tcW w:w="1507" w:type="dxa"/>
            <w:vAlign w:val="center"/>
          </w:tcPr>
          <w:p>
            <w:pPr>
              <w:spacing w:before="20" w:after="20"/>
              <w:jc w:val="right"/>
              <w:rPr>
                <w:b/>
                <w:noProof/>
                <w:sz w:val="20"/>
              </w:rPr>
            </w:pPr>
            <w:r>
              <w:rPr>
                <w:b/>
                <w:noProof/>
                <w:sz w:val="20"/>
              </w:rPr>
              <w:t>2 700,000</w:t>
            </w:r>
          </w:p>
        </w:tc>
      </w:tr>
      <w:tr>
        <w:trPr>
          <w:jc w:val="center"/>
        </w:trPr>
        <w:tc>
          <w:tcPr>
            <w:tcW w:w="3960" w:type="dxa"/>
            <w:vMerge/>
          </w:tcPr>
          <w:p>
            <w:pPr>
              <w:rPr>
                <w:noProof/>
                <w:sz w:val="20"/>
              </w:rPr>
            </w:pPr>
          </w:p>
        </w:tc>
        <w:tc>
          <w:tcPr>
            <w:tcW w:w="1507" w:type="dxa"/>
            <w:vAlign w:val="center"/>
          </w:tcPr>
          <w:p>
            <w:pPr>
              <w:rPr>
                <w:noProof/>
                <w:sz w:val="18"/>
              </w:rPr>
            </w:pPr>
            <w:r>
              <w:rPr>
                <w:noProof/>
                <w:sz w:val="18"/>
              </w:rPr>
              <w:t>Maksed</w:t>
            </w:r>
          </w:p>
        </w:tc>
        <w:tc>
          <w:tcPr>
            <w:tcW w:w="587" w:type="dxa"/>
            <w:vAlign w:val="center"/>
          </w:tcPr>
          <w:p>
            <w:pPr>
              <w:jc w:val="center"/>
              <w:rPr>
                <w:noProof/>
                <w:sz w:val="14"/>
              </w:rPr>
            </w:pPr>
            <w:r>
              <w:rPr>
                <w:noProof/>
                <w:sz w:val="14"/>
              </w:rPr>
              <w:t>=2+2a +3</w:t>
            </w:r>
          </w:p>
          <w:p>
            <w:pPr>
              <w:jc w:val="center"/>
              <w:rPr>
                <w:noProof/>
                <w:sz w:val="14"/>
              </w:rPr>
            </w:pPr>
            <w:r>
              <w:rPr>
                <w:noProof/>
                <w:sz w:val="14"/>
              </w:rPr>
              <w:t>+3</w:t>
            </w:r>
          </w:p>
        </w:tc>
        <w:tc>
          <w:tcPr>
            <w:tcW w:w="1386" w:type="dxa"/>
            <w:vAlign w:val="center"/>
          </w:tcPr>
          <w:p>
            <w:pPr>
              <w:spacing w:before="20" w:after="20"/>
              <w:jc w:val="right"/>
              <w:rPr>
                <w:noProof/>
                <w:sz w:val="20"/>
              </w:rPr>
            </w:pPr>
            <w:r>
              <w:rPr>
                <w:noProof/>
                <w:sz w:val="20"/>
                <w:szCs w:val="20"/>
              </w:rPr>
              <w:t>1 380,000</w:t>
            </w:r>
          </w:p>
        </w:tc>
        <w:tc>
          <w:tcPr>
            <w:tcW w:w="1320" w:type="dxa"/>
            <w:vAlign w:val="center"/>
          </w:tcPr>
          <w:p>
            <w:pPr>
              <w:spacing w:before="20" w:after="20"/>
              <w:jc w:val="right"/>
              <w:rPr>
                <w:noProof/>
                <w:sz w:val="20"/>
              </w:rPr>
            </w:pPr>
            <w:r>
              <w:rPr>
                <w:noProof/>
                <w:sz w:val="20"/>
              </w:rPr>
              <w:t>790,000</w:t>
            </w:r>
          </w:p>
        </w:tc>
        <w:tc>
          <w:tcPr>
            <w:tcW w:w="1200" w:type="dxa"/>
            <w:vAlign w:val="center"/>
          </w:tcPr>
          <w:p>
            <w:pPr>
              <w:spacing w:before="20" w:after="20"/>
              <w:jc w:val="right"/>
              <w:rPr>
                <w:noProof/>
                <w:sz w:val="20"/>
              </w:rPr>
            </w:pPr>
            <w:r>
              <w:rPr>
                <w:noProof/>
                <w:sz w:val="20"/>
                <w:szCs w:val="20"/>
              </w:rPr>
              <w:t>265,000</w:t>
            </w:r>
          </w:p>
        </w:tc>
        <w:tc>
          <w:tcPr>
            <w:tcW w:w="1200" w:type="dxa"/>
            <w:vAlign w:val="center"/>
          </w:tcPr>
          <w:p>
            <w:pPr>
              <w:spacing w:before="20" w:after="20"/>
              <w:jc w:val="right"/>
              <w:rPr>
                <w:noProof/>
                <w:sz w:val="20"/>
              </w:rPr>
            </w:pPr>
            <w:r>
              <w:rPr>
                <w:noProof/>
                <w:sz w:val="20"/>
              </w:rPr>
              <w:t>265,000</w:t>
            </w:r>
          </w:p>
        </w:tc>
        <w:tc>
          <w:tcPr>
            <w:tcW w:w="1507" w:type="dxa"/>
            <w:vAlign w:val="center"/>
          </w:tcPr>
          <w:p>
            <w:pPr>
              <w:spacing w:before="20" w:after="20"/>
              <w:jc w:val="right"/>
              <w:rPr>
                <w:b/>
                <w:noProof/>
                <w:sz w:val="20"/>
              </w:rPr>
            </w:pPr>
            <w:r>
              <w:rPr>
                <w:b/>
                <w:noProof/>
                <w:sz w:val="20"/>
              </w:rPr>
              <w:t>2 700,000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1560"/>
        <w:gridCol w:w="600"/>
        <w:gridCol w:w="1320"/>
        <w:gridCol w:w="1320"/>
        <w:gridCol w:w="1200"/>
        <w:gridCol w:w="1200"/>
        <w:gridCol w:w="1560"/>
      </w:tblGrid>
      <w:tr>
        <w:trPr>
          <w:trHeight w:val="277"/>
          <w:jc w:val="center"/>
        </w:trPr>
        <w:tc>
          <w:tcPr>
            <w:tcW w:w="3948" w:type="dxa"/>
            <w:vMerge w:val="restart"/>
            <w:vAlign w:val="center"/>
          </w:tcPr>
          <w:p>
            <w:pPr>
              <w:spacing w:before="20" w:after="20"/>
              <w:rPr>
                <w:noProof/>
                <w:sz w:val="22"/>
              </w:rPr>
            </w:pPr>
            <w:r>
              <w:rPr>
                <w:noProof/>
              </w:rPr>
              <w:br w:type="page"/>
            </w:r>
            <w:r>
              <w:rPr>
                <w:noProof/>
                <w:sz w:val="21"/>
              </w:rPr>
              <w:sym w:font="Wingdings" w:char="F09F"/>
            </w:r>
            <w:r>
              <w:rPr>
                <w:noProof/>
              </w:rPr>
              <w:t xml:space="preserve"> </w:t>
            </w:r>
            <w:r>
              <w:rPr>
                <w:noProof/>
                <w:sz w:val="21"/>
                <w:szCs w:val="21"/>
              </w:rPr>
              <w:t>Tegevusassigneeringud KOKKU</w:t>
            </w:r>
            <w:r>
              <w:rPr>
                <w:noProof/>
                <w:sz w:val="21"/>
              </w:rPr>
              <w:t xml:space="preserve"> </w:t>
            </w:r>
          </w:p>
        </w:tc>
        <w:tc>
          <w:tcPr>
            <w:tcW w:w="1560" w:type="dxa"/>
            <w:vAlign w:val="center"/>
          </w:tcPr>
          <w:p>
            <w:pPr>
              <w:spacing w:beforeLines="20" w:before="48" w:afterLines="20" w:after="48"/>
              <w:rPr>
                <w:noProof/>
                <w:sz w:val="18"/>
              </w:rPr>
            </w:pPr>
            <w:r>
              <w:rPr>
                <w:noProof/>
                <w:sz w:val="18"/>
              </w:rPr>
              <w:t>Kulukohustused</w:t>
            </w:r>
          </w:p>
        </w:tc>
        <w:tc>
          <w:tcPr>
            <w:tcW w:w="600" w:type="dxa"/>
            <w:vAlign w:val="center"/>
          </w:tcPr>
          <w:p>
            <w:pPr>
              <w:spacing w:beforeLines="20" w:before="48" w:afterLines="20" w:after="48"/>
              <w:jc w:val="center"/>
              <w:rPr>
                <w:noProof/>
                <w:sz w:val="14"/>
              </w:rPr>
            </w:pPr>
            <w:r>
              <w:rPr>
                <w:noProof/>
                <w:sz w:val="14"/>
              </w:rPr>
              <w:t>(4)</w:t>
            </w:r>
          </w:p>
        </w:tc>
        <w:tc>
          <w:tcPr>
            <w:tcW w:w="1320" w:type="dxa"/>
            <w:vAlign w:val="center"/>
          </w:tcPr>
          <w:p>
            <w:pPr>
              <w:spacing w:before="20" w:after="20"/>
              <w:jc w:val="right"/>
              <w:rPr>
                <w:noProof/>
                <w:sz w:val="20"/>
              </w:rPr>
            </w:pPr>
            <w:r>
              <w:rPr>
                <w:noProof/>
                <w:sz w:val="20"/>
              </w:rPr>
              <w:t>2 646,000</w:t>
            </w:r>
          </w:p>
        </w:tc>
        <w:tc>
          <w:tcPr>
            <w:tcW w:w="1320" w:type="dxa"/>
            <w:vAlign w:val="center"/>
          </w:tcPr>
          <w:p>
            <w:pPr>
              <w:spacing w:before="20" w:after="20"/>
              <w:jc w:val="right"/>
              <w:rPr>
                <w:noProof/>
                <w:sz w:val="20"/>
              </w:rPr>
            </w:pPr>
            <w:r>
              <w:rPr>
                <w:noProof/>
                <w:sz w:val="20"/>
              </w:rPr>
              <w:t>-</w:t>
            </w:r>
          </w:p>
        </w:tc>
        <w:tc>
          <w:tcPr>
            <w:tcW w:w="1200" w:type="dxa"/>
            <w:vAlign w:val="center"/>
          </w:tcPr>
          <w:p>
            <w:pPr>
              <w:spacing w:before="20" w:after="20"/>
              <w:jc w:val="right"/>
              <w:rPr>
                <w:noProof/>
                <w:sz w:val="20"/>
              </w:rPr>
            </w:pPr>
            <w:r>
              <w:rPr>
                <w:noProof/>
                <w:sz w:val="20"/>
              </w:rPr>
              <w:t>-</w:t>
            </w:r>
          </w:p>
        </w:tc>
        <w:tc>
          <w:tcPr>
            <w:tcW w:w="1200" w:type="dxa"/>
            <w:vAlign w:val="center"/>
          </w:tcPr>
          <w:p>
            <w:pPr>
              <w:spacing w:before="20" w:after="20"/>
              <w:jc w:val="right"/>
              <w:rPr>
                <w:noProof/>
                <w:sz w:val="20"/>
              </w:rPr>
            </w:pPr>
            <w:r>
              <w:rPr>
                <w:noProof/>
                <w:sz w:val="20"/>
              </w:rPr>
              <w:t>-</w:t>
            </w:r>
          </w:p>
        </w:tc>
        <w:tc>
          <w:tcPr>
            <w:tcW w:w="1560" w:type="dxa"/>
            <w:vAlign w:val="center"/>
          </w:tcPr>
          <w:p>
            <w:pPr>
              <w:spacing w:before="20" w:after="20"/>
              <w:jc w:val="right"/>
              <w:rPr>
                <w:noProof/>
                <w:sz w:val="20"/>
              </w:rPr>
            </w:pPr>
            <w:r>
              <w:rPr>
                <w:b/>
                <w:noProof/>
                <w:sz w:val="20"/>
              </w:rPr>
              <w:t>2 646,000</w:t>
            </w:r>
          </w:p>
        </w:tc>
      </w:tr>
      <w:tr>
        <w:trPr>
          <w:jc w:val="center"/>
        </w:trPr>
        <w:tc>
          <w:tcPr>
            <w:tcW w:w="3948" w:type="dxa"/>
            <w:vMerge/>
          </w:tcPr>
          <w:p>
            <w:pPr>
              <w:jc w:val="center"/>
              <w:rPr>
                <w:noProof/>
                <w:sz w:val="20"/>
              </w:rPr>
            </w:pPr>
          </w:p>
        </w:tc>
        <w:tc>
          <w:tcPr>
            <w:tcW w:w="1560" w:type="dxa"/>
            <w:vAlign w:val="center"/>
          </w:tcPr>
          <w:p>
            <w:pPr>
              <w:spacing w:beforeLines="20" w:before="48" w:afterLines="20" w:after="48"/>
              <w:rPr>
                <w:noProof/>
                <w:sz w:val="18"/>
              </w:rPr>
            </w:pPr>
            <w:r>
              <w:rPr>
                <w:noProof/>
                <w:sz w:val="18"/>
              </w:rPr>
              <w:t>Maksed</w:t>
            </w:r>
          </w:p>
        </w:tc>
        <w:tc>
          <w:tcPr>
            <w:tcW w:w="600" w:type="dxa"/>
            <w:vAlign w:val="center"/>
          </w:tcPr>
          <w:p>
            <w:pPr>
              <w:spacing w:beforeLines="20" w:before="48" w:afterLines="20" w:after="48"/>
              <w:jc w:val="center"/>
              <w:rPr>
                <w:noProof/>
                <w:sz w:val="14"/>
              </w:rPr>
            </w:pPr>
            <w:r>
              <w:rPr>
                <w:noProof/>
                <w:sz w:val="14"/>
              </w:rPr>
              <w:t>(5)</w:t>
            </w:r>
          </w:p>
        </w:tc>
        <w:tc>
          <w:tcPr>
            <w:tcW w:w="1320" w:type="dxa"/>
            <w:vAlign w:val="center"/>
          </w:tcPr>
          <w:p>
            <w:pPr>
              <w:spacing w:before="20" w:after="20"/>
              <w:jc w:val="right"/>
              <w:rPr>
                <w:noProof/>
                <w:sz w:val="20"/>
              </w:rPr>
            </w:pPr>
            <w:r>
              <w:rPr>
                <w:noProof/>
                <w:sz w:val="20"/>
                <w:szCs w:val="20"/>
              </w:rPr>
              <w:t>1 326,000</w:t>
            </w:r>
          </w:p>
        </w:tc>
        <w:tc>
          <w:tcPr>
            <w:tcW w:w="1320" w:type="dxa"/>
            <w:vAlign w:val="center"/>
          </w:tcPr>
          <w:p>
            <w:pPr>
              <w:spacing w:before="20" w:after="20"/>
              <w:jc w:val="right"/>
              <w:rPr>
                <w:noProof/>
                <w:sz w:val="20"/>
              </w:rPr>
            </w:pPr>
            <w:r>
              <w:rPr>
                <w:noProof/>
                <w:sz w:val="20"/>
                <w:szCs w:val="20"/>
              </w:rPr>
              <w:t>790,000</w:t>
            </w:r>
          </w:p>
        </w:tc>
        <w:tc>
          <w:tcPr>
            <w:tcW w:w="1200" w:type="dxa"/>
            <w:vAlign w:val="center"/>
          </w:tcPr>
          <w:p>
            <w:pPr>
              <w:spacing w:before="20" w:after="20"/>
              <w:jc w:val="right"/>
              <w:rPr>
                <w:noProof/>
                <w:sz w:val="20"/>
              </w:rPr>
            </w:pPr>
            <w:r>
              <w:rPr>
                <w:noProof/>
                <w:sz w:val="20"/>
                <w:szCs w:val="20"/>
              </w:rPr>
              <w:t>265,000</w:t>
            </w:r>
          </w:p>
        </w:tc>
        <w:tc>
          <w:tcPr>
            <w:tcW w:w="1200" w:type="dxa"/>
            <w:vAlign w:val="center"/>
          </w:tcPr>
          <w:p>
            <w:pPr>
              <w:spacing w:before="20" w:after="20"/>
              <w:jc w:val="right"/>
              <w:rPr>
                <w:noProof/>
                <w:sz w:val="20"/>
              </w:rPr>
            </w:pPr>
            <w:r>
              <w:rPr>
                <w:noProof/>
                <w:sz w:val="20"/>
                <w:szCs w:val="20"/>
              </w:rPr>
              <w:t>265,000</w:t>
            </w:r>
          </w:p>
        </w:tc>
        <w:tc>
          <w:tcPr>
            <w:tcW w:w="1560" w:type="dxa"/>
            <w:vAlign w:val="center"/>
          </w:tcPr>
          <w:p>
            <w:pPr>
              <w:spacing w:before="20" w:after="20"/>
              <w:jc w:val="right"/>
              <w:rPr>
                <w:noProof/>
                <w:sz w:val="20"/>
              </w:rPr>
            </w:pPr>
            <w:r>
              <w:rPr>
                <w:b/>
                <w:noProof/>
                <w:sz w:val="20"/>
              </w:rPr>
              <w:t>2 646,000</w:t>
            </w:r>
          </w:p>
        </w:tc>
      </w:tr>
      <w:tr>
        <w:trPr>
          <w:trHeight w:val="533"/>
          <w:jc w:val="center"/>
        </w:trPr>
        <w:tc>
          <w:tcPr>
            <w:tcW w:w="5508"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szCs w:val="21"/>
              </w:rPr>
              <w:t>Eriprogrammide vahenditest rahastatavad</w:t>
            </w:r>
            <w:r>
              <w:rPr>
                <w:noProof/>
              </w:rPr>
              <w:t xml:space="preserve"> </w:t>
            </w:r>
            <w:r>
              <w:rPr>
                <w:noProof/>
                <w:sz w:val="21"/>
                <w:szCs w:val="21"/>
              </w:rPr>
              <w:t>haldusassigneeringud KOKKU</w:t>
            </w:r>
            <w:r>
              <w:rPr>
                <w:noProof/>
                <w:sz w:val="21"/>
              </w:rPr>
              <w:t xml:space="preserve"> </w:t>
            </w:r>
          </w:p>
        </w:tc>
        <w:tc>
          <w:tcPr>
            <w:tcW w:w="600" w:type="dxa"/>
            <w:vAlign w:val="center"/>
          </w:tcPr>
          <w:p>
            <w:pPr>
              <w:spacing w:beforeLines="20" w:before="48" w:afterLines="20" w:after="48"/>
              <w:jc w:val="center"/>
              <w:rPr>
                <w:noProof/>
                <w:sz w:val="14"/>
              </w:rPr>
            </w:pPr>
            <w:r>
              <w:rPr>
                <w:noProof/>
                <w:sz w:val="14"/>
              </w:rPr>
              <w:t>(6)</w:t>
            </w:r>
          </w:p>
        </w:tc>
        <w:tc>
          <w:tcPr>
            <w:tcW w:w="1320" w:type="dxa"/>
            <w:vAlign w:val="center"/>
          </w:tcPr>
          <w:p>
            <w:pPr>
              <w:spacing w:before="20" w:after="20"/>
              <w:jc w:val="right"/>
              <w:rPr>
                <w:b/>
                <w:noProof/>
                <w:sz w:val="20"/>
              </w:rPr>
            </w:pPr>
            <w:r>
              <w:rPr>
                <w:noProof/>
                <w:sz w:val="20"/>
              </w:rPr>
              <w:t>54,000</w:t>
            </w:r>
          </w:p>
        </w:tc>
        <w:tc>
          <w:tcPr>
            <w:tcW w:w="1320" w:type="dxa"/>
            <w:vAlign w:val="center"/>
          </w:tcPr>
          <w:p>
            <w:pPr>
              <w:spacing w:before="20" w:after="20"/>
              <w:jc w:val="right"/>
              <w:rPr>
                <w:b/>
                <w:noProof/>
                <w:sz w:val="20"/>
              </w:rPr>
            </w:pPr>
            <w:r>
              <w:rPr>
                <w:noProof/>
                <w:sz w:val="20"/>
              </w:rPr>
              <w:t>-</w:t>
            </w:r>
          </w:p>
        </w:tc>
        <w:tc>
          <w:tcPr>
            <w:tcW w:w="1200" w:type="dxa"/>
            <w:vAlign w:val="center"/>
          </w:tcPr>
          <w:p>
            <w:pPr>
              <w:spacing w:before="20" w:after="20"/>
              <w:jc w:val="right"/>
              <w:rPr>
                <w:b/>
                <w:noProof/>
                <w:sz w:val="20"/>
              </w:rPr>
            </w:pPr>
            <w:r>
              <w:rPr>
                <w:b/>
                <w:noProof/>
                <w:sz w:val="20"/>
              </w:rPr>
              <w:t>-</w:t>
            </w:r>
          </w:p>
        </w:tc>
        <w:tc>
          <w:tcPr>
            <w:tcW w:w="1200" w:type="dxa"/>
            <w:vAlign w:val="center"/>
          </w:tcPr>
          <w:p>
            <w:pPr>
              <w:spacing w:before="20" w:after="20"/>
              <w:jc w:val="right"/>
              <w:rPr>
                <w:b/>
                <w:noProof/>
                <w:sz w:val="20"/>
              </w:rPr>
            </w:pPr>
            <w:r>
              <w:rPr>
                <w:b/>
                <w:noProof/>
                <w:sz w:val="20"/>
              </w:rPr>
              <w:t>-</w:t>
            </w:r>
          </w:p>
        </w:tc>
        <w:tc>
          <w:tcPr>
            <w:tcW w:w="1560" w:type="dxa"/>
            <w:vAlign w:val="center"/>
          </w:tcPr>
          <w:p>
            <w:pPr>
              <w:spacing w:before="20" w:after="20"/>
              <w:jc w:val="right"/>
              <w:rPr>
                <w:b/>
                <w:noProof/>
                <w:sz w:val="20"/>
              </w:rPr>
            </w:pPr>
            <w:r>
              <w:rPr>
                <w:b/>
                <w:noProof/>
                <w:sz w:val="20"/>
              </w:rPr>
              <w:t>54,000</w:t>
            </w:r>
          </w:p>
        </w:tc>
      </w:tr>
      <w:tr>
        <w:trPr>
          <w:jc w:val="center"/>
        </w:trPr>
        <w:tc>
          <w:tcPr>
            <w:tcW w:w="3948" w:type="dxa"/>
            <w:vMerge w:val="restart"/>
            <w:shd w:val="thinDiagStripe" w:color="C0C0C0" w:fill="auto"/>
            <w:vAlign w:val="center"/>
          </w:tcPr>
          <w:p>
            <w:pPr>
              <w:jc w:val="center"/>
              <w:rPr>
                <w:b/>
                <w:noProof/>
                <w:sz w:val="22"/>
              </w:rPr>
            </w:pPr>
            <w:r>
              <w:rPr>
                <w:noProof/>
                <w:sz w:val="22"/>
              </w:rPr>
              <w:t>Mitmeaastase finantsraamistiku</w:t>
            </w:r>
            <w:r>
              <w:rPr>
                <w:noProof/>
                <w:sz w:val="22"/>
              </w:rPr>
              <w:br/>
            </w:r>
            <w:r>
              <w:rPr>
                <w:b/>
                <w:bCs/>
                <w:noProof/>
                <w:sz w:val="22"/>
              </w:rPr>
              <w:t>RUBRIIGI 3 assigneeringud</w:t>
            </w:r>
            <w:r>
              <w:rPr>
                <w:noProof/>
                <w:sz w:val="22"/>
              </w:rPr>
              <w:br/>
            </w:r>
            <w:r>
              <w:rPr>
                <w:b/>
                <w:bCs/>
                <w:noProof/>
                <w:sz w:val="22"/>
              </w:rPr>
              <w:t>KOKKU</w:t>
            </w:r>
            <w:r>
              <w:rPr>
                <w:noProof/>
                <w:sz w:val="22"/>
              </w:rPr>
              <w:t xml:space="preserve"> </w:t>
            </w:r>
          </w:p>
        </w:tc>
        <w:tc>
          <w:tcPr>
            <w:tcW w:w="1560" w:type="dxa"/>
            <w:vAlign w:val="center"/>
          </w:tcPr>
          <w:p>
            <w:pPr>
              <w:rPr>
                <w:noProof/>
                <w:sz w:val="18"/>
              </w:rPr>
            </w:pPr>
            <w:r>
              <w:rPr>
                <w:noProof/>
                <w:sz w:val="18"/>
              </w:rPr>
              <w:t>Kulukohustused</w:t>
            </w:r>
          </w:p>
        </w:tc>
        <w:tc>
          <w:tcPr>
            <w:tcW w:w="600" w:type="dxa"/>
            <w:vAlign w:val="center"/>
          </w:tcPr>
          <w:p>
            <w:pPr>
              <w:jc w:val="center"/>
              <w:rPr>
                <w:noProof/>
                <w:sz w:val="14"/>
              </w:rPr>
            </w:pPr>
            <w:r>
              <w:rPr>
                <w:noProof/>
                <w:sz w:val="14"/>
              </w:rPr>
              <w:t>=4+ 6</w:t>
            </w:r>
          </w:p>
        </w:tc>
        <w:tc>
          <w:tcPr>
            <w:tcW w:w="1320" w:type="dxa"/>
            <w:vAlign w:val="center"/>
          </w:tcPr>
          <w:p>
            <w:pPr>
              <w:spacing w:before="20" w:after="20"/>
              <w:jc w:val="right"/>
              <w:rPr>
                <w:b/>
                <w:noProof/>
                <w:sz w:val="20"/>
              </w:rPr>
            </w:pPr>
            <w:r>
              <w:rPr>
                <w:b/>
                <w:noProof/>
                <w:sz w:val="20"/>
              </w:rPr>
              <w:t>2 700,000</w:t>
            </w:r>
          </w:p>
        </w:tc>
        <w:tc>
          <w:tcPr>
            <w:tcW w:w="1320" w:type="dxa"/>
            <w:vAlign w:val="center"/>
          </w:tcPr>
          <w:p>
            <w:pPr>
              <w:spacing w:before="20" w:after="20"/>
              <w:jc w:val="right"/>
              <w:rPr>
                <w:b/>
                <w:noProof/>
                <w:sz w:val="20"/>
              </w:rPr>
            </w:pPr>
            <w:r>
              <w:rPr>
                <w:b/>
                <w:noProof/>
                <w:sz w:val="20"/>
              </w:rPr>
              <w:t>-</w:t>
            </w:r>
          </w:p>
        </w:tc>
        <w:tc>
          <w:tcPr>
            <w:tcW w:w="1200" w:type="dxa"/>
            <w:vAlign w:val="center"/>
          </w:tcPr>
          <w:p>
            <w:pPr>
              <w:spacing w:before="20" w:after="20"/>
              <w:jc w:val="right"/>
              <w:rPr>
                <w:b/>
                <w:noProof/>
                <w:sz w:val="20"/>
              </w:rPr>
            </w:pPr>
            <w:r>
              <w:rPr>
                <w:b/>
                <w:noProof/>
                <w:sz w:val="20"/>
              </w:rPr>
              <w:t>-</w:t>
            </w:r>
          </w:p>
        </w:tc>
        <w:tc>
          <w:tcPr>
            <w:tcW w:w="1200" w:type="dxa"/>
            <w:vAlign w:val="center"/>
          </w:tcPr>
          <w:p>
            <w:pPr>
              <w:spacing w:before="20" w:after="20"/>
              <w:jc w:val="right"/>
              <w:rPr>
                <w:b/>
                <w:noProof/>
                <w:sz w:val="20"/>
              </w:rPr>
            </w:pPr>
            <w:r>
              <w:rPr>
                <w:b/>
                <w:noProof/>
                <w:sz w:val="20"/>
              </w:rPr>
              <w:t>-</w:t>
            </w:r>
          </w:p>
        </w:tc>
        <w:tc>
          <w:tcPr>
            <w:tcW w:w="1560" w:type="dxa"/>
            <w:vAlign w:val="center"/>
          </w:tcPr>
          <w:p>
            <w:pPr>
              <w:spacing w:before="20" w:after="20"/>
              <w:jc w:val="right"/>
              <w:rPr>
                <w:b/>
                <w:noProof/>
                <w:sz w:val="20"/>
              </w:rPr>
            </w:pPr>
            <w:r>
              <w:rPr>
                <w:b/>
                <w:noProof/>
                <w:sz w:val="20"/>
              </w:rPr>
              <w:t>2 700,000</w:t>
            </w:r>
          </w:p>
        </w:tc>
      </w:tr>
      <w:tr>
        <w:trPr>
          <w:jc w:val="center"/>
        </w:trPr>
        <w:tc>
          <w:tcPr>
            <w:tcW w:w="3948" w:type="dxa"/>
            <w:vMerge/>
            <w:shd w:val="thinDiagStripe" w:color="C0C0C0" w:fill="auto"/>
          </w:tcPr>
          <w:p>
            <w:pPr>
              <w:rPr>
                <w:noProof/>
                <w:sz w:val="20"/>
              </w:rPr>
            </w:pPr>
          </w:p>
        </w:tc>
        <w:tc>
          <w:tcPr>
            <w:tcW w:w="1560" w:type="dxa"/>
            <w:vAlign w:val="center"/>
          </w:tcPr>
          <w:p>
            <w:pPr>
              <w:rPr>
                <w:noProof/>
                <w:sz w:val="18"/>
              </w:rPr>
            </w:pPr>
            <w:r>
              <w:rPr>
                <w:noProof/>
                <w:sz w:val="18"/>
              </w:rPr>
              <w:t>Maksed</w:t>
            </w:r>
          </w:p>
        </w:tc>
        <w:tc>
          <w:tcPr>
            <w:tcW w:w="600" w:type="dxa"/>
            <w:vAlign w:val="center"/>
          </w:tcPr>
          <w:p>
            <w:pPr>
              <w:jc w:val="center"/>
              <w:rPr>
                <w:noProof/>
                <w:sz w:val="14"/>
              </w:rPr>
            </w:pPr>
            <w:r>
              <w:rPr>
                <w:noProof/>
                <w:sz w:val="14"/>
              </w:rPr>
              <w:t>=5+ 6</w:t>
            </w:r>
          </w:p>
        </w:tc>
        <w:tc>
          <w:tcPr>
            <w:tcW w:w="1320" w:type="dxa"/>
            <w:vAlign w:val="center"/>
          </w:tcPr>
          <w:p>
            <w:pPr>
              <w:spacing w:before="20" w:after="20"/>
              <w:jc w:val="right"/>
              <w:rPr>
                <w:b/>
                <w:noProof/>
                <w:sz w:val="20"/>
              </w:rPr>
            </w:pPr>
            <w:r>
              <w:rPr>
                <w:b/>
                <w:noProof/>
                <w:sz w:val="20"/>
              </w:rPr>
              <w:t>1 380,000</w:t>
            </w:r>
          </w:p>
        </w:tc>
        <w:tc>
          <w:tcPr>
            <w:tcW w:w="1320" w:type="dxa"/>
            <w:vAlign w:val="center"/>
          </w:tcPr>
          <w:p>
            <w:pPr>
              <w:spacing w:before="20" w:after="20"/>
              <w:jc w:val="right"/>
              <w:rPr>
                <w:b/>
                <w:noProof/>
                <w:sz w:val="20"/>
              </w:rPr>
            </w:pPr>
            <w:r>
              <w:rPr>
                <w:b/>
                <w:noProof/>
                <w:sz w:val="20"/>
                <w:szCs w:val="20"/>
              </w:rPr>
              <w:t>790,000</w:t>
            </w:r>
          </w:p>
        </w:tc>
        <w:tc>
          <w:tcPr>
            <w:tcW w:w="1200" w:type="dxa"/>
            <w:vAlign w:val="center"/>
          </w:tcPr>
          <w:p>
            <w:pPr>
              <w:spacing w:before="20" w:after="20"/>
              <w:jc w:val="right"/>
              <w:rPr>
                <w:b/>
                <w:noProof/>
                <w:sz w:val="20"/>
              </w:rPr>
            </w:pPr>
            <w:r>
              <w:rPr>
                <w:b/>
                <w:noProof/>
                <w:sz w:val="20"/>
                <w:szCs w:val="20"/>
              </w:rPr>
              <w:t>265,000</w:t>
            </w:r>
          </w:p>
        </w:tc>
        <w:tc>
          <w:tcPr>
            <w:tcW w:w="1200" w:type="dxa"/>
            <w:vAlign w:val="center"/>
          </w:tcPr>
          <w:p>
            <w:pPr>
              <w:spacing w:before="20" w:after="20"/>
              <w:jc w:val="right"/>
              <w:rPr>
                <w:b/>
                <w:noProof/>
                <w:sz w:val="20"/>
              </w:rPr>
            </w:pPr>
            <w:r>
              <w:rPr>
                <w:b/>
                <w:noProof/>
                <w:sz w:val="20"/>
                <w:szCs w:val="20"/>
              </w:rPr>
              <w:t>265,000</w:t>
            </w:r>
          </w:p>
        </w:tc>
        <w:tc>
          <w:tcPr>
            <w:tcW w:w="1560" w:type="dxa"/>
            <w:vAlign w:val="center"/>
          </w:tcPr>
          <w:p>
            <w:pPr>
              <w:spacing w:before="20" w:after="20"/>
              <w:jc w:val="right"/>
              <w:rPr>
                <w:b/>
                <w:noProof/>
                <w:sz w:val="20"/>
              </w:rPr>
            </w:pPr>
            <w:r>
              <w:rPr>
                <w:b/>
                <w:noProof/>
                <w:sz w:val="20"/>
              </w:rPr>
              <w:t>2 700,000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Mitmeaastase finantsraamistiku </w:t>
            </w:r>
            <w:r>
              <w:rPr>
                <w:noProof/>
                <w:sz w:val="22"/>
              </w:rPr>
              <w:br/>
            </w:r>
            <w:r>
              <w:rPr>
                <w:b/>
                <w:noProof/>
                <w:sz w:val="22"/>
              </w:rPr>
              <w:t xml:space="preserve">rubriik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„Halduskulud“</w:t>
            </w:r>
          </w:p>
        </w:tc>
      </w:tr>
    </w:tbl>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88"/>
        <w:gridCol w:w="1440"/>
        <w:gridCol w:w="1200"/>
        <w:gridCol w:w="1200"/>
        <w:gridCol w:w="1200"/>
        <w:gridCol w:w="1560"/>
      </w:tblGrid>
      <w:tr>
        <w:trPr>
          <w:jc w:val="center"/>
        </w:trP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88" w:type="dxa"/>
            <w:tcBorders>
              <w:top w:val="nil"/>
              <w:left w:val="nil"/>
            </w:tcBorders>
          </w:tcPr>
          <w:p>
            <w:pPr>
              <w:jc w:val="center"/>
              <w:rPr>
                <w:noProof/>
                <w:sz w:val="20"/>
              </w:rPr>
            </w:pPr>
          </w:p>
        </w:tc>
        <w:tc>
          <w:tcPr>
            <w:tcW w:w="1440" w:type="dxa"/>
            <w:vAlign w:val="center"/>
          </w:tcPr>
          <w:p>
            <w:pPr>
              <w:jc w:val="center"/>
              <w:rPr>
                <w:noProof/>
                <w:sz w:val="20"/>
              </w:rPr>
            </w:pPr>
            <w:r>
              <w:rPr>
                <w:noProof/>
                <w:sz w:val="20"/>
              </w:rPr>
              <w:t>Aasta</w:t>
            </w:r>
            <w:r>
              <w:rPr>
                <w:noProof/>
                <w:sz w:val="22"/>
              </w:rPr>
              <w:br/>
            </w:r>
            <w:r>
              <w:rPr>
                <w:b/>
                <w:noProof/>
                <w:sz w:val="20"/>
              </w:rPr>
              <w:t>2020</w:t>
            </w:r>
          </w:p>
        </w:tc>
        <w:tc>
          <w:tcPr>
            <w:tcW w:w="1200" w:type="dxa"/>
            <w:vAlign w:val="center"/>
          </w:tcPr>
          <w:p>
            <w:pPr>
              <w:jc w:val="center"/>
              <w:rPr>
                <w:noProof/>
                <w:sz w:val="20"/>
              </w:rPr>
            </w:pPr>
            <w:r>
              <w:rPr>
                <w:noProof/>
                <w:sz w:val="20"/>
              </w:rPr>
              <w:t>Aasta</w:t>
            </w:r>
            <w:r>
              <w:rPr>
                <w:noProof/>
                <w:sz w:val="22"/>
              </w:rPr>
              <w:br/>
            </w:r>
            <w:r>
              <w:rPr>
                <w:b/>
                <w:noProof/>
                <w:sz w:val="20"/>
              </w:rPr>
              <w:t>2021</w:t>
            </w:r>
          </w:p>
        </w:tc>
        <w:tc>
          <w:tcPr>
            <w:tcW w:w="1200" w:type="dxa"/>
            <w:vAlign w:val="center"/>
          </w:tcPr>
          <w:p>
            <w:pPr>
              <w:jc w:val="center"/>
              <w:rPr>
                <w:noProof/>
                <w:sz w:val="20"/>
              </w:rPr>
            </w:pPr>
            <w:r>
              <w:rPr>
                <w:noProof/>
                <w:sz w:val="20"/>
              </w:rPr>
              <w:t>Aasta</w:t>
            </w:r>
            <w:r>
              <w:rPr>
                <w:noProof/>
                <w:sz w:val="22"/>
              </w:rPr>
              <w:br/>
            </w:r>
            <w:r>
              <w:rPr>
                <w:b/>
                <w:noProof/>
                <w:sz w:val="20"/>
              </w:rPr>
              <w:t>2022</w:t>
            </w:r>
          </w:p>
        </w:tc>
        <w:tc>
          <w:tcPr>
            <w:tcW w:w="1200" w:type="dxa"/>
            <w:vAlign w:val="center"/>
          </w:tcPr>
          <w:p>
            <w:pPr>
              <w:jc w:val="center"/>
              <w:rPr>
                <w:noProof/>
                <w:sz w:val="20"/>
              </w:rPr>
            </w:pPr>
            <w:r>
              <w:rPr>
                <w:noProof/>
                <w:sz w:val="20"/>
              </w:rPr>
              <w:t>Aasta</w:t>
            </w:r>
            <w:r>
              <w:rPr>
                <w:noProof/>
                <w:sz w:val="22"/>
              </w:rPr>
              <w:br/>
            </w:r>
            <w:r>
              <w:rPr>
                <w:b/>
                <w:noProof/>
                <w:sz w:val="20"/>
              </w:rPr>
              <w:t>2023</w:t>
            </w:r>
          </w:p>
        </w:tc>
        <w:tc>
          <w:tcPr>
            <w:tcW w:w="1560" w:type="dxa"/>
            <w:vAlign w:val="center"/>
          </w:tcPr>
          <w:p>
            <w:pPr>
              <w:jc w:val="center"/>
              <w:rPr>
                <w:b/>
                <w:noProof/>
                <w:sz w:val="20"/>
              </w:rPr>
            </w:pPr>
            <w:r>
              <w:rPr>
                <w:b/>
                <w:noProof/>
                <w:sz w:val="20"/>
              </w:rPr>
              <w:t>KOKKU</w:t>
            </w:r>
          </w:p>
        </w:tc>
      </w:tr>
      <w:tr>
        <w:trPr>
          <w:gridAfter w:val="7"/>
          <w:wAfter w:w="8748" w:type="dxa"/>
          <w:jc w:val="center"/>
        </w:trPr>
        <w:tc>
          <w:tcPr>
            <w:tcW w:w="3960" w:type="dxa"/>
            <w:vAlign w:val="center"/>
          </w:tcPr>
          <w:p>
            <w:pPr>
              <w:spacing w:before="60" w:after="60"/>
              <w:jc w:val="center"/>
              <w:rPr>
                <w:noProof/>
                <w:sz w:val="22"/>
              </w:rPr>
            </w:pPr>
            <w:r>
              <w:rPr>
                <w:noProof/>
                <w:sz w:val="22"/>
              </w:rPr>
              <w:t>Komisjon</w:t>
            </w:r>
          </w:p>
        </w:tc>
      </w:tr>
      <w:tr>
        <w:trPr>
          <w:trHeight w:val="313"/>
          <w:jc w:val="center"/>
        </w:trPr>
        <w:tc>
          <w:tcPr>
            <w:tcW w:w="6108" w:type="dxa"/>
            <w:gridSpan w:val="3"/>
            <w:vAlign w:val="center"/>
          </w:tcPr>
          <w:p>
            <w:pPr>
              <w:spacing w:before="20" w:after="20"/>
              <w:rPr>
                <w:noProof/>
                <w:sz w:val="22"/>
              </w:rPr>
            </w:pPr>
            <w:r>
              <w:rPr>
                <w:noProof/>
                <w:sz w:val="22"/>
              </w:rPr>
              <w:sym w:font="Wingdings" w:char="F09F"/>
            </w:r>
            <w:r>
              <w:rPr>
                <w:noProof/>
              </w:rPr>
              <w:t xml:space="preserve"> Personalikulud</w:t>
            </w:r>
            <w:r>
              <w:rPr>
                <w:noProof/>
                <w:sz w:val="22"/>
              </w:rPr>
              <w:t xml:space="preserve"> </w:t>
            </w:r>
          </w:p>
        </w:tc>
        <w:tc>
          <w:tcPr>
            <w:tcW w:w="1440" w:type="dxa"/>
            <w:vAlign w:val="center"/>
          </w:tcPr>
          <w:p>
            <w:pPr>
              <w:spacing w:before="20" w:after="20"/>
              <w:jc w:val="right"/>
              <w:rPr>
                <w:noProof/>
                <w:sz w:val="20"/>
              </w:rPr>
            </w:pPr>
            <w:r>
              <w:rPr>
                <w:noProof/>
                <w:sz w:val="20"/>
              </w:rPr>
              <w:t>2,700</w:t>
            </w:r>
          </w:p>
        </w:tc>
        <w:tc>
          <w:tcPr>
            <w:tcW w:w="1200" w:type="dxa"/>
            <w:vAlign w:val="center"/>
          </w:tcPr>
          <w:p>
            <w:pPr>
              <w:spacing w:before="20" w:after="20"/>
              <w:jc w:val="right"/>
              <w:rPr>
                <w:noProof/>
                <w:sz w:val="20"/>
              </w:rPr>
            </w:pPr>
            <w:r>
              <w:rPr>
                <w:noProof/>
                <w:sz w:val="20"/>
              </w:rPr>
              <w:t>2,700</w:t>
            </w:r>
          </w:p>
        </w:tc>
        <w:tc>
          <w:tcPr>
            <w:tcW w:w="1200" w:type="dxa"/>
            <w:vAlign w:val="center"/>
          </w:tcPr>
          <w:p>
            <w:pPr>
              <w:spacing w:before="20" w:after="20"/>
              <w:jc w:val="right"/>
              <w:rPr>
                <w:noProof/>
                <w:sz w:val="20"/>
              </w:rPr>
            </w:pPr>
            <w:r>
              <w:rPr>
                <w:noProof/>
                <w:sz w:val="20"/>
              </w:rPr>
              <w:t>1,550</w:t>
            </w:r>
          </w:p>
        </w:tc>
        <w:tc>
          <w:tcPr>
            <w:tcW w:w="1200" w:type="dxa"/>
            <w:vAlign w:val="center"/>
          </w:tcPr>
          <w:p>
            <w:pPr>
              <w:spacing w:before="20" w:after="20"/>
              <w:jc w:val="right"/>
              <w:rPr>
                <w:noProof/>
                <w:sz w:val="20"/>
              </w:rPr>
            </w:pPr>
            <w:r>
              <w:rPr>
                <w:noProof/>
                <w:sz w:val="20"/>
              </w:rPr>
              <w:t>1,150</w:t>
            </w:r>
          </w:p>
        </w:tc>
        <w:tc>
          <w:tcPr>
            <w:tcW w:w="1560" w:type="dxa"/>
            <w:vAlign w:val="center"/>
          </w:tcPr>
          <w:p>
            <w:pPr>
              <w:spacing w:before="20" w:after="20"/>
              <w:jc w:val="right"/>
              <w:rPr>
                <w:b/>
                <w:noProof/>
                <w:sz w:val="20"/>
              </w:rPr>
            </w:pPr>
            <w:r>
              <w:rPr>
                <w:b/>
                <w:noProof/>
                <w:sz w:val="20"/>
              </w:rPr>
              <w:t>8,100</w:t>
            </w:r>
          </w:p>
        </w:tc>
      </w:tr>
      <w:tr>
        <w:trPr>
          <w:trHeight w:val="351"/>
          <w:jc w:val="center"/>
        </w:trPr>
        <w:tc>
          <w:tcPr>
            <w:tcW w:w="6108" w:type="dxa"/>
            <w:gridSpan w:val="3"/>
            <w:vAlign w:val="center"/>
          </w:tcPr>
          <w:p>
            <w:pPr>
              <w:spacing w:before="20" w:after="20"/>
              <w:rPr>
                <w:noProof/>
                <w:sz w:val="22"/>
              </w:rPr>
            </w:pPr>
            <w:r>
              <w:rPr>
                <w:noProof/>
                <w:sz w:val="22"/>
              </w:rPr>
              <w:sym w:font="Wingdings" w:char="F09F"/>
            </w:r>
            <w:r>
              <w:rPr>
                <w:noProof/>
              </w:rPr>
              <w:t xml:space="preserve"> Muud halduskulud</w:t>
            </w:r>
            <w:r>
              <w:rPr>
                <w:noProof/>
                <w:sz w:val="22"/>
              </w:rPr>
              <w:t xml:space="preserve"> </w:t>
            </w:r>
          </w:p>
        </w:tc>
        <w:tc>
          <w:tcPr>
            <w:tcW w:w="1440" w:type="dxa"/>
            <w:vAlign w:val="center"/>
          </w:tcPr>
          <w:p>
            <w:pPr>
              <w:spacing w:before="20" w:after="20"/>
              <w:jc w:val="right"/>
              <w:rPr>
                <w:b/>
                <w:noProof/>
                <w:sz w:val="20"/>
              </w:rPr>
            </w:pPr>
            <w:r>
              <w:rPr>
                <w:b/>
                <w:noProof/>
                <w:sz w:val="20"/>
              </w:rPr>
              <w:t>-</w:t>
            </w:r>
          </w:p>
        </w:tc>
        <w:tc>
          <w:tcPr>
            <w:tcW w:w="1200" w:type="dxa"/>
            <w:vAlign w:val="center"/>
          </w:tcPr>
          <w:p>
            <w:pPr>
              <w:spacing w:before="20" w:after="20"/>
              <w:jc w:val="right"/>
              <w:rPr>
                <w:b/>
                <w:noProof/>
                <w:sz w:val="20"/>
              </w:rPr>
            </w:pPr>
            <w:r>
              <w:rPr>
                <w:b/>
                <w:noProof/>
                <w:sz w:val="20"/>
              </w:rPr>
              <w:t>-</w:t>
            </w:r>
          </w:p>
        </w:tc>
        <w:tc>
          <w:tcPr>
            <w:tcW w:w="1200" w:type="dxa"/>
            <w:vAlign w:val="center"/>
          </w:tcPr>
          <w:p>
            <w:pPr>
              <w:spacing w:before="20" w:after="20"/>
              <w:jc w:val="right"/>
              <w:rPr>
                <w:b/>
                <w:noProof/>
                <w:sz w:val="20"/>
              </w:rPr>
            </w:pPr>
            <w:r>
              <w:rPr>
                <w:b/>
                <w:noProof/>
                <w:sz w:val="20"/>
              </w:rPr>
              <w:t>-</w:t>
            </w:r>
          </w:p>
        </w:tc>
        <w:tc>
          <w:tcPr>
            <w:tcW w:w="1200" w:type="dxa"/>
            <w:vAlign w:val="center"/>
          </w:tcPr>
          <w:p>
            <w:pPr>
              <w:spacing w:before="20" w:after="20"/>
              <w:jc w:val="right"/>
              <w:rPr>
                <w:b/>
                <w:noProof/>
                <w:sz w:val="20"/>
              </w:rPr>
            </w:pPr>
            <w:r>
              <w:rPr>
                <w:b/>
                <w:noProof/>
                <w:sz w:val="20"/>
              </w:rPr>
              <w:t>-</w:t>
            </w:r>
          </w:p>
        </w:tc>
        <w:tc>
          <w:tcPr>
            <w:tcW w:w="1560" w:type="dxa"/>
            <w:vAlign w:val="center"/>
          </w:tcPr>
          <w:p>
            <w:pPr>
              <w:spacing w:before="20" w:after="20"/>
              <w:jc w:val="right"/>
              <w:rPr>
                <w:b/>
                <w:noProof/>
                <w:sz w:val="20"/>
              </w:rPr>
            </w:pPr>
            <w:r>
              <w:rPr>
                <w:b/>
                <w:noProof/>
                <w:sz w:val="20"/>
              </w:rPr>
              <w:t>-</w:t>
            </w:r>
          </w:p>
        </w:tc>
      </w:tr>
      <w:tr>
        <w:trPr>
          <w:jc w:val="center"/>
        </w:trPr>
        <w:tc>
          <w:tcPr>
            <w:tcW w:w="3960" w:type="dxa"/>
            <w:vAlign w:val="center"/>
          </w:tcPr>
          <w:p>
            <w:pPr>
              <w:jc w:val="center"/>
              <w:rPr>
                <w:b/>
                <w:noProof/>
                <w:sz w:val="22"/>
              </w:rPr>
            </w:pPr>
            <w:r>
              <w:rPr>
                <w:b/>
                <w:noProof/>
                <w:sz w:val="22"/>
              </w:rPr>
              <w:t>Komisjon KOKKU</w:t>
            </w:r>
          </w:p>
        </w:tc>
        <w:tc>
          <w:tcPr>
            <w:tcW w:w="2148" w:type="dxa"/>
            <w:gridSpan w:val="2"/>
            <w:vAlign w:val="center"/>
          </w:tcPr>
          <w:p>
            <w:pPr>
              <w:rPr>
                <w:noProof/>
                <w:sz w:val="14"/>
              </w:rPr>
            </w:pPr>
            <w:r>
              <w:rPr>
                <w:noProof/>
                <w:sz w:val="18"/>
              </w:rPr>
              <w:t xml:space="preserve">Assigneeringud </w:t>
            </w:r>
          </w:p>
        </w:tc>
        <w:tc>
          <w:tcPr>
            <w:tcW w:w="1440" w:type="dxa"/>
            <w:vAlign w:val="center"/>
          </w:tcPr>
          <w:p>
            <w:pPr>
              <w:spacing w:before="60" w:after="60"/>
              <w:jc w:val="right"/>
              <w:rPr>
                <w:noProof/>
                <w:sz w:val="20"/>
              </w:rPr>
            </w:pPr>
            <w:r>
              <w:rPr>
                <w:noProof/>
                <w:sz w:val="20"/>
              </w:rPr>
              <w:t>2,700</w:t>
            </w:r>
          </w:p>
        </w:tc>
        <w:tc>
          <w:tcPr>
            <w:tcW w:w="1200" w:type="dxa"/>
            <w:vAlign w:val="center"/>
          </w:tcPr>
          <w:p>
            <w:pPr>
              <w:spacing w:before="20" w:after="20"/>
              <w:jc w:val="right"/>
              <w:rPr>
                <w:noProof/>
                <w:sz w:val="20"/>
              </w:rPr>
            </w:pPr>
            <w:r>
              <w:rPr>
                <w:noProof/>
                <w:sz w:val="20"/>
              </w:rPr>
              <w:t>2,700</w:t>
            </w:r>
          </w:p>
        </w:tc>
        <w:tc>
          <w:tcPr>
            <w:tcW w:w="1200" w:type="dxa"/>
            <w:vAlign w:val="center"/>
          </w:tcPr>
          <w:p>
            <w:pPr>
              <w:spacing w:before="20" w:after="20"/>
              <w:jc w:val="right"/>
              <w:rPr>
                <w:noProof/>
                <w:sz w:val="20"/>
              </w:rPr>
            </w:pPr>
            <w:r>
              <w:rPr>
                <w:noProof/>
                <w:sz w:val="20"/>
              </w:rPr>
              <w:t>1,550</w:t>
            </w:r>
          </w:p>
        </w:tc>
        <w:tc>
          <w:tcPr>
            <w:tcW w:w="1200" w:type="dxa"/>
            <w:vAlign w:val="center"/>
          </w:tcPr>
          <w:p>
            <w:pPr>
              <w:spacing w:before="20" w:after="20"/>
              <w:jc w:val="right"/>
              <w:rPr>
                <w:noProof/>
                <w:sz w:val="20"/>
              </w:rPr>
            </w:pPr>
            <w:r>
              <w:rPr>
                <w:noProof/>
                <w:sz w:val="20"/>
              </w:rPr>
              <w:t>1,150</w:t>
            </w:r>
          </w:p>
        </w:tc>
        <w:tc>
          <w:tcPr>
            <w:tcW w:w="1560" w:type="dxa"/>
            <w:vAlign w:val="center"/>
          </w:tcPr>
          <w:p>
            <w:pPr>
              <w:spacing w:before="20" w:after="20"/>
              <w:jc w:val="right"/>
              <w:rPr>
                <w:b/>
                <w:noProof/>
                <w:sz w:val="20"/>
              </w:rPr>
            </w:pPr>
            <w:r>
              <w:rPr>
                <w:b/>
                <w:noProof/>
                <w:sz w:val="20"/>
              </w:rPr>
              <w:t>8,100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1494"/>
        <w:gridCol w:w="1200"/>
        <w:gridCol w:w="1200"/>
        <w:gridCol w:w="1200"/>
        <w:gridCol w:w="1560"/>
      </w:tblGrid>
      <w:tr>
        <w:trPr>
          <w:jc w:val="center"/>
        </w:trPr>
        <w:tc>
          <w:tcPr>
            <w:tcW w:w="3960" w:type="dxa"/>
            <w:shd w:val="thinDiagStripe" w:color="C0C0C0" w:fill="auto"/>
            <w:vAlign w:val="center"/>
          </w:tcPr>
          <w:p>
            <w:pPr>
              <w:jc w:val="center"/>
              <w:rPr>
                <w:b/>
                <w:noProof/>
                <w:sz w:val="22"/>
              </w:rPr>
            </w:pPr>
            <w:r>
              <w:rPr>
                <w:noProof/>
                <w:sz w:val="22"/>
              </w:rPr>
              <w:t xml:space="preserve">Mitmeaastase finantsraamistiku </w:t>
            </w:r>
            <w:r>
              <w:rPr>
                <w:noProof/>
                <w:sz w:val="22"/>
              </w:rPr>
              <w:br/>
            </w:r>
            <w:r>
              <w:rPr>
                <w:b/>
                <w:noProof/>
                <w:sz w:val="22"/>
              </w:rPr>
              <w:t>RUBRIIGI 5</w:t>
            </w:r>
            <w:r>
              <w:rPr>
                <w:noProof/>
                <w:sz w:val="22"/>
              </w:rPr>
              <w:br/>
            </w:r>
            <w:r>
              <w:rPr>
                <w:b/>
                <w:bCs/>
                <w:noProof/>
                <w:sz w:val="22"/>
              </w:rPr>
              <w:t>assigneeringud KOKKU</w:t>
            </w:r>
            <w:r>
              <w:rPr>
                <w:b/>
                <w:noProof/>
                <w:sz w:val="22"/>
              </w:rPr>
              <w:t xml:space="preserve"> </w:t>
            </w:r>
          </w:p>
        </w:tc>
        <w:tc>
          <w:tcPr>
            <w:tcW w:w="2094" w:type="dxa"/>
            <w:vAlign w:val="center"/>
          </w:tcPr>
          <w:p>
            <w:pPr>
              <w:spacing w:before="40" w:after="40"/>
              <w:rPr>
                <w:noProof/>
                <w:sz w:val="22"/>
              </w:rPr>
            </w:pPr>
            <w:r>
              <w:rPr>
                <w:noProof/>
                <w:sz w:val="18"/>
              </w:rPr>
              <w:t>(Kulukohustuste kogusumma = maksete kogusumma)</w:t>
            </w:r>
          </w:p>
        </w:tc>
        <w:tc>
          <w:tcPr>
            <w:tcW w:w="1494" w:type="dxa"/>
            <w:vAlign w:val="center"/>
          </w:tcPr>
          <w:p>
            <w:pPr>
              <w:spacing w:before="20" w:after="20"/>
              <w:jc w:val="right"/>
              <w:rPr>
                <w:b/>
                <w:noProof/>
                <w:sz w:val="20"/>
              </w:rPr>
            </w:pPr>
            <w:r>
              <w:rPr>
                <w:b/>
                <w:noProof/>
                <w:sz w:val="20"/>
              </w:rPr>
              <w:t>2,700</w:t>
            </w:r>
          </w:p>
        </w:tc>
        <w:tc>
          <w:tcPr>
            <w:tcW w:w="1200" w:type="dxa"/>
            <w:vAlign w:val="center"/>
          </w:tcPr>
          <w:p>
            <w:pPr>
              <w:spacing w:before="20" w:after="20"/>
              <w:jc w:val="right"/>
              <w:rPr>
                <w:b/>
                <w:noProof/>
                <w:sz w:val="20"/>
              </w:rPr>
            </w:pPr>
            <w:r>
              <w:rPr>
                <w:b/>
                <w:noProof/>
                <w:sz w:val="20"/>
              </w:rPr>
              <w:t>2,700</w:t>
            </w:r>
          </w:p>
        </w:tc>
        <w:tc>
          <w:tcPr>
            <w:tcW w:w="1200" w:type="dxa"/>
            <w:vAlign w:val="center"/>
          </w:tcPr>
          <w:p>
            <w:pPr>
              <w:spacing w:before="20" w:after="20"/>
              <w:jc w:val="right"/>
              <w:rPr>
                <w:b/>
                <w:noProof/>
                <w:sz w:val="20"/>
              </w:rPr>
            </w:pPr>
            <w:r>
              <w:rPr>
                <w:b/>
                <w:noProof/>
                <w:sz w:val="20"/>
              </w:rPr>
              <w:t>1,550</w:t>
            </w:r>
          </w:p>
        </w:tc>
        <w:tc>
          <w:tcPr>
            <w:tcW w:w="1200" w:type="dxa"/>
            <w:vAlign w:val="center"/>
          </w:tcPr>
          <w:p>
            <w:pPr>
              <w:spacing w:before="20" w:after="20"/>
              <w:jc w:val="right"/>
              <w:rPr>
                <w:b/>
                <w:noProof/>
                <w:sz w:val="20"/>
              </w:rPr>
            </w:pPr>
            <w:r>
              <w:rPr>
                <w:b/>
                <w:noProof/>
                <w:sz w:val="20"/>
              </w:rPr>
              <w:t>1,150</w:t>
            </w:r>
          </w:p>
        </w:tc>
        <w:tc>
          <w:tcPr>
            <w:tcW w:w="1560" w:type="dxa"/>
            <w:vAlign w:val="center"/>
          </w:tcPr>
          <w:p>
            <w:pPr>
              <w:spacing w:before="20" w:after="20"/>
              <w:jc w:val="right"/>
              <w:rPr>
                <w:b/>
                <w:noProof/>
                <w:sz w:val="20"/>
              </w:rPr>
            </w:pPr>
            <w:r>
              <w:rPr>
                <w:b/>
                <w:noProof/>
                <w:sz w:val="20"/>
              </w:rPr>
              <w:t>8,100</w:t>
            </w:r>
          </w:p>
        </w:tc>
      </w:tr>
    </w:tbl>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494"/>
        <w:gridCol w:w="1200"/>
        <w:gridCol w:w="1200"/>
        <w:gridCol w:w="1200"/>
        <w:gridCol w:w="1560"/>
      </w:tblGrid>
      <w:tr>
        <w:trPr>
          <w:jc w:val="center"/>
        </w:trP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1494" w:type="dxa"/>
            <w:vAlign w:val="center"/>
          </w:tcPr>
          <w:p>
            <w:pPr>
              <w:jc w:val="center"/>
              <w:rPr>
                <w:noProof/>
                <w:sz w:val="20"/>
              </w:rPr>
            </w:pPr>
            <w:r>
              <w:rPr>
                <w:noProof/>
                <w:sz w:val="20"/>
              </w:rPr>
              <w:t>Aasta</w:t>
            </w:r>
            <w:r>
              <w:rPr>
                <w:noProof/>
                <w:sz w:val="22"/>
              </w:rPr>
              <w:br/>
            </w:r>
            <w:r>
              <w:rPr>
                <w:b/>
                <w:noProof/>
                <w:sz w:val="20"/>
              </w:rPr>
              <w:t>2020</w:t>
            </w:r>
          </w:p>
        </w:tc>
        <w:tc>
          <w:tcPr>
            <w:tcW w:w="1200" w:type="dxa"/>
            <w:vAlign w:val="center"/>
          </w:tcPr>
          <w:p>
            <w:pPr>
              <w:jc w:val="center"/>
              <w:rPr>
                <w:noProof/>
                <w:sz w:val="20"/>
              </w:rPr>
            </w:pPr>
            <w:r>
              <w:rPr>
                <w:noProof/>
                <w:sz w:val="20"/>
              </w:rPr>
              <w:t>Aasta</w:t>
            </w:r>
            <w:r>
              <w:rPr>
                <w:noProof/>
                <w:sz w:val="22"/>
              </w:rPr>
              <w:br/>
            </w:r>
            <w:r>
              <w:rPr>
                <w:b/>
                <w:noProof/>
                <w:sz w:val="20"/>
              </w:rPr>
              <w:t>2021</w:t>
            </w:r>
          </w:p>
        </w:tc>
        <w:tc>
          <w:tcPr>
            <w:tcW w:w="1200" w:type="dxa"/>
            <w:vAlign w:val="center"/>
          </w:tcPr>
          <w:p>
            <w:pPr>
              <w:jc w:val="center"/>
              <w:rPr>
                <w:noProof/>
                <w:sz w:val="20"/>
              </w:rPr>
            </w:pPr>
            <w:r>
              <w:rPr>
                <w:noProof/>
                <w:sz w:val="20"/>
              </w:rPr>
              <w:t>Aasta</w:t>
            </w:r>
            <w:r>
              <w:rPr>
                <w:noProof/>
                <w:sz w:val="22"/>
              </w:rPr>
              <w:br/>
            </w:r>
            <w:r>
              <w:rPr>
                <w:b/>
                <w:noProof/>
                <w:sz w:val="20"/>
              </w:rPr>
              <w:t>2022</w:t>
            </w:r>
          </w:p>
        </w:tc>
        <w:tc>
          <w:tcPr>
            <w:tcW w:w="1200" w:type="dxa"/>
            <w:vAlign w:val="center"/>
          </w:tcPr>
          <w:p>
            <w:pPr>
              <w:jc w:val="center"/>
              <w:rPr>
                <w:noProof/>
                <w:sz w:val="20"/>
              </w:rPr>
            </w:pPr>
            <w:r>
              <w:rPr>
                <w:noProof/>
                <w:sz w:val="20"/>
              </w:rPr>
              <w:t>Aasta</w:t>
            </w:r>
            <w:r>
              <w:rPr>
                <w:noProof/>
                <w:sz w:val="22"/>
              </w:rPr>
              <w:br/>
            </w:r>
            <w:r>
              <w:rPr>
                <w:b/>
                <w:noProof/>
                <w:sz w:val="20"/>
              </w:rPr>
              <w:t>2023</w:t>
            </w:r>
          </w:p>
        </w:tc>
        <w:tc>
          <w:tcPr>
            <w:tcW w:w="1560" w:type="dxa"/>
            <w:vAlign w:val="center"/>
          </w:tcPr>
          <w:p>
            <w:pPr>
              <w:jc w:val="center"/>
              <w:rPr>
                <w:b/>
                <w:noProof/>
                <w:sz w:val="20"/>
              </w:rPr>
            </w:pPr>
            <w:r>
              <w:rPr>
                <w:b/>
                <w:noProof/>
                <w:sz w:val="20"/>
              </w:rPr>
              <w:t>KOKKU</w:t>
            </w:r>
          </w:p>
        </w:tc>
      </w:tr>
      <w:tr>
        <w:trPr>
          <w:jc w:val="center"/>
        </w:trPr>
        <w:tc>
          <w:tcPr>
            <w:tcW w:w="3960" w:type="dxa"/>
            <w:vMerge w:val="restart"/>
            <w:shd w:val="clear" w:color="auto" w:fill="C0C0C0"/>
            <w:vAlign w:val="center"/>
          </w:tcPr>
          <w:p>
            <w:pPr>
              <w:jc w:val="center"/>
              <w:rPr>
                <w:b/>
                <w:noProof/>
                <w:sz w:val="22"/>
              </w:rPr>
            </w:pPr>
            <w:r>
              <w:rPr>
                <w:noProof/>
                <w:sz w:val="22"/>
              </w:rPr>
              <w:t>Mitmeaastase finantsraamistiku</w:t>
            </w:r>
            <w:r>
              <w:rPr>
                <w:b/>
                <w:noProof/>
                <w:sz w:val="22"/>
              </w:rPr>
              <w:t xml:space="preserve"> </w:t>
            </w:r>
            <w:r>
              <w:rPr>
                <w:noProof/>
                <w:sz w:val="22"/>
              </w:rPr>
              <w:br/>
            </w:r>
            <w:r>
              <w:rPr>
                <w:b/>
                <w:noProof/>
                <w:sz w:val="22"/>
              </w:rPr>
              <w:t>RUBRIIKIDE 1–5</w:t>
            </w:r>
            <w:r>
              <w:rPr>
                <w:noProof/>
                <w:sz w:val="22"/>
              </w:rPr>
              <w:br/>
            </w:r>
            <w:r>
              <w:rPr>
                <w:b/>
                <w:bCs/>
                <w:noProof/>
                <w:sz w:val="22"/>
              </w:rPr>
              <w:t>assigneeringud KOKKU</w:t>
            </w:r>
            <w:r>
              <w:rPr>
                <w:b/>
                <w:noProof/>
                <w:sz w:val="22"/>
              </w:rPr>
              <w:t xml:space="preserve"> </w:t>
            </w:r>
          </w:p>
        </w:tc>
        <w:tc>
          <w:tcPr>
            <w:tcW w:w="2094" w:type="dxa"/>
            <w:gridSpan w:val="2"/>
            <w:vAlign w:val="center"/>
          </w:tcPr>
          <w:p>
            <w:pPr>
              <w:rPr>
                <w:noProof/>
                <w:sz w:val="14"/>
              </w:rPr>
            </w:pPr>
            <w:r>
              <w:rPr>
                <w:noProof/>
                <w:sz w:val="18"/>
              </w:rPr>
              <w:t>Kulukohustused</w:t>
            </w:r>
          </w:p>
        </w:tc>
        <w:tc>
          <w:tcPr>
            <w:tcW w:w="1494" w:type="dxa"/>
            <w:vAlign w:val="center"/>
          </w:tcPr>
          <w:p>
            <w:pPr>
              <w:spacing w:before="60" w:after="60"/>
              <w:jc w:val="right"/>
              <w:rPr>
                <w:noProof/>
                <w:sz w:val="20"/>
              </w:rPr>
            </w:pPr>
            <w:r>
              <w:rPr>
                <w:b/>
                <w:bCs/>
                <w:noProof/>
                <w:sz w:val="20"/>
                <w:szCs w:val="20"/>
              </w:rPr>
              <w:t>2 702,700</w:t>
            </w:r>
          </w:p>
        </w:tc>
        <w:tc>
          <w:tcPr>
            <w:tcW w:w="1200" w:type="dxa"/>
            <w:vAlign w:val="center"/>
          </w:tcPr>
          <w:p>
            <w:pPr>
              <w:spacing w:before="60" w:after="60"/>
              <w:jc w:val="right"/>
              <w:rPr>
                <w:noProof/>
                <w:sz w:val="20"/>
              </w:rPr>
            </w:pPr>
            <w:r>
              <w:rPr>
                <w:b/>
                <w:bCs/>
                <w:noProof/>
                <w:sz w:val="20"/>
                <w:szCs w:val="20"/>
              </w:rPr>
              <w:t>2,700</w:t>
            </w:r>
          </w:p>
        </w:tc>
        <w:tc>
          <w:tcPr>
            <w:tcW w:w="1200" w:type="dxa"/>
            <w:vAlign w:val="center"/>
          </w:tcPr>
          <w:p>
            <w:pPr>
              <w:spacing w:before="60" w:after="60"/>
              <w:jc w:val="right"/>
              <w:rPr>
                <w:noProof/>
                <w:sz w:val="20"/>
              </w:rPr>
            </w:pPr>
            <w:r>
              <w:rPr>
                <w:b/>
                <w:bCs/>
                <w:noProof/>
                <w:sz w:val="20"/>
                <w:szCs w:val="20"/>
              </w:rPr>
              <w:t>1,550</w:t>
            </w:r>
          </w:p>
        </w:tc>
        <w:tc>
          <w:tcPr>
            <w:tcW w:w="1200" w:type="dxa"/>
            <w:vAlign w:val="center"/>
          </w:tcPr>
          <w:p>
            <w:pPr>
              <w:spacing w:before="60" w:after="60"/>
              <w:jc w:val="right"/>
              <w:rPr>
                <w:noProof/>
                <w:sz w:val="20"/>
              </w:rPr>
            </w:pPr>
            <w:r>
              <w:rPr>
                <w:b/>
                <w:bCs/>
                <w:noProof/>
                <w:sz w:val="20"/>
                <w:szCs w:val="20"/>
              </w:rPr>
              <w:t>1,150</w:t>
            </w:r>
          </w:p>
        </w:tc>
        <w:tc>
          <w:tcPr>
            <w:tcW w:w="1560" w:type="dxa"/>
            <w:vAlign w:val="center"/>
          </w:tcPr>
          <w:p>
            <w:pPr>
              <w:spacing w:before="60" w:after="60"/>
              <w:jc w:val="right"/>
              <w:rPr>
                <w:b/>
                <w:noProof/>
                <w:sz w:val="20"/>
              </w:rPr>
            </w:pPr>
            <w:r>
              <w:rPr>
                <w:b/>
                <w:bCs/>
                <w:noProof/>
                <w:sz w:val="20"/>
                <w:szCs w:val="20"/>
              </w:rPr>
              <w:t>2 708,100</w:t>
            </w:r>
          </w:p>
        </w:tc>
      </w:tr>
      <w:tr>
        <w:trPr>
          <w:jc w:val="center"/>
        </w:trP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Maksed</w:t>
            </w:r>
          </w:p>
        </w:tc>
        <w:tc>
          <w:tcPr>
            <w:tcW w:w="1494" w:type="dxa"/>
            <w:vAlign w:val="center"/>
          </w:tcPr>
          <w:p>
            <w:pPr>
              <w:spacing w:before="60" w:after="60"/>
              <w:jc w:val="right"/>
              <w:rPr>
                <w:b/>
                <w:noProof/>
                <w:sz w:val="20"/>
              </w:rPr>
            </w:pPr>
            <w:r>
              <w:rPr>
                <w:b/>
                <w:bCs/>
                <w:noProof/>
                <w:sz w:val="20"/>
                <w:szCs w:val="20"/>
              </w:rPr>
              <w:t>1 382,700</w:t>
            </w:r>
          </w:p>
        </w:tc>
        <w:tc>
          <w:tcPr>
            <w:tcW w:w="1200" w:type="dxa"/>
            <w:vAlign w:val="center"/>
          </w:tcPr>
          <w:p>
            <w:pPr>
              <w:spacing w:before="60" w:after="60"/>
              <w:jc w:val="right"/>
              <w:rPr>
                <w:b/>
                <w:noProof/>
                <w:sz w:val="20"/>
              </w:rPr>
            </w:pPr>
            <w:r>
              <w:rPr>
                <w:b/>
                <w:bCs/>
                <w:noProof/>
                <w:sz w:val="20"/>
                <w:szCs w:val="20"/>
              </w:rPr>
              <w:t>792,700</w:t>
            </w:r>
          </w:p>
        </w:tc>
        <w:tc>
          <w:tcPr>
            <w:tcW w:w="1200" w:type="dxa"/>
            <w:vAlign w:val="center"/>
          </w:tcPr>
          <w:p>
            <w:pPr>
              <w:spacing w:before="60" w:after="60"/>
              <w:jc w:val="right"/>
              <w:rPr>
                <w:b/>
                <w:noProof/>
                <w:sz w:val="20"/>
              </w:rPr>
            </w:pPr>
            <w:r>
              <w:rPr>
                <w:b/>
                <w:bCs/>
                <w:noProof/>
                <w:sz w:val="20"/>
                <w:szCs w:val="20"/>
              </w:rPr>
              <w:t>266,550</w:t>
            </w:r>
          </w:p>
        </w:tc>
        <w:tc>
          <w:tcPr>
            <w:tcW w:w="1200" w:type="dxa"/>
            <w:vAlign w:val="center"/>
          </w:tcPr>
          <w:p>
            <w:pPr>
              <w:spacing w:before="60" w:after="60"/>
              <w:jc w:val="right"/>
              <w:rPr>
                <w:b/>
                <w:noProof/>
                <w:sz w:val="20"/>
              </w:rPr>
            </w:pPr>
            <w:r>
              <w:rPr>
                <w:b/>
                <w:bCs/>
                <w:noProof/>
                <w:sz w:val="20"/>
                <w:szCs w:val="20"/>
              </w:rPr>
              <w:t>266,150</w:t>
            </w:r>
          </w:p>
        </w:tc>
        <w:tc>
          <w:tcPr>
            <w:tcW w:w="1560" w:type="dxa"/>
            <w:vAlign w:val="center"/>
          </w:tcPr>
          <w:p>
            <w:pPr>
              <w:spacing w:before="60" w:after="60"/>
              <w:jc w:val="right"/>
              <w:rPr>
                <w:b/>
                <w:noProof/>
                <w:sz w:val="20"/>
              </w:rPr>
            </w:pPr>
            <w:r>
              <w:rPr>
                <w:b/>
                <w:bCs/>
                <w:noProof/>
                <w:sz w:val="20"/>
                <w:szCs w:val="20"/>
              </w:rPr>
              <w:t>2 708,100</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Hinnanguline mõju tegevusassigneeringutele </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t>X</w:t>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tbl>
      <w:tblPr>
        <w:tblW w:w="10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7"/>
        <w:gridCol w:w="985"/>
        <w:gridCol w:w="1038"/>
        <w:gridCol w:w="720"/>
        <w:gridCol w:w="13"/>
        <w:gridCol w:w="947"/>
        <w:gridCol w:w="720"/>
        <w:gridCol w:w="29"/>
        <w:gridCol w:w="1171"/>
        <w:gridCol w:w="912"/>
      </w:tblGrid>
      <w:tr>
        <w:trPr>
          <w:jc w:val="right"/>
        </w:trPr>
        <w:tc>
          <w:tcPr>
            <w:tcW w:w="3867" w:type="dxa"/>
            <w:vMerge w:val="restart"/>
            <w:vAlign w:val="center"/>
          </w:tcPr>
          <w:p>
            <w:pPr>
              <w:ind w:right="-29"/>
              <w:jc w:val="center"/>
              <w:rPr>
                <w:noProof/>
                <w:sz w:val="18"/>
                <w:szCs w:val="18"/>
              </w:rPr>
            </w:pPr>
            <w:r>
              <w:rPr>
                <w:b/>
                <w:noProof/>
                <w:sz w:val="18"/>
              </w:rPr>
              <w:t>Märkige eesmärgid ja väljundid</w:t>
            </w:r>
            <w:r>
              <w:rPr>
                <w:noProof/>
                <w:sz w:val="18"/>
              </w:rPr>
              <w:sym w:font="Wingdings" w:char="F0F2"/>
            </w:r>
          </w:p>
        </w:tc>
        <w:tc>
          <w:tcPr>
            <w:tcW w:w="985" w:type="dxa"/>
            <w:vAlign w:val="center"/>
          </w:tcPr>
          <w:p>
            <w:pPr>
              <w:ind w:right="-29"/>
              <w:jc w:val="center"/>
              <w:rPr>
                <w:noProof/>
                <w:sz w:val="18"/>
                <w:szCs w:val="18"/>
              </w:rPr>
            </w:pPr>
          </w:p>
        </w:tc>
        <w:tc>
          <w:tcPr>
            <w:tcW w:w="1771" w:type="dxa"/>
            <w:gridSpan w:val="3"/>
            <w:tcBorders>
              <w:left w:val="nil"/>
            </w:tcBorders>
            <w:vAlign w:val="center"/>
          </w:tcPr>
          <w:p>
            <w:pPr>
              <w:ind w:right="-29"/>
              <w:jc w:val="center"/>
              <w:rPr>
                <w:noProof/>
                <w:sz w:val="18"/>
                <w:szCs w:val="18"/>
              </w:rPr>
            </w:pPr>
            <w:r>
              <w:rPr>
                <w:noProof/>
                <w:sz w:val="20"/>
              </w:rPr>
              <w:t>Aasta</w:t>
            </w:r>
            <w:r>
              <w:rPr>
                <w:noProof/>
                <w:sz w:val="22"/>
              </w:rPr>
              <w:br/>
            </w:r>
            <w:r>
              <w:rPr>
                <w:b/>
                <w:noProof/>
                <w:sz w:val="18"/>
              </w:rPr>
              <w:t>2020</w:t>
            </w:r>
          </w:p>
        </w:tc>
        <w:tc>
          <w:tcPr>
            <w:tcW w:w="1696" w:type="dxa"/>
            <w:gridSpan w:val="3"/>
            <w:vAlign w:val="center"/>
          </w:tcPr>
          <w:p>
            <w:pPr>
              <w:ind w:right="-29"/>
              <w:jc w:val="center"/>
              <w:rPr>
                <w:noProof/>
                <w:sz w:val="18"/>
                <w:szCs w:val="18"/>
              </w:rPr>
            </w:pPr>
            <w:r>
              <w:rPr>
                <w:noProof/>
                <w:sz w:val="20"/>
              </w:rPr>
              <w:t>Aasta</w:t>
            </w:r>
            <w:r>
              <w:rPr>
                <w:noProof/>
                <w:sz w:val="22"/>
              </w:rPr>
              <w:br/>
            </w:r>
            <w:r>
              <w:rPr>
                <w:b/>
                <w:noProof/>
                <w:sz w:val="18"/>
              </w:rPr>
              <w:t>2021</w:t>
            </w:r>
          </w:p>
        </w:tc>
        <w:tc>
          <w:tcPr>
            <w:tcW w:w="2083" w:type="dxa"/>
            <w:gridSpan w:val="2"/>
            <w:tcBorders>
              <w:left w:val="nil"/>
              <w:bottom w:val="nil"/>
            </w:tcBorders>
            <w:vAlign w:val="center"/>
          </w:tcPr>
          <w:p>
            <w:pPr>
              <w:ind w:right="-29"/>
              <w:jc w:val="center"/>
              <w:rPr>
                <w:noProof/>
                <w:sz w:val="18"/>
                <w:szCs w:val="18"/>
              </w:rPr>
            </w:pPr>
            <w:r>
              <w:rPr>
                <w:b/>
                <w:noProof/>
                <w:sz w:val="18"/>
              </w:rPr>
              <w:t>KOKKU</w:t>
            </w:r>
          </w:p>
        </w:tc>
      </w:tr>
      <w:tr>
        <w:trPr>
          <w:trHeight w:val="260"/>
          <w:jc w:val="right"/>
        </w:trPr>
        <w:tc>
          <w:tcPr>
            <w:tcW w:w="3867" w:type="dxa"/>
            <w:vMerge/>
            <w:vAlign w:val="center"/>
          </w:tcPr>
          <w:p>
            <w:pPr>
              <w:ind w:right="-29"/>
              <w:jc w:val="center"/>
              <w:rPr>
                <w:b/>
                <w:noProof/>
                <w:sz w:val="18"/>
              </w:rPr>
            </w:pPr>
          </w:p>
        </w:tc>
        <w:tc>
          <w:tcPr>
            <w:tcW w:w="6535" w:type="dxa"/>
            <w:gridSpan w:val="9"/>
            <w:vAlign w:val="center"/>
          </w:tcPr>
          <w:p>
            <w:pPr>
              <w:ind w:right="-29"/>
              <w:jc w:val="center"/>
              <w:rPr>
                <w:b/>
                <w:noProof/>
                <w:sz w:val="18"/>
              </w:rPr>
            </w:pPr>
            <w:r>
              <w:rPr>
                <w:b/>
                <w:noProof/>
                <w:sz w:val="18"/>
              </w:rPr>
              <w:t>VÄLJUNDID</w:t>
            </w:r>
          </w:p>
        </w:tc>
      </w:tr>
      <w:tr>
        <w:trPr>
          <w:cantSplit/>
          <w:trHeight w:val="1134"/>
          <w:jc w:val="right"/>
        </w:trPr>
        <w:tc>
          <w:tcPr>
            <w:tcW w:w="3867" w:type="dxa"/>
            <w:vMerge/>
            <w:tcBorders>
              <w:bottom w:val="single" w:sz="4" w:space="0" w:color="auto"/>
            </w:tcBorders>
            <w:vAlign w:val="center"/>
          </w:tcPr>
          <w:p>
            <w:pPr>
              <w:rPr>
                <w:noProof/>
                <w:sz w:val="18"/>
                <w:szCs w:val="18"/>
              </w:rPr>
            </w:pPr>
          </w:p>
        </w:tc>
        <w:tc>
          <w:tcPr>
            <w:tcW w:w="985" w:type="dxa"/>
            <w:tcBorders>
              <w:bottom w:val="single" w:sz="4" w:space="0" w:color="auto"/>
            </w:tcBorders>
            <w:vAlign w:val="center"/>
          </w:tcPr>
          <w:p>
            <w:pPr>
              <w:jc w:val="center"/>
              <w:rPr>
                <w:noProof/>
                <w:sz w:val="18"/>
                <w:szCs w:val="18"/>
              </w:rPr>
            </w:pPr>
            <w:r>
              <w:rPr>
                <w:noProof/>
                <w:sz w:val="18"/>
              </w:rPr>
              <w:t>Keskmine kulu</w:t>
            </w:r>
          </w:p>
        </w:tc>
        <w:tc>
          <w:tcPr>
            <w:tcW w:w="1038" w:type="dxa"/>
            <w:tcBorders>
              <w:left w:val="nil"/>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bottom w:val="single" w:sz="4" w:space="0" w:color="auto"/>
            </w:tcBorders>
            <w:shd w:val="clear" w:color="auto" w:fill="auto"/>
            <w:vAlign w:val="center"/>
          </w:tcPr>
          <w:p>
            <w:pPr>
              <w:jc w:val="center"/>
              <w:rPr>
                <w:noProof/>
                <w:sz w:val="18"/>
                <w:szCs w:val="18"/>
              </w:rPr>
            </w:pPr>
            <w:r>
              <w:rPr>
                <w:noProof/>
                <w:sz w:val="18"/>
              </w:rPr>
              <w:t>Kulu</w:t>
            </w:r>
          </w:p>
        </w:tc>
        <w:tc>
          <w:tcPr>
            <w:tcW w:w="960" w:type="dxa"/>
            <w:gridSpan w:val="2"/>
            <w:tcBorders>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bottom w:val="single" w:sz="4" w:space="0" w:color="auto"/>
            </w:tcBorders>
            <w:shd w:val="clear" w:color="auto" w:fill="auto"/>
            <w:vAlign w:val="center"/>
          </w:tcPr>
          <w:p>
            <w:pPr>
              <w:jc w:val="center"/>
              <w:rPr>
                <w:noProof/>
                <w:sz w:val="18"/>
                <w:szCs w:val="18"/>
              </w:rPr>
            </w:pPr>
            <w:r>
              <w:rPr>
                <w:noProof/>
                <w:sz w:val="18"/>
              </w:rPr>
              <w:t>Kulu</w:t>
            </w:r>
          </w:p>
        </w:tc>
        <w:tc>
          <w:tcPr>
            <w:tcW w:w="1200" w:type="dxa"/>
            <w:gridSpan w:val="2"/>
            <w:tcBorders>
              <w:bottom w:val="single" w:sz="4" w:space="0" w:color="auto"/>
              <w:right w:val="dashSmallGap" w:sz="4" w:space="0" w:color="auto"/>
            </w:tcBorders>
            <w:shd w:val="clear" w:color="auto" w:fill="auto"/>
            <w:vAlign w:val="center"/>
          </w:tcPr>
          <w:p>
            <w:pPr>
              <w:jc w:val="center"/>
              <w:rPr>
                <w:noProof/>
                <w:sz w:val="18"/>
                <w:szCs w:val="18"/>
              </w:rPr>
            </w:pPr>
            <w:r>
              <w:rPr>
                <w:noProof/>
                <w:sz w:val="18"/>
              </w:rPr>
              <w:t>Väljundite arv kokku</w:t>
            </w:r>
          </w:p>
        </w:tc>
        <w:tc>
          <w:tcPr>
            <w:tcW w:w="912" w:type="dxa"/>
            <w:tcBorders>
              <w:left w:val="dashSmallGap" w:sz="4" w:space="0" w:color="auto"/>
              <w:bottom w:val="single" w:sz="4" w:space="0" w:color="auto"/>
            </w:tcBorders>
            <w:shd w:val="clear" w:color="auto" w:fill="auto"/>
            <w:vAlign w:val="center"/>
          </w:tcPr>
          <w:p>
            <w:pPr>
              <w:jc w:val="center"/>
              <w:rPr>
                <w:noProof/>
                <w:sz w:val="18"/>
                <w:szCs w:val="18"/>
              </w:rPr>
            </w:pPr>
            <w:r>
              <w:rPr>
                <w:noProof/>
                <w:sz w:val="18"/>
              </w:rPr>
              <w:t>Kulud kokku</w:t>
            </w:r>
          </w:p>
        </w:tc>
      </w:tr>
      <w:tr>
        <w:trPr>
          <w:trHeight w:hRule="exact" w:val="340"/>
          <w:jc w:val="right"/>
        </w:trPr>
        <w:tc>
          <w:tcPr>
            <w:tcW w:w="10402" w:type="dxa"/>
            <w:gridSpan w:val="10"/>
            <w:tcBorders>
              <w:top w:val="single" w:sz="4" w:space="0" w:color="auto"/>
            </w:tcBorders>
          </w:tcPr>
          <w:p>
            <w:pPr>
              <w:ind w:right="-29"/>
              <w:jc w:val="left"/>
              <w:rPr>
                <w:noProof/>
                <w:sz w:val="18"/>
                <w:szCs w:val="18"/>
              </w:rPr>
            </w:pPr>
            <w:r>
              <w:rPr>
                <w:noProof/>
                <w:sz w:val="18"/>
                <w:szCs w:val="18"/>
              </w:rPr>
              <w:t>ERIEESMÄRK</w:t>
            </w:r>
            <w:r>
              <w:rPr>
                <w:rStyle w:val="FootnoteReference"/>
                <w:noProof/>
                <w:sz w:val="18"/>
                <w:szCs w:val="18"/>
              </w:rPr>
              <w:footnoteReference w:id="14"/>
            </w:r>
            <w:r>
              <w:rPr>
                <w:noProof/>
                <w:sz w:val="18"/>
                <w:szCs w:val="18"/>
              </w:rPr>
              <w:t>:</w:t>
            </w:r>
          </w:p>
        </w:tc>
      </w:tr>
      <w:tr>
        <w:trPr>
          <w:trHeight w:hRule="exact" w:val="340"/>
          <w:jc w:val="right"/>
        </w:trPr>
        <w:tc>
          <w:tcPr>
            <w:tcW w:w="3867" w:type="dxa"/>
            <w:tcBorders>
              <w:top w:val="single" w:sz="4" w:space="0" w:color="auto"/>
            </w:tcBorders>
          </w:tcPr>
          <w:p>
            <w:pPr>
              <w:ind w:right="-29"/>
              <w:rPr>
                <w:noProof/>
                <w:sz w:val="18"/>
                <w:szCs w:val="18"/>
              </w:rPr>
            </w:pPr>
            <w:r>
              <w:rPr>
                <w:noProof/>
                <w:sz w:val="18"/>
              </w:rPr>
              <w:t>Vahendite transport</w:t>
            </w:r>
          </w:p>
        </w:tc>
        <w:tc>
          <w:tcPr>
            <w:tcW w:w="985" w:type="dxa"/>
            <w:tcBorders>
              <w:top w:val="single" w:sz="4" w:space="0" w:color="auto"/>
            </w:tcBorders>
          </w:tcPr>
          <w:p>
            <w:pPr>
              <w:ind w:right="-29"/>
              <w:jc w:val="center"/>
              <w:rPr>
                <w:noProof/>
                <w:sz w:val="18"/>
                <w:szCs w:val="18"/>
              </w:rPr>
            </w:pPr>
            <w:r>
              <w:rPr>
                <w:noProof/>
                <w:sz w:val="18"/>
                <w:szCs w:val="18"/>
              </w:rPr>
              <w:t>1</w:t>
            </w:r>
          </w:p>
        </w:tc>
        <w:tc>
          <w:tcPr>
            <w:tcW w:w="1038" w:type="dxa"/>
            <w:tcBorders>
              <w:top w:val="single" w:sz="4" w:space="0" w:color="auto"/>
              <w:right w:val="dashSmallGap" w:sz="4" w:space="0" w:color="auto"/>
            </w:tcBorders>
          </w:tcPr>
          <w:p>
            <w:pPr>
              <w:ind w:right="-29"/>
              <w:jc w:val="center"/>
              <w:rPr>
                <w:noProof/>
                <w:sz w:val="18"/>
                <w:szCs w:val="18"/>
              </w:rPr>
            </w:pPr>
            <w:r>
              <w:rPr>
                <w:noProof/>
                <w:sz w:val="18"/>
                <w:szCs w:val="18"/>
              </w:rPr>
              <w:t>80</w:t>
            </w:r>
          </w:p>
        </w:tc>
        <w:tc>
          <w:tcPr>
            <w:tcW w:w="720" w:type="dxa"/>
            <w:tcBorders>
              <w:top w:val="single" w:sz="4" w:space="0" w:color="auto"/>
              <w:left w:val="dashSmallGap" w:sz="4" w:space="0" w:color="auto"/>
            </w:tcBorders>
          </w:tcPr>
          <w:p>
            <w:pPr>
              <w:ind w:right="-29"/>
              <w:jc w:val="center"/>
              <w:rPr>
                <w:noProof/>
                <w:sz w:val="18"/>
                <w:szCs w:val="18"/>
              </w:rPr>
            </w:pPr>
            <w:r>
              <w:rPr>
                <w:noProof/>
                <w:sz w:val="18"/>
                <w:szCs w:val="18"/>
              </w:rPr>
              <w:t>80</w:t>
            </w:r>
          </w:p>
        </w:tc>
        <w:tc>
          <w:tcPr>
            <w:tcW w:w="960" w:type="dxa"/>
            <w:gridSpan w:val="2"/>
            <w:tcBorders>
              <w:top w:val="single" w:sz="4" w:space="0" w:color="auto"/>
              <w:right w:val="dashSmallGap" w:sz="4" w:space="0" w:color="auto"/>
            </w:tcBorders>
          </w:tcPr>
          <w:p>
            <w:pPr>
              <w:ind w:right="-29"/>
              <w:jc w:val="center"/>
              <w:rPr>
                <w:noProof/>
                <w:sz w:val="18"/>
                <w:szCs w:val="18"/>
              </w:rPr>
            </w:pPr>
            <w:r>
              <w:rPr>
                <w:noProof/>
                <w:sz w:val="18"/>
                <w:szCs w:val="18"/>
              </w:rPr>
              <w:t>20</w:t>
            </w:r>
          </w:p>
        </w:tc>
        <w:tc>
          <w:tcPr>
            <w:tcW w:w="720" w:type="dxa"/>
            <w:tcBorders>
              <w:top w:val="single" w:sz="4" w:space="0" w:color="auto"/>
              <w:left w:val="dashSmallGap" w:sz="4" w:space="0" w:color="auto"/>
            </w:tcBorders>
          </w:tcPr>
          <w:p>
            <w:pPr>
              <w:ind w:right="-29"/>
              <w:jc w:val="center"/>
              <w:rPr>
                <w:noProof/>
                <w:sz w:val="18"/>
                <w:szCs w:val="18"/>
              </w:rPr>
            </w:pPr>
            <w:r>
              <w:rPr>
                <w:noProof/>
                <w:sz w:val="18"/>
                <w:szCs w:val="18"/>
              </w:rPr>
              <w:t>20</w:t>
            </w:r>
          </w:p>
        </w:tc>
        <w:tc>
          <w:tcPr>
            <w:tcW w:w="1200" w:type="dxa"/>
            <w:gridSpan w:val="2"/>
            <w:tcBorders>
              <w:top w:val="single" w:sz="4" w:space="0" w:color="auto"/>
            </w:tcBorders>
          </w:tcPr>
          <w:p>
            <w:pPr>
              <w:ind w:right="-29"/>
              <w:jc w:val="center"/>
              <w:rPr>
                <w:noProof/>
                <w:sz w:val="18"/>
                <w:szCs w:val="18"/>
              </w:rPr>
            </w:pPr>
            <w:r>
              <w:rPr>
                <w:noProof/>
                <w:sz w:val="18"/>
                <w:szCs w:val="18"/>
              </w:rPr>
              <w:t>100</w:t>
            </w:r>
          </w:p>
        </w:tc>
        <w:tc>
          <w:tcPr>
            <w:tcW w:w="912" w:type="dxa"/>
            <w:tcBorders>
              <w:top w:val="single" w:sz="4" w:space="0" w:color="auto"/>
            </w:tcBorders>
          </w:tcPr>
          <w:p>
            <w:pPr>
              <w:ind w:right="-29"/>
              <w:jc w:val="center"/>
              <w:rPr>
                <w:noProof/>
                <w:sz w:val="18"/>
                <w:szCs w:val="18"/>
              </w:rPr>
            </w:pPr>
            <w:r>
              <w:rPr>
                <w:noProof/>
                <w:sz w:val="18"/>
                <w:szCs w:val="18"/>
              </w:rPr>
              <w:t>100</w:t>
            </w:r>
          </w:p>
        </w:tc>
      </w:tr>
      <w:tr>
        <w:trPr>
          <w:trHeight w:hRule="exact" w:val="352"/>
          <w:jc w:val="right"/>
        </w:trPr>
        <w:tc>
          <w:tcPr>
            <w:tcW w:w="3867" w:type="dxa"/>
          </w:tcPr>
          <w:p>
            <w:pPr>
              <w:ind w:right="-29"/>
              <w:rPr>
                <w:noProof/>
                <w:sz w:val="18"/>
                <w:szCs w:val="18"/>
              </w:rPr>
            </w:pPr>
            <w:r>
              <w:rPr>
                <w:noProof/>
                <w:sz w:val="18"/>
              </w:rPr>
              <w:t>Ajutised haiglad ja meditsiinirühmad</w:t>
            </w:r>
          </w:p>
        </w:tc>
        <w:tc>
          <w:tcPr>
            <w:tcW w:w="985" w:type="dxa"/>
          </w:tcPr>
          <w:p>
            <w:pPr>
              <w:ind w:right="-29"/>
              <w:jc w:val="center"/>
              <w:rPr>
                <w:noProof/>
                <w:sz w:val="18"/>
                <w:szCs w:val="18"/>
              </w:rPr>
            </w:pPr>
            <w:r>
              <w:rPr>
                <w:noProof/>
                <w:sz w:val="18"/>
                <w:szCs w:val="18"/>
              </w:rPr>
              <w:t>10</w:t>
            </w:r>
          </w:p>
        </w:tc>
        <w:tc>
          <w:tcPr>
            <w:tcW w:w="1038" w:type="dxa"/>
            <w:tcBorders>
              <w:right w:val="dashSmallGap" w:sz="4" w:space="0" w:color="auto"/>
            </w:tcBorders>
          </w:tcPr>
          <w:p>
            <w:pPr>
              <w:ind w:right="-29"/>
              <w:jc w:val="center"/>
              <w:rPr>
                <w:noProof/>
                <w:sz w:val="18"/>
                <w:szCs w:val="18"/>
              </w:rPr>
            </w:pPr>
            <w:r>
              <w:rPr>
                <w:noProof/>
                <w:sz w:val="18"/>
                <w:szCs w:val="18"/>
              </w:rPr>
              <w:t>9,6</w:t>
            </w:r>
          </w:p>
        </w:tc>
        <w:tc>
          <w:tcPr>
            <w:tcW w:w="720" w:type="dxa"/>
            <w:tcBorders>
              <w:left w:val="dashSmallGap" w:sz="4" w:space="0" w:color="auto"/>
            </w:tcBorders>
          </w:tcPr>
          <w:p>
            <w:pPr>
              <w:ind w:right="-29"/>
              <w:jc w:val="center"/>
              <w:rPr>
                <w:noProof/>
                <w:sz w:val="18"/>
                <w:szCs w:val="18"/>
              </w:rPr>
            </w:pPr>
            <w:r>
              <w:rPr>
                <w:noProof/>
                <w:sz w:val="18"/>
                <w:szCs w:val="18"/>
              </w:rPr>
              <w:t>96</w:t>
            </w:r>
          </w:p>
        </w:tc>
        <w:tc>
          <w:tcPr>
            <w:tcW w:w="960" w:type="dxa"/>
            <w:gridSpan w:val="2"/>
            <w:tcBorders>
              <w:right w:val="dashSmallGap" w:sz="4" w:space="0" w:color="auto"/>
            </w:tcBorders>
          </w:tcPr>
          <w:p>
            <w:pPr>
              <w:ind w:right="-29"/>
              <w:jc w:val="center"/>
              <w:rPr>
                <w:noProof/>
                <w:sz w:val="18"/>
                <w:szCs w:val="18"/>
              </w:rPr>
            </w:pPr>
            <w:r>
              <w:rPr>
                <w:noProof/>
                <w:sz w:val="18"/>
                <w:szCs w:val="18"/>
              </w:rPr>
              <w:t>2,4</w:t>
            </w:r>
          </w:p>
        </w:tc>
        <w:tc>
          <w:tcPr>
            <w:tcW w:w="720" w:type="dxa"/>
            <w:tcBorders>
              <w:left w:val="dashSmallGap" w:sz="4" w:space="0" w:color="auto"/>
            </w:tcBorders>
          </w:tcPr>
          <w:p>
            <w:pPr>
              <w:ind w:right="-29"/>
              <w:jc w:val="center"/>
              <w:rPr>
                <w:noProof/>
                <w:sz w:val="18"/>
                <w:szCs w:val="18"/>
              </w:rPr>
            </w:pPr>
            <w:r>
              <w:rPr>
                <w:noProof/>
                <w:sz w:val="18"/>
                <w:szCs w:val="18"/>
              </w:rPr>
              <w:t>24</w:t>
            </w:r>
          </w:p>
        </w:tc>
        <w:tc>
          <w:tcPr>
            <w:tcW w:w="1200" w:type="dxa"/>
            <w:gridSpan w:val="2"/>
          </w:tcPr>
          <w:p>
            <w:pPr>
              <w:ind w:right="-29"/>
              <w:jc w:val="center"/>
              <w:rPr>
                <w:noProof/>
                <w:sz w:val="18"/>
                <w:szCs w:val="18"/>
              </w:rPr>
            </w:pPr>
            <w:r>
              <w:rPr>
                <w:noProof/>
                <w:sz w:val="18"/>
                <w:szCs w:val="18"/>
              </w:rPr>
              <w:t>12</w:t>
            </w:r>
          </w:p>
        </w:tc>
        <w:tc>
          <w:tcPr>
            <w:tcW w:w="912" w:type="dxa"/>
          </w:tcPr>
          <w:p>
            <w:pPr>
              <w:ind w:right="-29"/>
              <w:jc w:val="center"/>
              <w:rPr>
                <w:noProof/>
                <w:sz w:val="18"/>
                <w:szCs w:val="18"/>
              </w:rPr>
            </w:pPr>
            <w:r>
              <w:rPr>
                <w:noProof/>
                <w:sz w:val="18"/>
                <w:szCs w:val="18"/>
              </w:rPr>
              <w:t>120</w:t>
            </w:r>
          </w:p>
        </w:tc>
      </w:tr>
      <w:tr>
        <w:trPr>
          <w:trHeight w:hRule="exact" w:val="352"/>
          <w:jc w:val="right"/>
        </w:trPr>
        <w:tc>
          <w:tcPr>
            <w:tcW w:w="3867" w:type="dxa"/>
          </w:tcPr>
          <w:p>
            <w:pPr>
              <w:ind w:right="-29"/>
              <w:rPr>
                <w:noProof/>
                <w:sz w:val="18"/>
                <w:szCs w:val="18"/>
              </w:rPr>
            </w:pPr>
            <w:r>
              <w:rPr>
                <w:noProof/>
                <w:sz w:val="18"/>
              </w:rPr>
              <w:t>COVIDile spetsialiseerunud haiglad</w:t>
            </w:r>
          </w:p>
        </w:tc>
        <w:tc>
          <w:tcPr>
            <w:tcW w:w="985" w:type="dxa"/>
          </w:tcPr>
          <w:p>
            <w:pPr>
              <w:ind w:right="-29"/>
              <w:jc w:val="center"/>
              <w:rPr>
                <w:noProof/>
                <w:sz w:val="18"/>
                <w:szCs w:val="18"/>
              </w:rPr>
            </w:pPr>
            <w:r>
              <w:rPr>
                <w:noProof/>
                <w:sz w:val="18"/>
                <w:szCs w:val="18"/>
              </w:rPr>
              <w:t>100</w:t>
            </w:r>
          </w:p>
        </w:tc>
        <w:tc>
          <w:tcPr>
            <w:tcW w:w="1038" w:type="dxa"/>
          </w:tcPr>
          <w:p>
            <w:pPr>
              <w:ind w:right="-29"/>
              <w:jc w:val="center"/>
              <w:rPr>
                <w:noProof/>
                <w:sz w:val="18"/>
                <w:szCs w:val="18"/>
              </w:rPr>
            </w:pPr>
            <w:r>
              <w:rPr>
                <w:noProof/>
                <w:sz w:val="18"/>
                <w:szCs w:val="18"/>
              </w:rPr>
              <w:t>8</w:t>
            </w:r>
          </w:p>
        </w:tc>
        <w:tc>
          <w:tcPr>
            <w:tcW w:w="720" w:type="dxa"/>
          </w:tcPr>
          <w:p>
            <w:pPr>
              <w:ind w:right="-29"/>
              <w:jc w:val="center"/>
              <w:rPr>
                <w:noProof/>
                <w:sz w:val="18"/>
                <w:szCs w:val="18"/>
              </w:rPr>
            </w:pPr>
            <w:r>
              <w:rPr>
                <w:noProof/>
                <w:sz w:val="18"/>
                <w:szCs w:val="18"/>
              </w:rPr>
              <w:t>800</w:t>
            </w:r>
          </w:p>
        </w:tc>
        <w:tc>
          <w:tcPr>
            <w:tcW w:w="960" w:type="dxa"/>
            <w:gridSpan w:val="2"/>
          </w:tcPr>
          <w:p>
            <w:pPr>
              <w:ind w:right="-29"/>
              <w:jc w:val="center"/>
              <w:rPr>
                <w:noProof/>
                <w:sz w:val="18"/>
                <w:szCs w:val="18"/>
              </w:rPr>
            </w:pPr>
            <w:r>
              <w:rPr>
                <w:noProof/>
                <w:sz w:val="18"/>
                <w:szCs w:val="18"/>
              </w:rPr>
              <w:t>2</w:t>
            </w:r>
          </w:p>
        </w:tc>
        <w:tc>
          <w:tcPr>
            <w:tcW w:w="720" w:type="dxa"/>
          </w:tcPr>
          <w:p>
            <w:pPr>
              <w:ind w:right="-29"/>
              <w:jc w:val="center"/>
              <w:rPr>
                <w:noProof/>
                <w:sz w:val="18"/>
                <w:szCs w:val="18"/>
              </w:rPr>
            </w:pPr>
            <w:r>
              <w:rPr>
                <w:noProof/>
                <w:sz w:val="18"/>
                <w:szCs w:val="18"/>
              </w:rPr>
              <w:t>200</w:t>
            </w:r>
          </w:p>
        </w:tc>
        <w:tc>
          <w:tcPr>
            <w:tcW w:w="1200" w:type="dxa"/>
            <w:gridSpan w:val="2"/>
          </w:tcPr>
          <w:p>
            <w:pPr>
              <w:ind w:right="-29"/>
              <w:jc w:val="center"/>
              <w:rPr>
                <w:noProof/>
                <w:sz w:val="18"/>
                <w:szCs w:val="18"/>
              </w:rPr>
            </w:pPr>
            <w:r>
              <w:rPr>
                <w:noProof/>
                <w:sz w:val="18"/>
                <w:szCs w:val="18"/>
              </w:rPr>
              <w:t>10</w:t>
            </w:r>
          </w:p>
        </w:tc>
        <w:tc>
          <w:tcPr>
            <w:tcW w:w="912" w:type="dxa"/>
          </w:tcPr>
          <w:p>
            <w:pPr>
              <w:ind w:right="-29"/>
              <w:jc w:val="center"/>
              <w:rPr>
                <w:noProof/>
                <w:sz w:val="18"/>
                <w:szCs w:val="18"/>
              </w:rPr>
            </w:pPr>
            <w:r>
              <w:rPr>
                <w:noProof/>
                <w:sz w:val="18"/>
                <w:szCs w:val="18"/>
              </w:rPr>
              <w:t>1 000</w:t>
            </w:r>
          </w:p>
        </w:tc>
      </w:tr>
      <w:tr>
        <w:trPr>
          <w:trHeight w:hRule="exact" w:val="364"/>
          <w:jc w:val="right"/>
        </w:trPr>
        <w:tc>
          <w:tcPr>
            <w:tcW w:w="3867" w:type="dxa"/>
          </w:tcPr>
          <w:p>
            <w:pPr>
              <w:ind w:right="-29"/>
              <w:rPr>
                <w:noProof/>
                <w:sz w:val="18"/>
              </w:rPr>
            </w:pPr>
            <w:r>
              <w:rPr>
                <w:noProof/>
                <w:sz w:val="18"/>
              </w:rPr>
              <w:t>Meditsiinivahendid (hingamisaparaadid)</w:t>
            </w:r>
          </w:p>
        </w:tc>
        <w:tc>
          <w:tcPr>
            <w:tcW w:w="985" w:type="dxa"/>
          </w:tcPr>
          <w:p>
            <w:pPr>
              <w:ind w:right="-29"/>
              <w:jc w:val="center"/>
              <w:rPr>
                <w:noProof/>
                <w:sz w:val="18"/>
                <w:szCs w:val="18"/>
              </w:rPr>
            </w:pPr>
            <w:r>
              <w:rPr>
                <w:noProof/>
                <w:sz w:val="18"/>
                <w:szCs w:val="18"/>
              </w:rPr>
              <w:t>0,018</w:t>
            </w:r>
          </w:p>
        </w:tc>
        <w:tc>
          <w:tcPr>
            <w:tcW w:w="1038" w:type="dxa"/>
          </w:tcPr>
          <w:p>
            <w:pPr>
              <w:ind w:right="-29"/>
              <w:jc w:val="center"/>
              <w:rPr>
                <w:noProof/>
                <w:sz w:val="18"/>
                <w:szCs w:val="18"/>
              </w:rPr>
            </w:pPr>
            <w:r>
              <w:rPr>
                <w:noProof/>
                <w:sz w:val="18"/>
                <w:szCs w:val="18"/>
              </w:rPr>
              <w:t>14 000</w:t>
            </w:r>
          </w:p>
        </w:tc>
        <w:tc>
          <w:tcPr>
            <w:tcW w:w="720" w:type="dxa"/>
          </w:tcPr>
          <w:p>
            <w:pPr>
              <w:ind w:right="-29"/>
              <w:jc w:val="center"/>
              <w:rPr>
                <w:noProof/>
                <w:sz w:val="18"/>
                <w:szCs w:val="18"/>
              </w:rPr>
            </w:pPr>
            <w:r>
              <w:rPr>
                <w:noProof/>
                <w:sz w:val="18"/>
                <w:szCs w:val="18"/>
              </w:rPr>
              <w:t>252</w:t>
            </w:r>
          </w:p>
        </w:tc>
        <w:tc>
          <w:tcPr>
            <w:tcW w:w="960" w:type="dxa"/>
            <w:gridSpan w:val="2"/>
          </w:tcPr>
          <w:p>
            <w:pPr>
              <w:ind w:right="-29"/>
              <w:jc w:val="center"/>
              <w:rPr>
                <w:noProof/>
                <w:sz w:val="18"/>
                <w:szCs w:val="18"/>
              </w:rPr>
            </w:pPr>
            <w:r>
              <w:rPr>
                <w:noProof/>
                <w:sz w:val="18"/>
                <w:szCs w:val="18"/>
              </w:rPr>
              <w:t>3 500</w:t>
            </w:r>
          </w:p>
        </w:tc>
        <w:tc>
          <w:tcPr>
            <w:tcW w:w="720" w:type="dxa"/>
          </w:tcPr>
          <w:p>
            <w:pPr>
              <w:ind w:right="-29"/>
              <w:jc w:val="center"/>
              <w:rPr>
                <w:noProof/>
                <w:sz w:val="18"/>
                <w:szCs w:val="18"/>
              </w:rPr>
            </w:pPr>
            <w:r>
              <w:rPr>
                <w:noProof/>
                <w:sz w:val="18"/>
                <w:szCs w:val="18"/>
              </w:rPr>
              <w:t>63</w:t>
            </w:r>
          </w:p>
        </w:tc>
        <w:tc>
          <w:tcPr>
            <w:tcW w:w="1200" w:type="dxa"/>
            <w:gridSpan w:val="2"/>
          </w:tcPr>
          <w:p>
            <w:pPr>
              <w:ind w:right="-29"/>
              <w:jc w:val="center"/>
              <w:rPr>
                <w:noProof/>
                <w:sz w:val="18"/>
                <w:szCs w:val="18"/>
              </w:rPr>
            </w:pPr>
            <w:r>
              <w:rPr>
                <w:noProof/>
                <w:sz w:val="18"/>
                <w:szCs w:val="18"/>
              </w:rPr>
              <w:t>17 500</w:t>
            </w:r>
          </w:p>
        </w:tc>
        <w:tc>
          <w:tcPr>
            <w:tcW w:w="912" w:type="dxa"/>
          </w:tcPr>
          <w:p>
            <w:pPr>
              <w:ind w:right="-29"/>
              <w:jc w:val="center"/>
              <w:rPr>
                <w:noProof/>
                <w:sz w:val="18"/>
                <w:szCs w:val="18"/>
              </w:rPr>
            </w:pPr>
            <w:r>
              <w:rPr>
                <w:noProof/>
                <w:sz w:val="18"/>
                <w:szCs w:val="18"/>
              </w:rPr>
              <w:t>315</w:t>
            </w:r>
          </w:p>
        </w:tc>
      </w:tr>
      <w:tr>
        <w:trPr>
          <w:trHeight w:hRule="exact" w:val="376"/>
          <w:jc w:val="right"/>
        </w:trPr>
        <w:tc>
          <w:tcPr>
            <w:tcW w:w="3867" w:type="dxa"/>
          </w:tcPr>
          <w:p>
            <w:pPr>
              <w:ind w:right="-29"/>
              <w:rPr>
                <w:noProof/>
                <w:sz w:val="18"/>
              </w:rPr>
            </w:pPr>
            <w:r>
              <w:rPr>
                <w:noProof/>
                <w:sz w:val="18"/>
              </w:rPr>
              <w:t>Meditsiinivahendid (muud)</w:t>
            </w:r>
          </w:p>
        </w:tc>
        <w:tc>
          <w:tcPr>
            <w:tcW w:w="985" w:type="dxa"/>
          </w:tcPr>
          <w:p>
            <w:pPr>
              <w:ind w:right="-29"/>
              <w:jc w:val="center"/>
              <w:rPr>
                <w:noProof/>
                <w:sz w:val="18"/>
                <w:szCs w:val="18"/>
              </w:rPr>
            </w:pPr>
            <w:r>
              <w:rPr>
                <w:noProof/>
                <w:sz w:val="18"/>
                <w:szCs w:val="18"/>
              </w:rPr>
              <w:t>0,002</w:t>
            </w:r>
          </w:p>
        </w:tc>
        <w:tc>
          <w:tcPr>
            <w:tcW w:w="1038" w:type="dxa"/>
          </w:tcPr>
          <w:p>
            <w:pPr>
              <w:ind w:right="-29"/>
              <w:jc w:val="center"/>
              <w:rPr>
                <w:noProof/>
                <w:sz w:val="18"/>
                <w:szCs w:val="18"/>
              </w:rPr>
            </w:pPr>
            <w:r>
              <w:rPr>
                <w:noProof/>
                <w:sz w:val="18"/>
                <w:szCs w:val="18"/>
              </w:rPr>
              <w:t>428 000</w:t>
            </w:r>
          </w:p>
        </w:tc>
        <w:tc>
          <w:tcPr>
            <w:tcW w:w="720" w:type="dxa"/>
          </w:tcPr>
          <w:p>
            <w:pPr>
              <w:ind w:right="-29"/>
              <w:jc w:val="center"/>
              <w:rPr>
                <w:noProof/>
                <w:sz w:val="18"/>
                <w:szCs w:val="18"/>
              </w:rPr>
            </w:pPr>
            <w:r>
              <w:rPr>
                <w:noProof/>
                <w:sz w:val="18"/>
                <w:szCs w:val="18"/>
              </w:rPr>
              <w:t>856</w:t>
            </w:r>
          </w:p>
        </w:tc>
        <w:tc>
          <w:tcPr>
            <w:tcW w:w="960" w:type="dxa"/>
            <w:gridSpan w:val="2"/>
          </w:tcPr>
          <w:p>
            <w:pPr>
              <w:ind w:right="-29"/>
              <w:jc w:val="center"/>
              <w:rPr>
                <w:noProof/>
                <w:sz w:val="18"/>
                <w:szCs w:val="18"/>
              </w:rPr>
            </w:pPr>
            <w:r>
              <w:rPr>
                <w:noProof/>
                <w:sz w:val="18"/>
                <w:szCs w:val="18"/>
              </w:rPr>
              <w:t>107 000</w:t>
            </w:r>
          </w:p>
        </w:tc>
        <w:tc>
          <w:tcPr>
            <w:tcW w:w="720" w:type="dxa"/>
          </w:tcPr>
          <w:p>
            <w:pPr>
              <w:ind w:right="-29"/>
              <w:jc w:val="center"/>
              <w:rPr>
                <w:noProof/>
                <w:sz w:val="18"/>
                <w:szCs w:val="18"/>
              </w:rPr>
            </w:pPr>
            <w:r>
              <w:rPr>
                <w:noProof/>
                <w:sz w:val="18"/>
                <w:szCs w:val="18"/>
              </w:rPr>
              <w:t>214</w:t>
            </w:r>
          </w:p>
        </w:tc>
        <w:tc>
          <w:tcPr>
            <w:tcW w:w="1200" w:type="dxa"/>
            <w:gridSpan w:val="2"/>
          </w:tcPr>
          <w:p>
            <w:pPr>
              <w:ind w:right="-29"/>
              <w:jc w:val="center"/>
              <w:rPr>
                <w:noProof/>
                <w:sz w:val="18"/>
                <w:szCs w:val="18"/>
              </w:rPr>
            </w:pPr>
            <w:r>
              <w:rPr>
                <w:noProof/>
                <w:sz w:val="18"/>
                <w:szCs w:val="18"/>
              </w:rPr>
              <w:t>535 000</w:t>
            </w:r>
          </w:p>
        </w:tc>
        <w:tc>
          <w:tcPr>
            <w:tcW w:w="912" w:type="dxa"/>
          </w:tcPr>
          <w:p>
            <w:pPr>
              <w:ind w:right="-29"/>
              <w:jc w:val="center"/>
              <w:rPr>
                <w:noProof/>
                <w:sz w:val="18"/>
                <w:szCs w:val="18"/>
              </w:rPr>
            </w:pPr>
            <w:r>
              <w:rPr>
                <w:noProof/>
                <w:sz w:val="18"/>
                <w:szCs w:val="18"/>
              </w:rPr>
              <w:t>1 070</w:t>
            </w:r>
          </w:p>
        </w:tc>
      </w:tr>
      <w:tr>
        <w:trPr>
          <w:trHeight w:hRule="exact" w:val="352"/>
          <w:jc w:val="right"/>
        </w:trPr>
        <w:tc>
          <w:tcPr>
            <w:tcW w:w="3867" w:type="dxa"/>
          </w:tcPr>
          <w:p>
            <w:pPr>
              <w:ind w:right="-29"/>
              <w:rPr>
                <w:noProof/>
                <w:sz w:val="18"/>
              </w:rPr>
            </w:pPr>
            <w:r>
              <w:rPr>
                <w:noProof/>
                <w:sz w:val="18"/>
              </w:rPr>
              <w:t>Lendavad meditsiinirühmad</w:t>
            </w:r>
          </w:p>
        </w:tc>
        <w:tc>
          <w:tcPr>
            <w:tcW w:w="985" w:type="dxa"/>
          </w:tcPr>
          <w:p>
            <w:pPr>
              <w:ind w:right="-29"/>
              <w:jc w:val="center"/>
              <w:rPr>
                <w:noProof/>
                <w:sz w:val="18"/>
                <w:szCs w:val="18"/>
              </w:rPr>
            </w:pPr>
            <w:r>
              <w:rPr>
                <w:noProof/>
                <w:sz w:val="18"/>
                <w:szCs w:val="18"/>
              </w:rPr>
              <w:t>0,04</w:t>
            </w:r>
          </w:p>
        </w:tc>
        <w:tc>
          <w:tcPr>
            <w:tcW w:w="1038" w:type="dxa"/>
          </w:tcPr>
          <w:p>
            <w:pPr>
              <w:ind w:right="-29"/>
              <w:jc w:val="center"/>
              <w:rPr>
                <w:noProof/>
                <w:sz w:val="18"/>
                <w:szCs w:val="18"/>
              </w:rPr>
            </w:pPr>
            <w:r>
              <w:rPr>
                <w:noProof/>
                <w:sz w:val="18"/>
                <w:szCs w:val="18"/>
              </w:rPr>
              <w:t>800</w:t>
            </w:r>
          </w:p>
        </w:tc>
        <w:tc>
          <w:tcPr>
            <w:tcW w:w="720" w:type="dxa"/>
          </w:tcPr>
          <w:p>
            <w:pPr>
              <w:ind w:right="-29"/>
              <w:jc w:val="center"/>
              <w:rPr>
                <w:noProof/>
                <w:sz w:val="18"/>
                <w:szCs w:val="18"/>
              </w:rPr>
            </w:pPr>
            <w:r>
              <w:rPr>
                <w:noProof/>
                <w:sz w:val="18"/>
                <w:szCs w:val="18"/>
              </w:rPr>
              <w:t>32</w:t>
            </w:r>
          </w:p>
        </w:tc>
        <w:tc>
          <w:tcPr>
            <w:tcW w:w="960" w:type="dxa"/>
            <w:gridSpan w:val="2"/>
          </w:tcPr>
          <w:p>
            <w:pPr>
              <w:ind w:right="-29"/>
              <w:jc w:val="center"/>
              <w:rPr>
                <w:noProof/>
                <w:sz w:val="18"/>
                <w:szCs w:val="18"/>
              </w:rPr>
            </w:pPr>
            <w:r>
              <w:rPr>
                <w:noProof/>
                <w:sz w:val="18"/>
                <w:szCs w:val="18"/>
              </w:rPr>
              <w:t>200</w:t>
            </w:r>
          </w:p>
        </w:tc>
        <w:tc>
          <w:tcPr>
            <w:tcW w:w="720" w:type="dxa"/>
          </w:tcPr>
          <w:p>
            <w:pPr>
              <w:ind w:right="-29"/>
              <w:jc w:val="center"/>
              <w:rPr>
                <w:noProof/>
                <w:sz w:val="18"/>
                <w:szCs w:val="18"/>
              </w:rPr>
            </w:pPr>
            <w:r>
              <w:rPr>
                <w:noProof/>
                <w:sz w:val="18"/>
                <w:szCs w:val="18"/>
              </w:rPr>
              <w:t>8</w:t>
            </w:r>
          </w:p>
        </w:tc>
        <w:tc>
          <w:tcPr>
            <w:tcW w:w="1200" w:type="dxa"/>
            <w:gridSpan w:val="2"/>
          </w:tcPr>
          <w:p>
            <w:pPr>
              <w:ind w:right="-29"/>
              <w:jc w:val="center"/>
              <w:rPr>
                <w:noProof/>
                <w:sz w:val="18"/>
                <w:szCs w:val="18"/>
              </w:rPr>
            </w:pPr>
            <w:r>
              <w:rPr>
                <w:noProof/>
                <w:sz w:val="18"/>
                <w:szCs w:val="18"/>
              </w:rPr>
              <w:t>1 000</w:t>
            </w:r>
          </w:p>
        </w:tc>
        <w:tc>
          <w:tcPr>
            <w:tcW w:w="912" w:type="dxa"/>
          </w:tcPr>
          <w:p>
            <w:pPr>
              <w:ind w:right="-29"/>
              <w:jc w:val="center"/>
              <w:rPr>
                <w:noProof/>
                <w:sz w:val="18"/>
                <w:szCs w:val="18"/>
              </w:rPr>
            </w:pPr>
            <w:r>
              <w:rPr>
                <w:noProof/>
                <w:sz w:val="18"/>
                <w:szCs w:val="18"/>
              </w:rPr>
              <w:t>40</w:t>
            </w:r>
          </w:p>
        </w:tc>
      </w:tr>
      <w:tr>
        <w:trPr>
          <w:trHeight w:val="77"/>
          <w:jc w:val="right"/>
        </w:trPr>
        <w:tc>
          <w:tcPr>
            <w:tcW w:w="4852" w:type="dxa"/>
            <w:gridSpan w:val="2"/>
            <w:tcBorders>
              <w:bottom w:val="single" w:sz="12" w:space="0" w:color="auto"/>
            </w:tcBorders>
            <w:vAlign w:val="center"/>
          </w:tcPr>
          <w:p>
            <w:pPr>
              <w:ind w:right="-29"/>
              <w:jc w:val="center"/>
              <w:rPr>
                <w:noProof/>
                <w:sz w:val="18"/>
                <w:szCs w:val="18"/>
              </w:rPr>
            </w:pPr>
            <w:r>
              <w:rPr>
                <w:noProof/>
                <w:sz w:val="18"/>
              </w:rPr>
              <w:t>Erieesmärk nr 1 kokku</w:t>
            </w:r>
          </w:p>
        </w:tc>
        <w:tc>
          <w:tcPr>
            <w:tcW w:w="1038" w:type="dxa"/>
            <w:tcBorders>
              <w:bottom w:val="single" w:sz="12" w:space="0" w:color="auto"/>
            </w:tcBorders>
          </w:tcPr>
          <w:p>
            <w:pPr>
              <w:ind w:right="-29"/>
              <w:jc w:val="center"/>
              <w:rPr>
                <w:noProof/>
                <w:sz w:val="18"/>
                <w:szCs w:val="18"/>
              </w:rPr>
            </w:pPr>
            <w:r>
              <w:rPr>
                <w:noProof/>
                <w:sz w:val="18"/>
                <w:szCs w:val="18"/>
              </w:rPr>
              <w:t>442 898</w:t>
            </w:r>
          </w:p>
        </w:tc>
        <w:tc>
          <w:tcPr>
            <w:tcW w:w="720" w:type="dxa"/>
            <w:tcBorders>
              <w:bottom w:val="single" w:sz="12" w:space="0" w:color="auto"/>
            </w:tcBorders>
          </w:tcPr>
          <w:p>
            <w:pPr>
              <w:ind w:right="-29"/>
              <w:jc w:val="center"/>
              <w:rPr>
                <w:noProof/>
                <w:sz w:val="18"/>
                <w:szCs w:val="18"/>
              </w:rPr>
            </w:pPr>
            <w:r>
              <w:rPr>
                <w:noProof/>
                <w:sz w:val="18"/>
                <w:szCs w:val="18"/>
              </w:rPr>
              <w:t>2 116</w:t>
            </w:r>
          </w:p>
        </w:tc>
        <w:tc>
          <w:tcPr>
            <w:tcW w:w="960" w:type="dxa"/>
            <w:gridSpan w:val="2"/>
            <w:tcBorders>
              <w:bottom w:val="single" w:sz="12" w:space="0" w:color="auto"/>
            </w:tcBorders>
          </w:tcPr>
          <w:p>
            <w:pPr>
              <w:ind w:right="-29"/>
              <w:jc w:val="center"/>
              <w:rPr>
                <w:noProof/>
                <w:sz w:val="18"/>
                <w:szCs w:val="18"/>
              </w:rPr>
            </w:pPr>
            <w:r>
              <w:rPr>
                <w:noProof/>
                <w:sz w:val="18"/>
                <w:szCs w:val="18"/>
              </w:rPr>
              <w:t>110 724</w:t>
            </w:r>
          </w:p>
        </w:tc>
        <w:tc>
          <w:tcPr>
            <w:tcW w:w="720" w:type="dxa"/>
            <w:tcBorders>
              <w:bottom w:val="single" w:sz="12" w:space="0" w:color="auto"/>
            </w:tcBorders>
          </w:tcPr>
          <w:p>
            <w:pPr>
              <w:ind w:right="-29"/>
              <w:jc w:val="center"/>
              <w:rPr>
                <w:noProof/>
                <w:sz w:val="18"/>
                <w:szCs w:val="18"/>
              </w:rPr>
            </w:pPr>
            <w:r>
              <w:rPr>
                <w:noProof/>
                <w:sz w:val="18"/>
                <w:szCs w:val="18"/>
              </w:rPr>
              <w:t>529</w:t>
            </w:r>
          </w:p>
        </w:tc>
        <w:tc>
          <w:tcPr>
            <w:tcW w:w="1200" w:type="dxa"/>
            <w:gridSpan w:val="2"/>
            <w:tcBorders>
              <w:bottom w:val="single" w:sz="12" w:space="0" w:color="auto"/>
            </w:tcBorders>
          </w:tcPr>
          <w:p>
            <w:pPr>
              <w:ind w:right="-29"/>
              <w:jc w:val="center"/>
              <w:rPr>
                <w:noProof/>
                <w:sz w:val="18"/>
                <w:szCs w:val="18"/>
              </w:rPr>
            </w:pPr>
            <w:r>
              <w:rPr>
                <w:noProof/>
                <w:sz w:val="18"/>
                <w:szCs w:val="18"/>
              </w:rPr>
              <w:t>553 622</w:t>
            </w:r>
          </w:p>
        </w:tc>
        <w:tc>
          <w:tcPr>
            <w:tcW w:w="912" w:type="dxa"/>
            <w:tcBorders>
              <w:bottom w:val="single" w:sz="12" w:space="0" w:color="auto"/>
            </w:tcBorders>
          </w:tcPr>
          <w:p>
            <w:pPr>
              <w:ind w:right="-29"/>
              <w:jc w:val="center"/>
              <w:rPr>
                <w:noProof/>
                <w:sz w:val="18"/>
                <w:szCs w:val="18"/>
              </w:rPr>
            </w:pPr>
            <w:r>
              <w:rPr>
                <w:noProof/>
                <w:sz w:val="18"/>
                <w:szCs w:val="18"/>
              </w:rPr>
              <w:t>2 645</w:t>
            </w:r>
          </w:p>
        </w:tc>
      </w:tr>
      <w:tr>
        <w:trPr>
          <w:trHeight w:val="468"/>
          <w:jc w:val="right"/>
        </w:trPr>
        <w:tc>
          <w:tcPr>
            <w:tcW w:w="4852" w:type="dxa"/>
            <w:gridSpan w:val="2"/>
            <w:tcBorders>
              <w:top w:val="single" w:sz="12" w:space="0" w:color="auto"/>
              <w:left w:val="single" w:sz="12" w:space="0" w:color="auto"/>
              <w:bottom w:val="single" w:sz="12" w:space="0" w:color="auto"/>
            </w:tcBorders>
            <w:vAlign w:val="center"/>
          </w:tcPr>
          <w:p>
            <w:pPr>
              <w:ind w:right="-29"/>
              <w:jc w:val="center"/>
              <w:rPr>
                <w:b/>
                <w:noProof/>
                <w:sz w:val="18"/>
                <w:szCs w:val="18"/>
              </w:rPr>
            </w:pPr>
            <w:r>
              <w:rPr>
                <w:b/>
                <w:noProof/>
                <w:sz w:val="18"/>
              </w:rPr>
              <w:t>KULUD KOKKU</w:t>
            </w:r>
          </w:p>
        </w:tc>
        <w:tc>
          <w:tcPr>
            <w:tcW w:w="1038" w:type="dxa"/>
            <w:tcBorders>
              <w:top w:val="single" w:sz="12" w:space="0" w:color="auto"/>
              <w:bottom w:val="single" w:sz="12" w:space="0" w:color="auto"/>
            </w:tcBorders>
          </w:tcPr>
          <w:p>
            <w:pPr>
              <w:ind w:right="-29"/>
              <w:jc w:val="center"/>
              <w:rPr>
                <w:b/>
                <w:noProof/>
                <w:sz w:val="18"/>
                <w:szCs w:val="18"/>
              </w:rPr>
            </w:pPr>
            <w:r>
              <w:rPr>
                <w:noProof/>
                <w:sz w:val="18"/>
                <w:szCs w:val="18"/>
              </w:rPr>
              <w:t>442 898</w:t>
            </w:r>
          </w:p>
        </w:tc>
        <w:tc>
          <w:tcPr>
            <w:tcW w:w="720" w:type="dxa"/>
            <w:tcBorders>
              <w:top w:val="single" w:sz="12" w:space="0" w:color="auto"/>
              <w:bottom w:val="single" w:sz="12" w:space="0" w:color="auto"/>
            </w:tcBorders>
          </w:tcPr>
          <w:p>
            <w:pPr>
              <w:ind w:right="-29"/>
              <w:jc w:val="center"/>
              <w:rPr>
                <w:b/>
                <w:noProof/>
                <w:sz w:val="18"/>
                <w:szCs w:val="18"/>
              </w:rPr>
            </w:pPr>
            <w:r>
              <w:rPr>
                <w:noProof/>
                <w:sz w:val="18"/>
                <w:szCs w:val="18"/>
              </w:rPr>
              <w:t>2 116</w:t>
            </w:r>
          </w:p>
        </w:tc>
        <w:tc>
          <w:tcPr>
            <w:tcW w:w="960" w:type="dxa"/>
            <w:gridSpan w:val="2"/>
            <w:tcBorders>
              <w:top w:val="single" w:sz="12" w:space="0" w:color="auto"/>
              <w:bottom w:val="single" w:sz="12" w:space="0" w:color="auto"/>
            </w:tcBorders>
          </w:tcPr>
          <w:p>
            <w:pPr>
              <w:ind w:right="-29"/>
              <w:jc w:val="center"/>
              <w:rPr>
                <w:b/>
                <w:noProof/>
                <w:sz w:val="18"/>
                <w:szCs w:val="18"/>
              </w:rPr>
            </w:pPr>
            <w:r>
              <w:rPr>
                <w:noProof/>
                <w:sz w:val="18"/>
                <w:szCs w:val="18"/>
              </w:rPr>
              <w:t>110 724</w:t>
            </w:r>
          </w:p>
        </w:tc>
        <w:tc>
          <w:tcPr>
            <w:tcW w:w="720" w:type="dxa"/>
            <w:tcBorders>
              <w:top w:val="single" w:sz="12" w:space="0" w:color="auto"/>
              <w:bottom w:val="single" w:sz="12" w:space="0" w:color="auto"/>
            </w:tcBorders>
          </w:tcPr>
          <w:p>
            <w:pPr>
              <w:ind w:right="-29"/>
              <w:jc w:val="center"/>
              <w:rPr>
                <w:b/>
                <w:noProof/>
                <w:sz w:val="18"/>
                <w:szCs w:val="18"/>
              </w:rPr>
            </w:pPr>
            <w:r>
              <w:rPr>
                <w:noProof/>
                <w:sz w:val="18"/>
                <w:szCs w:val="18"/>
              </w:rPr>
              <w:t>529</w:t>
            </w:r>
          </w:p>
        </w:tc>
        <w:tc>
          <w:tcPr>
            <w:tcW w:w="1200" w:type="dxa"/>
            <w:gridSpan w:val="2"/>
            <w:tcBorders>
              <w:top w:val="single" w:sz="12" w:space="0" w:color="auto"/>
              <w:bottom w:val="single" w:sz="12" w:space="0" w:color="auto"/>
            </w:tcBorders>
          </w:tcPr>
          <w:p>
            <w:pPr>
              <w:ind w:right="-29"/>
              <w:jc w:val="center"/>
              <w:rPr>
                <w:b/>
                <w:noProof/>
                <w:sz w:val="18"/>
                <w:szCs w:val="18"/>
              </w:rPr>
            </w:pPr>
            <w:r>
              <w:rPr>
                <w:b/>
                <w:noProof/>
                <w:sz w:val="18"/>
                <w:szCs w:val="18"/>
              </w:rPr>
              <w:t>553 622</w:t>
            </w:r>
          </w:p>
        </w:tc>
        <w:tc>
          <w:tcPr>
            <w:tcW w:w="912" w:type="dxa"/>
            <w:tcBorders>
              <w:top w:val="single" w:sz="12" w:space="0" w:color="auto"/>
              <w:bottom w:val="single" w:sz="12" w:space="0" w:color="auto"/>
              <w:right w:val="single" w:sz="12" w:space="0" w:color="auto"/>
            </w:tcBorders>
          </w:tcPr>
          <w:p>
            <w:pPr>
              <w:ind w:right="-29"/>
              <w:jc w:val="center"/>
              <w:rPr>
                <w:b/>
                <w:noProof/>
                <w:sz w:val="18"/>
                <w:szCs w:val="18"/>
              </w:rPr>
            </w:pPr>
            <w:r>
              <w:rPr>
                <w:b/>
                <w:noProof/>
                <w:sz w:val="18"/>
                <w:szCs w:val="18"/>
              </w:rPr>
              <w:t>2 645</w:t>
            </w:r>
          </w:p>
        </w:tc>
      </w:tr>
    </w:tbl>
    <w:p>
      <w:pPr>
        <w:jc w:val="righ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Hinnanguline mõju haldusassigneeringutele</w:t>
      </w:r>
    </w:p>
    <w:p>
      <w:pPr>
        <w:pStyle w:val="ManualHeading4"/>
        <w:rPr>
          <w:noProof/>
        </w:rPr>
      </w:pPr>
      <w:r>
        <w:t>3.2.3.1.</w:t>
      </w:r>
      <w:r>
        <w:tab/>
      </w:r>
      <w:r>
        <w:rPr>
          <w:noProof/>
        </w:rPr>
        <w:t xml:space="preserve">Kokkuvõte </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t>X</w:t>
      </w:r>
      <w:r>
        <w:rPr>
          <w:noProof/>
        </w:rPr>
        <w:tab/>
        <w:t>Ettepanek/algatus hõlmab haldusassigneeringute kasutamist, mis toimub järgmiselt:</w:t>
      </w:r>
    </w:p>
    <w:p>
      <w:pPr>
        <w:rPr>
          <w:noProof/>
          <w:sz w:val="20"/>
        </w:rPr>
      </w:pPr>
      <w:r>
        <w:rPr>
          <w:noProof/>
          <w:sz w:val="20"/>
        </w:rPr>
        <w:t>miljonites eurodes (kolm kohta pärast koma)</w:t>
      </w:r>
    </w:p>
    <w:tbl>
      <w:tblPr>
        <w:tblW w:w="73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20"/>
              </w:rPr>
              <w:t>Aasta</w:t>
            </w:r>
            <w:r>
              <w:rPr>
                <w:noProof/>
                <w:sz w:val="22"/>
              </w:rPr>
              <w:br/>
            </w:r>
            <w:r>
              <w:rPr>
                <w:b/>
                <w:bCs/>
                <w:noProof/>
                <w:sz w:val="16"/>
                <w:szCs w:val="16"/>
              </w:rPr>
              <w:t>2020</w:t>
            </w:r>
          </w:p>
        </w:tc>
        <w:tc>
          <w:tcPr>
            <w:tcW w:w="1080" w:type="dxa"/>
            <w:vAlign w:val="center"/>
          </w:tcPr>
          <w:p>
            <w:pPr>
              <w:spacing w:before="60" w:after="60" w:line="200" w:lineRule="exact"/>
              <w:jc w:val="center"/>
              <w:rPr>
                <w:noProof/>
                <w:sz w:val="16"/>
                <w:szCs w:val="16"/>
              </w:rPr>
            </w:pPr>
            <w:r>
              <w:rPr>
                <w:noProof/>
                <w:sz w:val="20"/>
              </w:rPr>
              <w:t>Aasta</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20"/>
              </w:rPr>
              <w:t>Aasta</w:t>
            </w:r>
            <w:r>
              <w:rPr>
                <w:noProof/>
                <w:sz w:val="22"/>
              </w:rPr>
              <w:br/>
            </w:r>
            <w:r>
              <w:rPr>
                <w:b/>
                <w:noProof/>
                <w:sz w:val="16"/>
              </w:rPr>
              <w:t>2022</w:t>
            </w:r>
          </w:p>
        </w:tc>
        <w:tc>
          <w:tcPr>
            <w:tcW w:w="1080" w:type="dxa"/>
            <w:vAlign w:val="center"/>
          </w:tcPr>
          <w:p>
            <w:pPr>
              <w:spacing w:before="60" w:after="60" w:line="200" w:lineRule="exact"/>
              <w:jc w:val="center"/>
              <w:rPr>
                <w:noProof/>
                <w:sz w:val="16"/>
                <w:szCs w:val="16"/>
              </w:rPr>
            </w:pPr>
            <w:r>
              <w:rPr>
                <w:noProof/>
                <w:sz w:val="20"/>
              </w:rPr>
              <w:t>Aasta</w:t>
            </w:r>
            <w:r>
              <w:rPr>
                <w:noProof/>
                <w:sz w:val="22"/>
              </w:rPr>
              <w:br/>
            </w:r>
            <w:r>
              <w:rPr>
                <w:b/>
                <w:noProof/>
                <w:sz w:val="16"/>
              </w:rPr>
              <w:t>2023</w:t>
            </w:r>
          </w:p>
        </w:tc>
        <w:tc>
          <w:tcPr>
            <w:tcW w:w="1080" w:type="dxa"/>
            <w:vAlign w:val="center"/>
          </w:tcPr>
          <w:p>
            <w:pPr>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73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shd w:val="clear" w:color="auto" w:fill="CCCCCC"/>
            <w:vAlign w:val="center"/>
          </w:tcPr>
          <w:p>
            <w:pPr>
              <w:spacing w:before="60" w:after="60" w:line="200" w:lineRule="exact"/>
              <w:jc w:val="center"/>
              <w:rPr>
                <w:b/>
                <w:noProof/>
                <w:sz w:val="16"/>
                <w:szCs w:val="16"/>
              </w:rPr>
            </w:pPr>
            <w:r>
              <w:rPr>
                <w:b/>
                <w:noProof/>
                <w:sz w:val="16"/>
                <w:szCs w:val="16"/>
              </w:rPr>
              <w:t xml:space="preserve">Mitmeaastase finantsraamistiku RUBRIIGI 5 assigneeringud KOKKU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jc w:val="center"/>
        </w:trPr>
        <w:tc>
          <w:tcPr>
            <w:tcW w:w="1980" w:type="dxa"/>
            <w:vAlign w:val="center"/>
          </w:tcPr>
          <w:p>
            <w:pPr>
              <w:spacing w:before="60" w:after="60" w:line="200" w:lineRule="exact"/>
              <w:ind w:left="72"/>
              <w:jc w:val="left"/>
              <w:rPr>
                <w:noProof/>
                <w:sz w:val="16"/>
                <w:szCs w:val="16"/>
              </w:rPr>
            </w:pPr>
            <w:r>
              <w:rPr>
                <w:noProof/>
                <w:sz w:val="16"/>
              </w:rPr>
              <w:t xml:space="preserve">Personalikulud </w:t>
            </w:r>
          </w:p>
        </w:tc>
        <w:tc>
          <w:tcPr>
            <w:tcW w:w="1080" w:type="dxa"/>
            <w:vAlign w:val="center"/>
          </w:tcPr>
          <w:p>
            <w:pPr>
              <w:spacing w:before="60" w:after="60" w:line="200" w:lineRule="exact"/>
              <w:jc w:val="right"/>
              <w:rPr>
                <w:noProof/>
                <w:sz w:val="16"/>
                <w:szCs w:val="16"/>
              </w:rPr>
            </w:pPr>
            <w:r>
              <w:rPr>
                <w:noProof/>
                <w:sz w:val="16"/>
                <w:szCs w:val="16"/>
              </w:rPr>
              <w:t>2,700</w:t>
            </w:r>
          </w:p>
        </w:tc>
        <w:tc>
          <w:tcPr>
            <w:tcW w:w="1080" w:type="dxa"/>
            <w:vAlign w:val="center"/>
          </w:tcPr>
          <w:p>
            <w:pPr>
              <w:spacing w:before="60" w:after="60" w:line="200" w:lineRule="exact"/>
              <w:jc w:val="right"/>
              <w:rPr>
                <w:noProof/>
                <w:sz w:val="16"/>
                <w:szCs w:val="16"/>
              </w:rPr>
            </w:pPr>
            <w:r>
              <w:rPr>
                <w:noProof/>
                <w:sz w:val="16"/>
                <w:szCs w:val="16"/>
              </w:rPr>
              <w:t>2,700</w:t>
            </w:r>
          </w:p>
        </w:tc>
        <w:tc>
          <w:tcPr>
            <w:tcW w:w="1080" w:type="dxa"/>
            <w:vAlign w:val="center"/>
          </w:tcPr>
          <w:p>
            <w:pPr>
              <w:spacing w:before="60" w:after="60" w:line="200" w:lineRule="exact"/>
              <w:jc w:val="right"/>
              <w:rPr>
                <w:noProof/>
                <w:sz w:val="16"/>
                <w:szCs w:val="16"/>
              </w:rPr>
            </w:pPr>
            <w:r>
              <w:rPr>
                <w:noProof/>
                <w:sz w:val="16"/>
                <w:szCs w:val="16"/>
              </w:rPr>
              <w:t>1,550</w:t>
            </w:r>
          </w:p>
        </w:tc>
        <w:tc>
          <w:tcPr>
            <w:tcW w:w="1080" w:type="dxa"/>
            <w:vAlign w:val="center"/>
          </w:tcPr>
          <w:p>
            <w:pPr>
              <w:spacing w:before="60" w:after="60" w:line="200" w:lineRule="exact"/>
              <w:jc w:val="right"/>
              <w:rPr>
                <w:noProof/>
                <w:sz w:val="16"/>
                <w:szCs w:val="16"/>
              </w:rPr>
            </w:pPr>
            <w:r>
              <w:rPr>
                <w:noProof/>
                <w:sz w:val="16"/>
                <w:szCs w:val="16"/>
              </w:rPr>
              <w:t>1,150</w:t>
            </w:r>
          </w:p>
        </w:tc>
        <w:tc>
          <w:tcPr>
            <w:tcW w:w="1080" w:type="dxa"/>
            <w:vAlign w:val="center"/>
          </w:tcPr>
          <w:p>
            <w:pPr>
              <w:spacing w:before="60" w:after="60" w:line="200" w:lineRule="exact"/>
              <w:jc w:val="right"/>
              <w:rPr>
                <w:b/>
                <w:noProof/>
                <w:sz w:val="16"/>
                <w:szCs w:val="16"/>
              </w:rPr>
            </w:pPr>
            <w:r>
              <w:rPr>
                <w:b/>
                <w:noProof/>
                <w:sz w:val="16"/>
                <w:szCs w:val="16"/>
              </w:rPr>
              <w:t>8,100</w:t>
            </w:r>
          </w:p>
        </w:tc>
      </w:tr>
      <w:tr>
        <w:trPr>
          <w:trHeight w:val="585"/>
          <w:jc w:val="center"/>
        </w:trPr>
        <w:tc>
          <w:tcPr>
            <w:tcW w:w="1980" w:type="dxa"/>
            <w:vAlign w:val="center"/>
          </w:tcPr>
          <w:p>
            <w:pPr>
              <w:spacing w:before="60" w:after="60" w:line="200" w:lineRule="exact"/>
              <w:ind w:left="72"/>
              <w:jc w:val="left"/>
              <w:rPr>
                <w:noProof/>
                <w:sz w:val="16"/>
                <w:szCs w:val="16"/>
              </w:rPr>
            </w:pPr>
            <w:r>
              <w:rPr>
                <w:noProof/>
                <w:sz w:val="16"/>
              </w:rPr>
              <w:t xml:space="preserve">Muud halduskulud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jc w:val="center"/>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 RUBRIIGI 5 kulud kokku</w:t>
            </w:r>
          </w:p>
        </w:tc>
        <w:tc>
          <w:tcPr>
            <w:tcW w:w="1080" w:type="dxa"/>
            <w:vAlign w:val="center"/>
          </w:tcPr>
          <w:p>
            <w:pPr>
              <w:spacing w:before="60" w:after="60" w:line="200" w:lineRule="exact"/>
              <w:jc w:val="right"/>
              <w:rPr>
                <w:noProof/>
                <w:sz w:val="16"/>
                <w:szCs w:val="16"/>
              </w:rPr>
            </w:pPr>
            <w:r>
              <w:rPr>
                <w:noProof/>
                <w:sz w:val="16"/>
                <w:szCs w:val="16"/>
              </w:rPr>
              <w:t>2,700</w:t>
            </w:r>
          </w:p>
        </w:tc>
        <w:tc>
          <w:tcPr>
            <w:tcW w:w="1080" w:type="dxa"/>
            <w:vAlign w:val="center"/>
          </w:tcPr>
          <w:p>
            <w:pPr>
              <w:spacing w:before="60" w:after="60" w:line="200" w:lineRule="exact"/>
              <w:jc w:val="right"/>
              <w:rPr>
                <w:noProof/>
                <w:sz w:val="16"/>
                <w:szCs w:val="16"/>
              </w:rPr>
            </w:pPr>
            <w:r>
              <w:rPr>
                <w:noProof/>
                <w:sz w:val="16"/>
                <w:szCs w:val="16"/>
              </w:rPr>
              <w:t>2,700</w:t>
            </w:r>
          </w:p>
        </w:tc>
        <w:tc>
          <w:tcPr>
            <w:tcW w:w="1080" w:type="dxa"/>
            <w:vAlign w:val="center"/>
          </w:tcPr>
          <w:p>
            <w:pPr>
              <w:spacing w:before="60" w:after="60" w:line="200" w:lineRule="exact"/>
              <w:jc w:val="right"/>
              <w:rPr>
                <w:noProof/>
                <w:sz w:val="16"/>
                <w:szCs w:val="16"/>
              </w:rPr>
            </w:pPr>
            <w:r>
              <w:rPr>
                <w:noProof/>
                <w:sz w:val="16"/>
                <w:szCs w:val="16"/>
              </w:rPr>
              <w:t>1,550</w:t>
            </w:r>
          </w:p>
        </w:tc>
        <w:tc>
          <w:tcPr>
            <w:tcW w:w="1080" w:type="dxa"/>
            <w:vAlign w:val="center"/>
          </w:tcPr>
          <w:p>
            <w:pPr>
              <w:spacing w:before="60" w:after="60" w:line="200" w:lineRule="exact"/>
              <w:jc w:val="right"/>
              <w:rPr>
                <w:noProof/>
                <w:sz w:val="16"/>
                <w:szCs w:val="16"/>
              </w:rPr>
            </w:pPr>
            <w:r>
              <w:rPr>
                <w:noProof/>
                <w:sz w:val="16"/>
                <w:szCs w:val="16"/>
              </w:rPr>
              <w:t>1,150</w:t>
            </w:r>
          </w:p>
        </w:tc>
        <w:tc>
          <w:tcPr>
            <w:tcW w:w="1080" w:type="dxa"/>
            <w:vAlign w:val="center"/>
          </w:tcPr>
          <w:p>
            <w:pPr>
              <w:spacing w:before="60" w:after="60" w:line="200" w:lineRule="exact"/>
              <w:jc w:val="right"/>
              <w:rPr>
                <w:b/>
                <w:noProof/>
                <w:sz w:val="16"/>
                <w:szCs w:val="16"/>
              </w:rPr>
            </w:pPr>
            <w:r>
              <w:rPr>
                <w:b/>
                <w:noProof/>
                <w:sz w:val="16"/>
                <w:szCs w:val="16"/>
              </w:rPr>
              <w:t>8,100</w:t>
            </w:r>
          </w:p>
        </w:tc>
      </w:tr>
    </w:tbl>
    <w:p>
      <w:pPr>
        <w:spacing w:line="200" w:lineRule="exact"/>
        <w:rPr>
          <w:noProof/>
          <w:sz w:val="16"/>
          <w:szCs w:val="16"/>
        </w:rPr>
      </w:pPr>
    </w:p>
    <w:tbl>
      <w:tblPr>
        <w:tblW w:w="73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shd w:val="clear" w:color="auto" w:fill="CCCCCC"/>
            <w:vAlign w:val="center"/>
          </w:tcPr>
          <w:p>
            <w:pPr>
              <w:spacing w:before="0" w:after="0" w:line="200" w:lineRule="exact"/>
              <w:jc w:val="center"/>
              <w:rPr>
                <w:b/>
                <w:noProof/>
                <w:sz w:val="16"/>
                <w:szCs w:val="16"/>
              </w:rPr>
            </w:pPr>
            <w:r>
              <w:rPr>
                <w:b/>
                <w:noProof/>
                <w:sz w:val="16"/>
              </w:rPr>
              <w:t>Mitmeaastase finantsraamistiku RUBRIIGIST 5</w:t>
            </w:r>
            <w:r>
              <w:rPr>
                <w:rStyle w:val="FootnoteReference"/>
                <w:b/>
                <w:noProof/>
                <w:sz w:val="16"/>
              </w:rPr>
              <w:footnoteReference w:id="15"/>
            </w:r>
            <w:r>
              <w:rPr>
                <w:b/>
                <w:noProof/>
                <w:sz w:val="16"/>
              </w:rPr>
              <w:t xml:space="preserve"> välja jäävad kulud</w:t>
            </w:r>
            <w:r>
              <w:rPr>
                <w:b/>
                <w:noProof/>
                <w:sz w:val="16"/>
                <w:szCs w:val="16"/>
              </w:rPr>
              <w:t xml:space="preser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jc w:val="center"/>
        </w:trPr>
        <w:tc>
          <w:tcPr>
            <w:tcW w:w="1980" w:type="dxa"/>
            <w:vAlign w:val="center"/>
          </w:tcPr>
          <w:p>
            <w:pPr>
              <w:spacing w:before="60" w:after="60" w:line="200" w:lineRule="exact"/>
              <w:ind w:left="72"/>
              <w:jc w:val="left"/>
              <w:rPr>
                <w:noProof/>
                <w:sz w:val="16"/>
                <w:szCs w:val="16"/>
              </w:rPr>
            </w:pPr>
            <w:r>
              <w:rPr>
                <w:noProof/>
                <w:sz w:val="16"/>
              </w:rPr>
              <w:t xml:space="preserve">Personalikulud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jc w:val="center"/>
        </w:trPr>
        <w:tc>
          <w:tcPr>
            <w:tcW w:w="1980" w:type="dxa"/>
            <w:vAlign w:val="center"/>
          </w:tcPr>
          <w:p>
            <w:pPr>
              <w:spacing w:before="60" w:after="60" w:line="200" w:lineRule="exact"/>
              <w:ind w:left="72"/>
              <w:jc w:val="left"/>
              <w:rPr>
                <w:noProof/>
                <w:sz w:val="16"/>
                <w:szCs w:val="16"/>
              </w:rPr>
            </w:pPr>
            <w:r>
              <w:rPr>
                <w:noProof/>
                <w:sz w:val="16"/>
              </w:rPr>
              <w:t>Muud halduskulud</w:t>
            </w:r>
          </w:p>
        </w:tc>
        <w:tc>
          <w:tcPr>
            <w:tcW w:w="1080" w:type="dxa"/>
            <w:vAlign w:val="center"/>
          </w:tcPr>
          <w:p>
            <w:pPr>
              <w:spacing w:before="60" w:after="60" w:line="200" w:lineRule="exact"/>
              <w:jc w:val="right"/>
              <w:rPr>
                <w:noProof/>
                <w:sz w:val="16"/>
                <w:szCs w:val="16"/>
              </w:rPr>
            </w:pPr>
            <w:r>
              <w:rPr>
                <w:noProof/>
                <w:sz w:val="16"/>
                <w:szCs w:val="16"/>
              </w:rPr>
              <w:t>54,000</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b/>
                <w:noProof/>
                <w:sz w:val="16"/>
                <w:szCs w:val="16"/>
              </w:rPr>
            </w:pPr>
            <w:r>
              <w:rPr>
                <w:b/>
                <w:noProof/>
                <w:sz w:val="16"/>
                <w:szCs w:val="16"/>
              </w:rPr>
              <w:t>54,000</w:t>
            </w:r>
          </w:p>
        </w:tc>
      </w:tr>
      <w:tr>
        <w:trPr>
          <w:trHeight w:val="585"/>
          <w:jc w:val="center"/>
        </w:trPr>
        <w:tc>
          <w:tcPr>
            <w:tcW w:w="1980"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t xml:space="preserve"> </w:t>
            </w:r>
            <w:r>
              <w:rPr>
                <w:b/>
                <w:noProof/>
                <w:sz w:val="16"/>
              </w:rPr>
              <w:t>RUBRIIGIST 5 välja jäävad kulud kokku</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7380" w:type="dxa"/>
        <w:jc w:val="center"/>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56 700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2,700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1,550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1,150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62,100</w:t>
            </w:r>
          </w:p>
        </w:tc>
      </w:tr>
    </w:tbl>
    <w:p>
      <w:pPr>
        <w:rPr>
          <w:noProof/>
          <w:sz w:val="18"/>
        </w:rPr>
      </w:pPr>
      <w:r>
        <w:rPr>
          <w:noProof/>
          <w:sz w:val="18"/>
        </w:rPr>
        <w:t>Personaliga seotud assigneeringute vajadused kaetakse asjaomase peadirektoraadi poolt kõnealuse meetme haldamiseks juba antud ja/või peadirektoraadi siseselt ümberpaigutatud assigneeringutest, mida vajaduse korral võidakse täiendada nendest lisaassigneeringutest, mis haldavale peadirektoraadile eraldatakse iga-aastase vahendite eraldamise menetluse käigus, arvestades eelarvepiirangutega.</w:t>
      </w:r>
    </w:p>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noProof/>
        </w:rPr>
        <w:t>X</w:t>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8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76"/>
        <w:gridCol w:w="2971"/>
        <w:gridCol w:w="731"/>
        <w:gridCol w:w="731"/>
        <w:gridCol w:w="731"/>
        <w:gridCol w:w="731"/>
        <w:gridCol w:w="25"/>
      </w:tblGrid>
      <w:tr>
        <w:trPr>
          <w:gridAfter w:val="1"/>
          <w:wAfter w:w="25" w:type="dxa"/>
          <w:trHeight w:val="289"/>
          <w:jc w:val="center"/>
        </w:trPr>
        <w:tc>
          <w:tcPr>
            <w:tcW w:w="5347" w:type="dxa"/>
            <w:gridSpan w:val="2"/>
            <w:shd w:val="clear" w:color="auto" w:fill="auto"/>
          </w:tcPr>
          <w:p>
            <w:pPr>
              <w:pStyle w:val="Text1"/>
              <w:spacing w:before="40" w:after="40"/>
              <w:ind w:left="0"/>
              <w:jc w:val="center"/>
              <w:rPr>
                <w:i/>
                <w:noProof/>
                <w:sz w:val="16"/>
                <w:szCs w:val="16"/>
              </w:rPr>
            </w:pPr>
          </w:p>
        </w:tc>
        <w:tc>
          <w:tcPr>
            <w:tcW w:w="731" w:type="dxa"/>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2020</w:t>
            </w:r>
          </w:p>
        </w:tc>
        <w:tc>
          <w:tcPr>
            <w:tcW w:w="731" w:type="dxa"/>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2021</w:t>
            </w:r>
          </w:p>
        </w:tc>
        <w:tc>
          <w:tcPr>
            <w:tcW w:w="731" w:type="dxa"/>
            <w:shd w:val="clear" w:color="auto" w:fill="auto"/>
            <w:vAlign w:val="center"/>
          </w:tcPr>
          <w:p>
            <w:pPr>
              <w:spacing w:before="20" w:after="20"/>
              <w:jc w:val="center"/>
              <w:rPr>
                <w:noProof/>
                <w:sz w:val="16"/>
                <w:szCs w:val="16"/>
              </w:rPr>
            </w:pPr>
            <w:r>
              <w:rPr>
                <w:noProof/>
                <w:sz w:val="16"/>
                <w:szCs w:val="16"/>
              </w:rPr>
              <w:t xml:space="preserve">Aasta </w:t>
            </w:r>
            <w:r>
              <w:rPr>
                <w:b/>
                <w:noProof/>
                <w:sz w:val="16"/>
                <w:szCs w:val="16"/>
              </w:rPr>
              <w:t>2022</w:t>
            </w:r>
          </w:p>
        </w:tc>
        <w:tc>
          <w:tcPr>
            <w:tcW w:w="731" w:type="dxa"/>
            <w:shd w:val="clear" w:color="auto" w:fill="auto"/>
            <w:vAlign w:val="center"/>
          </w:tcPr>
          <w:p>
            <w:pPr>
              <w:spacing w:before="20" w:after="20"/>
              <w:jc w:val="center"/>
              <w:rPr>
                <w:noProof/>
                <w:sz w:val="16"/>
                <w:szCs w:val="16"/>
              </w:rPr>
            </w:pPr>
            <w:r>
              <w:rPr>
                <w:noProof/>
                <w:sz w:val="16"/>
                <w:szCs w:val="16"/>
              </w:rPr>
              <w:t xml:space="preserve">Aasta </w:t>
            </w:r>
            <w:r>
              <w:rPr>
                <w:b/>
                <w:noProof/>
                <w:sz w:val="16"/>
                <w:szCs w:val="16"/>
              </w:rPr>
              <w:t>2013</w:t>
            </w:r>
          </w:p>
        </w:tc>
      </w:tr>
      <w:tr>
        <w:trPr>
          <w:trHeight w:val="289"/>
          <w:jc w:val="center"/>
        </w:trPr>
        <w:tc>
          <w:tcPr>
            <w:tcW w:w="8296" w:type="dxa"/>
            <w:gridSpan w:val="7"/>
            <w:shd w:val="clear" w:color="auto" w:fill="auto"/>
            <w:vAlign w:val="center"/>
          </w:tcPr>
          <w:p>
            <w:pPr>
              <w:spacing w:beforeLines="20" w:before="48" w:afterLines="20" w:after="48"/>
              <w:jc w:val="left"/>
              <w:rPr>
                <w:noProof/>
                <w:sz w:val="16"/>
                <w:szCs w:val="16"/>
              </w:rPr>
            </w:pPr>
            <w:r>
              <w:rPr>
                <w:b/>
                <w:noProof/>
                <w:sz w:val="16"/>
              </w:rPr>
              <w:sym w:font="Wingdings" w:char="F09F"/>
            </w:r>
            <w:r>
              <w:rPr>
                <w:noProof/>
              </w:rPr>
              <w:tab/>
            </w:r>
            <w:r>
              <w:rPr>
                <w:b/>
                <w:noProof/>
              </w:rPr>
              <w:t>Ametikohtade loeteluga ette nähtud ametikohad (ametnikud ja ajutised töötajad)</w:t>
            </w:r>
          </w:p>
        </w:tc>
      </w:tr>
      <w:tr>
        <w:trPr>
          <w:gridAfter w:val="1"/>
          <w:wAfter w:w="25" w:type="dxa"/>
          <w:trHeight w:val="289"/>
          <w:jc w:val="center"/>
        </w:trPr>
        <w:tc>
          <w:tcPr>
            <w:tcW w:w="5347"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(komisjoni peakorteris ja esindustes)</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10</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10</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5</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5</w:t>
            </w:r>
          </w:p>
        </w:tc>
      </w:tr>
      <w:tr>
        <w:trPr>
          <w:gridAfter w:val="1"/>
          <w:wAfter w:w="25" w:type="dxa"/>
          <w:trHeight w:val="289"/>
          <w:jc w:val="center"/>
        </w:trPr>
        <w:tc>
          <w:tcPr>
            <w:tcW w:w="5347"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(delegatsioonides)</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After w:val="1"/>
          <w:wAfter w:w="25" w:type="dxa"/>
          <w:trHeight w:val="289"/>
          <w:jc w:val="center"/>
        </w:trPr>
        <w:tc>
          <w:tcPr>
            <w:tcW w:w="5347"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(kaudne teadustegevus)</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After w:val="1"/>
          <w:wAfter w:w="25" w:type="dxa"/>
          <w:trHeight w:val="289"/>
          <w:jc w:val="center"/>
        </w:trPr>
        <w:tc>
          <w:tcPr>
            <w:tcW w:w="5347"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(otsene teadustegevus)</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trHeight w:val="289"/>
          <w:jc w:val="center"/>
        </w:trPr>
        <w:tc>
          <w:tcPr>
            <w:tcW w:w="8296" w:type="dxa"/>
            <w:gridSpan w:val="7"/>
            <w:shd w:val="clear" w:color="auto" w:fill="auto"/>
            <w:vAlign w:val="center"/>
          </w:tcPr>
          <w:p>
            <w:pPr>
              <w:spacing w:beforeLines="20" w:before="48" w:afterLines="20" w:after="48"/>
              <w:jc w:val="left"/>
              <w:rPr>
                <w:noProof/>
                <w:sz w:val="16"/>
                <w:szCs w:val="16"/>
              </w:rPr>
            </w:pPr>
            <w:r>
              <w:rPr>
                <w:b/>
                <w:bCs/>
                <w:noProof/>
                <w:sz w:val="16"/>
                <w:szCs w:val="16"/>
              </w:rPr>
              <w:t>Koosseisuväline personal (täistööajale taandatud töötajad);</w:t>
            </w:r>
            <w:r>
              <w:rPr>
                <w:rStyle w:val="FootnoteReference"/>
                <w:b/>
                <w:bCs/>
                <w:noProof/>
                <w:sz w:val="16"/>
                <w:szCs w:val="16"/>
              </w:rPr>
              <w:footnoteReference w:id="16"/>
            </w:r>
          </w:p>
        </w:tc>
      </w:tr>
      <w:tr>
        <w:trPr>
          <w:gridAfter w:val="1"/>
          <w:wAfter w:w="25" w:type="dxa"/>
          <w:trHeight w:val="289"/>
          <w:jc w:val="center"/>
        </w:trPr>
        <w:tc>
          <w:tcPr>
            <w:tcW w:w="5347"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(üldvahenditest rahastatavad lepingulised töötajad, riikide lähetatud eksperdid ja renditööjõud)</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15</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15</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10</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5</w:t>
            </w:r>
          </w:p>
        </w:tc>
      </w:tr>
      <w:tr>
        <w:trPr>
          <w:gridAfter w:val="1"/>
          <w:wAfter w:w="25" w:type="dxa"/>
          <w:trHeight w:val="289"/>
          <w:jc w:val="center"/>
        </w:trPr>
        <w:tc>
          <w:tcPr>
            <w:tcW w:w="5347"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(lepingulised töötajad, kohalikud töötajad, riikide lähetatud eksperdid, renditööjõud ja noored spetsialistid delegatsioonides)</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After w:val="1"/>
          <w:wAfter w:w="25" w:type="dxa"/>
          <w:trHeight w:val="289"/>
          <w:jc w:val="center"/>
        </w:trPr>
        <w:tc>
          <w:tcPr>
            <w:tcW w:w="2376" w:type="dxa"/>
            <w:vMerge w:val="restart"/>
            <w:shd w:val="clear" w:color="auto" w:fill="auto"/>
            <w:vAlign w:val="center"/>
          </w:tcPr>
          <w:p>
            <w:pPr>
              <w:pStyle w:val="Text1"/>
              <w:spacing w:beforeLines="20" w:before="48" w:afterLines="20" w:after="48"/>
              <w:ind w:left="136"/>
              <w:jc w:val="left"/>
              <w:rPr>
                <w:b/>
                <w:noProof/>
                <w:sz w:val="16"/>
                <w:szCs w:val="16"/>
              </w:rPr>
            </w:pPr>
            <w:r>
              <w:rPr>
                <w:b/>
                <w:bCs/>
                <w:noProof/>
                <w:sz w:val="16"/>
                <w:szCs w:val="16"/>
              </w:rPr>
              <w:t>XX</w:t>
            </w:r>
            <w:r>
              <w:rPr>
                <w:noProof/>
                <w:sz w:val="16"/>
                <w:szCs w:val="16"/>
              </w:rPr>
              <w:t xml:space="preserve"> 01 04</w:t>
            </w:r>
            <w:r>
              <w:rPr>
                <w:b/>
                <w:bCs/>
                <w:noProof/>
                <w:sz w:val="16"/>
                <w:szCs w:val="16"/>
              </w:rPr>
              <w:t xml:space="preserve"> yy</w:t>
            </w:r>
            <w:r>
              <w:rPr>
                <w:b/>
                <w:bCs/>
                <w:i/>
                <w:iCs/>
                <w:noProof/>
                <w:sz w:val="16"/>
                <w:szCs w:val="16"/>
              </w:rPr>
              <w:t xml:space="preserve"> </w:t>
            </w:r>
            <w:r>
              <w:rPr>
                <w:rStyle w:val="FootnoteReference"/>
                <w:b/>
                <w:bCs/>
                <w:i/>
                <w:iCs/>
                <w:noProof/>
                <w:sz w:val="16"/>
                <w:szCs w:val="16"/>
              </w:rPr>
              <w:footnoteReference w:id="17"/>
            </w:r>
          </w:p>
          <w:p>
            <w:pPr>
              <w:pStyle w:val="Text1"/>
              <w:spacing w:beforeLines="20" w:before="48" w:afterLines="20" w:after="48"/>
              <w:ind w:left="136"/>
              <w:jc w:val="left"/>
              <w:rPr>
                <w:b/>
                <w:noProof/>
                <w:sz w:val="16"/>
                <w:szCs w:val="16"/>
              </w:rPr>
            </w:pPr>
          </w:p>
        </w:tc>
        <w:tc>
          <w:tcPr>
            <w:tcW w:w="2971" w:type="dxa"/>
            <w:shd w:val="clear" w:color="auto" w:fill="auto"/>
            <w:vAlign w:val="center"/>
          </w:tcPr>
          <w:p>
            <w:pPr>
              <w:pStyle w:val="Text1"/>
              <w:spacing w:beforeLines="20" w:before="48" w:afterLines="20" w:after="48"/>
              <w:ind w:left="136"/>
              <w:jc w:val="left"/>
              <w:rPr>
                <w:b/>
                <w:noProof/>
                <w:sz w:val="16"/>
                <w:szCs w:val="16"/>
              </w:rPr>
            </w:pPr>
            <w:r>
              <w:rPr>
                <w:noProof/>
                <w:sz w:val="16"/>
              </w:rPr>
              <w:t>- peakorteris</w:t>
            </w:r>
          </w:p>
          <w:p>
            <w:pPr>
              <w:pStyle w:val="Text1"/>
              <w:spacing w:beforeLines="20" w:before="48" w:afterLines="20" w:after="48"/>
              <w:ind w:left="136"/>
              <w:jc w:val="left"/>
              <w:rPr>
                <w:b/>
                <w:noProof/>
                <w:sz w:val="16"/>
                <w:szCs w:val="16"/>
              </w:rPr>
            </w:pPr>
          </w:p>
        </w:tc>
        <w:tc>
          <w:tcPr>
            <w:tcW w:w="731" w:type="dxa"/>
            <w:shd w:val="clear" w:color="auto" w:fill="auto"/>
            <w:vAlign w:val="center"/>
          </w:tcPr>
          <w:p>
            <w:pPr>
              <w:pStyle w:val="Text1"/>
              <w:spacing w:beforeLines="20" w:before="48" w:afterLines="20" w:after="48"/>
              <w:ind w:left="0"/>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After w:val="1"/>
          <w:wAfter w:w="25" w:type="dxa"/>
          <w:trHeight w:val="289"/>
          <w:jc w:val="center"/>
        </w:trPr>
        <w:tc>
          <w:tcPr>
            <w:tcW w:w="2376" w:type="dxa"/>
            <w:vMerge/>
            <w:shd w:val="clear" w:color="auto" w:fill="auto"/>
            <w:vAlign w:val="center"/>
          </w:tcPr>
          <w:p>
            <w:pPr>
              <w:pStyle w:val="Text1"/>
              <w:spacing w:beforeLines="20" w:before="48" w:afterLines="20" w:after="48"/>
              <w:ind w:left="136"/>
              <w:jc w:val="left"/>
              <w:rPr>
                <w:b/>
                <w:noProof/>
                <w:sz w:val="16"/>
                <w:szCs w:val="16"/>
              </w:rPr>
            </w:pPr>
          </w:p>
        </w:tc>
        <w:tc>
          <w:tcPr>
            <w:tcW w:w="2971"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delegatsioonides </w:t>
            </w:r>
          </w:p>
        </w:tc>
        <w:tc>
          <w:tcPr>
            <w:tcW w:w="731" w:type="dxa"/>
            <w:shd w:val="clear" w:color="auto" w:fill="auto"/>
            <w:vAlign w:val="center"/>
          </w:tcPr>
          <w:p>
            <w:pPr>
              <w:pStyle w:val="Text1"/>
              <w:spacing w:beforeLines="20" w:before="48" w:afterLines="20" w:after="48"/>
              <w:ind w:left="0"/>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After w:val="1"/>
          <w:wAfter w:w="25" w:type="dxa"/>
          <w:trHeight w:val="289"/>
          <w:jc w:val="center"/>
        </w:trPr>
        <w:tc>
          <w:tcPr>
            <w:tcW w:w="5347" w:type="dxa"/>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02/12/22 (lepingulised töötajad, riikide lähetatud eksperdid ja renditööjõud kaudse teadustegevuse valdkonnas)</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After w:val="1"/>
          <w:wAfter w:w="25" w:type="dxa"/>
          <w:trHeight w:val="289"/>
          <w:jc w:val="center"/>
        </w:trPr>
        <w:tc>
          <w:tcPr>
            <w:tcW w:w="5347"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(lepingulised töötajad, riikide lähetatud eksperdid ja renditööjõud otsese teadustegevuse valdkonnas)</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After w:val="1"/>
          <w:wAfter w:w="25" w:type="dxa"/>
          <w:trHeight w:val="289"/>
          <w:jc w:val="center"/>
        </w:trPr>
        <w:tc>
          <w:tcPr>
            <w:tcW w:w="5347"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Muud eelarveread (märkige)</w:t>
            </w: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After w:val="1"/>
          <w:wAfter w:w="25" w:type="dxa"/>
          <w:trHeight w:val="289"/>
          <w:jc w:val="center"/>
        </w:trPr>
        <w:tc>
          <w:tcPr>
            <w:tcW w:w="5347"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KOKKU</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25</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25</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15</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r>
    </w:tbl>
    <w:p>
      <w:pPr>
        <w:pStyle w:val="Text1"/>
        <w:spacing w:before="60" w:after="60"/>
        <w:ind w:left="851"/>
        <w:rPr>
          <w:noProof/>
          <w:sz w:val="18"/>
          <w:szCs w:val="18"/>
        </w:rPr>
      </w:pPr>
      <w:r>
        <w:rPr>
          <w:b/>
          <w:noProof/>
          <w:sz w:val="18"/>
          <w:szCs w:val="18"/>
        </w:rPr>
        <w:t>XX</w:t>
      </w:r>
      <w:r>
        <w:rPr>
          <w:noProof/>
          <w:sz w:val="18"/>
          <w:szCs w:val="18"/>
        </w:rPr>
        <w:t xml:space="preserve"> tähistab asjaomast poliitikavaldkonda või eelarvejaotist.</w:t>
      </w:r>
    </w:p>
    <w:p>
      <w:pPr>
        <w:pStyle w:val="Text1"/>
        <w:rPr>
          <w:noProof/>
          <w:sz w:val="18"/>
          <w:szCs w:val="18"/>
        </w:rPr>
      </w:pPr>
      <w:r>
        <w:rPr>
          <w:noProof/>
          <w:sz w:val="18"/>
        </w:rPr>
        <w:t>Personalivajadused kaetakse haldavatele peadirektoraatidele juba jaotatud ja/või peadirektoraatides ümberpaigutatud vahenditest, vajaduse korral koos lisaeraldistega, mis võidakse meedet juhtivale peadirektoraadile anda iga-aastase vahendite eraldamise protseduuri raames, võttes arvesse eelarvepiiranguid.</w:t>
      </w:r>
    </w:p>
    <w:p>
      <w:pPr>
        <w:rPr>
          <w:noProof/>
          <w:sz w:val="20"/>
        </w:rPr>
      </w:pPr>
      <w:r>
        <w:rPr>
          <w:noProof/>
          <w:sz w:val="20"/>
        </w:rPr>
        <w:t>Ülesannete kirjeldus:</w:t>
      </w:r>
    </w:p>
    <w:tbl>
      <w:tblPr>
        <w:tblW w:w="85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5335"/>
      </w:tblGrid>
      <w:tr>
        <w:trPr>
          <w:jc w:val="center"/>
        </w:trPr>
        <w:tc>
          <w:tcPr>
            <w:tcW w:w="3240" w:type="dxa"/>
          </w:tcPr>
          <w:p>
            <w:pPr>
              <w:rPr>
                <w:noProof/>
                <w:sz w:val="20"/>
              </w:rPr>
            </w:pPr>
            <w:r>
              <w:rPr>
                <w:noProof/>
                <w:sz w:val="20"/>
              </w:rPr>
              <w:t>Ametnikud ja ajutised töötajad</w:t>
            </w:r>
          </w:p>
        </w:tc>
        <w:tc>
          <w:tcPr>
            <w:tcW w:w="5335" w:type="dxa"/>
          </w:tcPr>
          <w:p>
            <w:pPr>
              <w:rPr>
                <w:noProof/>
                <w:sz w:val="20"/>
              </w:rPr>
            </w:pPr>
          </w:p>
        </w:tc>
      </w:tr>
      <w:tr>
        <w:trPr>
          <w:jc w:val="center"/>
        </w:trPr>
        <w:tc>
          <w:tcPr>
            <w:tcW w:w="3240" w:type="dxa"/>
          </w:tcPr>
          <w:p>
            <w:pPr>
              <w:spacing w:before="60" w:after="60"/>
              <w:rPr>
                <w:noProof/>
                <w:sz w:val="20"/>
              </w:rPr>
            </w:pPr>
            <w:r>
              <w:rPr>
                <w:noProof/>
                <w:sz w:val="20"/>
              </w:rPr>
              <w:t>Koosseisuvälised töötajad</w:t>
            </w:r>
          </w:p>
        </w:tc>
        <w:tc>
          <w:tcPr>
            <w:tcW w:w="5335" w:type="dxa"/>
          </w:tcPr>
          <w:p>
            <w:pPr>
              <w:rPr>
                <w:noProof/>
                <w:sz w:val="20"/>
              </w:rPr>
            </w:pPr>
          </w:p>
        </w:tc>
      </w:tr>
    </w:tbl>
    <w:p>
      <w:pPr>
        <w:spacing w:after="60"/>
        <w:jc w:val="right"/>
        <w:rPr>
          <w:i/>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Kooskõla kehtiva mitmeaastase finantsraamistikuga </w:t>
      </w:r>
    </w:p>
    <w:p>
      <w:pPr>
        <w:pStyle w:val="ListDash1"/>
        <w:rPr>
          <w:noProof/>
        </w:rPr>
      </w:pPr>
      <w:r>
        <w:rPr>
          <w:noProof/>
        </w:rPr>
        <w:sym w:font="Wingdings" w:char="F0A8"/>
      </w:r>
      <w:r>
        <w:rPr>
          <w:noProof/>
        </w:rPr>
        <w:tab/>
        <w:t>Ettepanek/algatus on kooskõlas kehtiva mitmeaastase finantsraamistikuga.</w:t>
      </w:r>
    </w:p>
    <w:p>
      <w:pPr>
        <w:pStyle w:val="ListDash1"/>
        <w:rPr>
          <w:noProof/>
        </w:rPr>
      </w:pPr>
      <w:r>
        <w:rPr>
          <w:noProof/>
        </w:rPr>
        <w:sym w:font="Wingdings" w:char="F0A8"/>
      </w:r>
      <w:r>
        <w:rPr>
          <w:noProof/>
        </w:rPr>
        <w:tab/>
        <w:t>Ettepaneku/algatusega kaasneb mitmeaastase finantsraamistiku asjaomase rubriigi ümberplaneerimine.</w:t>
      </w:r>
    </w:p>
    <w:p>
      <w:pPr>
        <w:pStyle w:val="ListDash1"/>
        <w:rPr>
          <w:noProof/>
        </w:rPr>
      </w:pPr>
      <w:r>
        <w:rPr>
          <w:noProof/>
        </w:rPr>
        <w:t>X</w:t>
      </w:r>
      <w:r>
        <w:rPr>
          <w:noProof/>
        </w:rPr>
        <w:tab/>
        <w:t>Käesolev ettepanek/algatus tingib mitmeaastase finantsraamistiku asjaomases rubriigi mittesihtotstarbelise varu ja/või mitmeaastase finantsraamistiku määruses sätestatud erivahendite kasutuselevõtu või mitmeaastase finantsraamistiku läbivaatamise.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Arvestades, et mitmeaastase finantsraamistiku rubriigis 3 ei ole varusid ega ümberpaigutamisvõimalusi, teeb komisjon paralleelselt selle algatusega ettepaneku:</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w:t>
      </w:r>
      <w:r>
        <w:rPr>
          <w:noProof/>
          <w:sz w:val="20"/>
        </w:rPr>
        <w:tab/>
        <w:t>muuta mitmeaastase finantsraamistiku määrust, et kõrvaldada kulukohustuste koguvaru kohaldamisala piirangud ja kasutada selle vahendi ülejäänud summat kõnealuse algatuse jaoks (paranduseelarve projektis nr 2/2020);</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w:t>
      </w:r>
      <w:r>
        <w:rPr>
          <w:noProof/>
          <w:sz w:val="20"/>
        </w:rPr>
        <w:tab/>
        <w:t>kasutada paindlikkusinstrumendi järelejäänud summat;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w:t>
      </w:r>
      <w:r>
        <w:rPr>
          <w:noProof/>
          <w:sz w:val="20"/>
        </w:rPr>
        <w:tab/>
        <w:t>võtta tasakaalu jaoks kasutusele ettenägematute kulude varu.</w:t>
      </w:r>
    </w:p>
    <w:p>
      <w:pPr>
        <w:pStyle w:val="ManualHeading3"/>
        <w:rPr>
          <w:bCs/>
          <w:noProof/>
          <w:szCs w:val="24"/>
        </w:rPr>
      </w:pPr>
      <w:r>
        <w:t>3.2.5.</w:t>
      </w:r>
      <w:r>
        <w:tab/>
      </w:r>
      <w:r>
        <w:rPr>
          <w:noProof/>
        </w:rPr>
        <w:t xml:space="preserve">Kolmandate isikute rahaline osalus </w:t>
      </w:r>
    </w:p>
    <w:p>
      <w:pPr>
        <w:pStyle w:val="ListDash1"/>
        <w:rPr>
          <w:noProof/>
        </w:rPr>
      </w:pPr>
      <w:r>
        <w:rPr>
          <w:noProof/>
        </w:rPr>
        <w:t>X Ettepanek/algatus ei hõlma kolmandate isikute poolset kaasrahastamist</w:t>
      </w:r>
      <w:r>
        <w:rPr>
          <w:rStyle w:val="FootnoteReference"/>
          <w:noProof/>
        </w:rPr>
        <w:footnoteReference w:id="18"/>
      </w:r>
      <w:r>
        <w:rPr>
          <w:noProof/>
        </w:rPr>
        <w:t xml:space="preserve">. </w:t>
      </w:r>
    </w:p>
    <w:p>
      <w:pPr>
        <w:pStyle w:val="ListDash1"/>
        <w:rPr>
          <w:noProof/>
        </w:rPr>
      </w:pPr>
      <w:r>
        <w:rPr>
          <w:noProof/>
        </w:rPr>
        <w:sym w:font="Wingdings" w:char="F0A8"/>
      </w:r>
      <w:r>
        <w:rPr>
          <w:noProof/>
        </w:rPr>
        <w:tab/>
        <w:t>Ettepanek/algatus hõlmab kaasrahastamist, mille hinnanguline summa on järgmine:</w:t>
      </w:r>
    </w:p>
    <w:p>
      <w:pPr>
        <w:jc w:val="right"/>
        <w:rPr>
          <w:noProof/>
          <w:sz w:val="20"/>
        </w:rPr>
      </w:pPr>
      <w:r>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Aasta</w:t>
            </w:r>
            <w:r>
              <w:rPr>
                <w:noProof/>
                <w:sz w:val="22"/>
              </w:rPr>
              <w:br/>
            </w:r>
            <w:r>
              <w:rPr>
                <w:b/>
                <w:noProof/>
                <w:sz w:val="20"/>
              </w:rPr>
              <w:t>N</w:t>
            </w:r>
          </w:p>
        </w:tc>
        <w:tc>
          <w:tcPr>
            <w:tcW w:w="964" w:type="dxa"/>
            <w:vAlign w:val="center"/>
          </w:tcPr>
          <w:p>
            <w:pPr>
              <w:jc w:val="center"/>
              <w:rPr>
                <w:noProof/>
                <w:sz w:val="20"/>
              </w:rPr>
            </w:pPr>
            <w:r>
              <w:rPr>
                <w:noProof/>
                <w:sz w:val="20"/>
              </w:rPr>
              <w:t>Aasta</w:t>
            </w:r>
            <w:r>
              <w:rPr>
                <w:noProof/>
                <w:sz w:val="22"/>
              </w:rPr>
              <w:br/>
            </w:r>
            <w:r>
              <w:rPr>
                <w:b/>
                <w:noProof/>
                <w:sz w:val="20"/>
              </w:rPr>
              <w:t>N+1</w:t>
            </w:r>
          </w:p>
        </w:tc>
        <w:tc>
          <w:tcPr>
            <w:tcW w:w="964" w:type="dxa"/>
            <w:vAlign w:val="center"/>
          </w:tcPr>
          <w:p>
            <w:pPr>
              <w:jc w:val="center"/>
              <w:rPr>
                <w:noProof/>
                <w:sz w:val="20"/>
              </w:rPr>
            </w:pPr>
            <w:r>
              <w:rPr>
                <w:noProof/>
                <w:sz w:val="20"/>
              </w:rPr>
              <w:t>Aasta</w:t>
            </w:r>
            <w:r>
              <w:rPr>
                <w:noProof/>
                <w:sz w:val="22"/>
              </w:rPr>
              <w:br/>
            </w:r>
            <w:r>
              <w:rPr>
                <w:b/>
                <w:noProof/>
                <w:sz w:val="20"/>
              </w:rPr>
              <w:t>N+2</w:t>
            </w:r>
          </w:p>
        </w:tc>
        <w:tc>
          <w:tcPr>
            <w:tcW w:w="964" w:type="dxa"/>
            <w:vAlign w:val="center"/>
          </w:tcPr>
          <w:p>
            <w:pPr>
              <w:jc w:val="center"/>
              <w:rPr>
                <w:noProof/>
                <w:sz w:val="20"/>
              </w:rPr>
            </w:pPr>
            <w:r>
              <w:rPr>
                <w:noProof/>
                <w:sz w:val="20"/>
              </w:rPr>
              <w:t>Aasta</w:t>
            </w:r>
            <w:r>
              <w:rPr>
                <w:noProof/>
                <w:sz w:val="22"/>
              </w:rPr>
              <w:br/>
            </w:r>
            <w:r>
              <w:rPr>
                <w:b/>
                <w:noProof/>
                <w:sz w:val="20"/>
              </w:rPr>
              <w:t>N+3</w:t>
            </w:r>
          </w:p>
        </w:tc>
        <w:tc>
          <w:tcPr>
            <w:tcW w:w="2892" w:type="dxa"/>
            <w:gridSpan w:val="3"/>
            <w:vAlign w:val="center"/>
          </w:tcPr>
          <w:p>
            <w:pPr>
              <w:jc w:val="center"/>
              <w:rPr>
                <w:b/>
                <w:noProof/>
                <w:sz w:val="20"/>
              </w:rPr>
            </w:pPr>
            <w:r>
              <w:rPr>
                <w:noProof/>
                <w:sz w:val="20"/>
              </w:rPr>
              <w:t>Lisage vajalik arv aastaid, et kajastada kogu finantsmõju kestust (vt punkt 1.6)</w:t>
            </w:r>
          </w:p>
        </w:tc>
        <w:tc>
          <w:tcPr>
            <w:tcW w:w="1158" w:type="dxa"/>
            <w:vAlign w:val="center"/>
          </w:tcPr>
          <w:p>
            <w:pPr>
              <w:spacing w:before="60" w:after="60"/>
              <w:jc w:val="center"/>
              <w:rPr>
                <w:noProof/>
                <w:sz w:val="20"/>
              </w:rPr>
            </w:pPr>
            <w:r>
              <w:rPr>
                <w:noProof/>
                <w:sz w:val="20"/>
              </w:rPr>
              <w:t>Kokku</w:t>
            </w:r>
          </w:p>
        </w:tc>
      </w:tr>
      <w:tr>
        <w:trPr>
          <w:cantSplit/>
        </w:trPr>
        <w:tc>
          <w:tcPr>
            <w:tcW w:w="2340" w:type="dxa"/>
          </w:tcPr>
          <w:p>
            <w:pPr>
              <w:rPr>
                <w:noProof/>
                <w:sz w:val="22"/>
              </w:rPr>
            </w:pPr>
            <w:r>
              <w:rPr>
                <w:noProof/>
                <w:sz w:val="20"/>
              </w:rPr>
              <w:t>Nimetage kaasrahastav asutus</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Kaasrahastatavad assigneeringud KOKKU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br w:type="page"/>
      </w:r>
      <w:r>
        <w:t>3.3.</w:t>
      </w:r>
      <w:r>
        <w:tab/>
      </w:r>
      <w:r>
        <w:rPr>
          <w:noProof/>
        </w:rPr>
        <w:t xml:space="preserve">Hinnanguline mõju tuludele </w:t>
      </w:r>
    </w:p>
    <w:p>
      <w:pPr>
        <w:pStyle w:val="ListDash1"/>
        <w:rPr>
          <w:noProof/>
        </w:rPr>
      </w:pPr>
      <w:r>
        <w:rPr>
          <w:noProof/>
        </w:rPr>
        <w:t>X</w:t>
      </w:r>
      <w:r>
        <w:rPr>
          <w:noProof/>
        </w:rPr>
        <w:tab/>
        <w:t>Ettepanekul/algatusel puudub finantsmõju tuludele</w:t>
      </w:r>
    </w:p>
    <w:p>
      <w:pPr>
        <w:pStyle w:val="ListDash1"/>
        <w:rPr>
          <w:noProof/>
        </w:rPr>
      </w:pPr>
      <w:r>
        <w:rPr>
          <w:noProof/>
        </w:rPr>
        <w:sym w:font="Wingdings" w:char="F0A8"/>
      </w:r>
      <w:r>
        <w:rPr>
          <w:noProof/>
        </w:rPr>
        <w:tab/>
        <w:t>Ettepanekul/algatusel on järgmine finantsmõju:</w:t>
      </w:r>
    </w:p>
    <w:p>
      <w:pPr>
        <w:pStyle w:val="ListNumberLevel3"/>
        <w:rPr>
          <w:noProof/>
        </w:rPr>
      </w:pPr>
      <w:r>
        <w:rPr>
          <w:noProof/>
        </w:rPr>
        <w:sym w:font="Wingdings" w:char="F0A8"/>
      </w:r>
      <w:r>
        <w:rPr>
          <w:noProof/>
        </w:rPr>
        <w:tab/>
        <w:t xml:space="preserve">omavahenditele </w:t>
      </w:r>
    </w:p>
    <w:p>
      <w:pPr>
        <w:pStyle w:val="ListNumberLevel3"/>
        <w:rPr>
          <w:noProof/>
        </w:rPr>
      </w:pPr>
      <w:r>
        <w:rPr>
          <w:noProof/>
        </w:rPr>
        <w:sym w:font="Wingdings" w:char="F0A8"/>
      </w:r>
      <w:r>
        <w:rPr>
          <w:noProof/>
        </w:rPr>
        <w:tab/>
        <w:t>mitmesugustele tuludele</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426" w:hanging="426"/>
      </w:pPr>
      <w:r>
        <w:rPr>
          <w:rStyle w:val="FootnoteReference"/>
        </w:rPr>
        <w:footnoteRef/>
      </w:r>
      <w:r>
        <w:tab/>
        <w:t>Ettepanek: Euroopa Parlamendi ja nõukogu 13. märtsi 2020. aasta määrus millega muudetakse määrust (EL) nr 1303/2013, määrust (EL) nr 1301/2013 ja määrust (EL) nr 508/2014 seoses erimeetmetega investeeringute kaasamiseks liikmesriikide tervishoiusüsteemidesse ja muudesse majandussektoritesse, et reageerida COVID-19 puhangule [Koroonaviirusega võitlemise investeerimisalgatus] (COM(2020) 113 final).</w:t>
      </w:r>
    </w:p>
  </w:footnote>
  <w:footnote w:id="2">
    <w:p>
      <w:pPr>
        <w:pStyle w:val="FootnoteText"/>
        <w:ind w:left="426" w:hanging="426"/>
      </w:pPr>
      <w:r>
        <w:rPr>
          <w:rStyle w:val="FootnoteReference"/>
        </w:rPr>
        <w:footnoteRef/>
      </w:r>
      <w:r>
        <w:tab/>
        <w:t>Komisjoni 13. märtsi 2020. aasta teatis Euroopa Parlamendile, Euroopa Ülemkogule, nõukogule, Euroopa Keskpangale, Euroopa Investeerimispangale ja eurorühmale „Euroopa koordineeritud majanduslikud meetmed COVID-19 puhangule reageerimiseks“ (COM(2020) 112 final).</w:t>
      </w:r>
    </w:p>
  </w:footnote>
  <w:footnote w:id="3">
    <w:p>
      <w:pPr>
        <w:pStyle w:val="FootnoteText"/>
        <w:ind w:left="426" w:hanging="426"/>
      </w:pPr>
      <w:r>
        <w:rPr>
          <w:rStyle w:val="FootnoteReference"/>
        </w:rPr>
        <w:footnoteRef/>
      </w:r>
      <w:r>
        <w:tab/>
        <w:t>Ettepanek: Euroopa Parlamendi ja nõukogu 13. märtsi 2020. aasta määrus, millega muudetakse nõukogu määrust (EÜ) nr 2012/2002, et anda finantsabi liikmesriikidele ja ELiga ühinemisläbirääkimisi pidavatele riikidele, keda ulatuslik rahvatervise hädaolukord tõsiselt mõjutab (COM(2020) 114 final).</w:t>
      </w:r>
    </w:p>
  </w:footnote>
  <w:footnote w:id="4">
    <w:p>
      <w:pPr>
        <w:pStyle w:val="FootnoteText"/>
      </w:pPr>
      <w:r>
        <w:rPr>
          <w:rStyle w:val="FootnoteReference"/>
        </w:rPr>
        <w:footnoteRef/>
      </w:r>
      <w:r>
        <w:tab/>
        <w:t>Euroopa Parlamendi ja nõukogu 17. detsembri 2013. aasta otsus nr 1313/2013/EL liidu elanikkonnakaitse mehhanismi kohta (ELT L 347, 20.12.2013, lk 924).</w:t>
      </w:r>
    </w:p>
  </w:footnote>
  <w:footnote w:id="5">
    <w:p>
      <w:pPr>
        <w:pStyle w:val="FootnoteText"/>
      </w:pPr>
      <w:r>
        <w:rPr>
          <w:rStyle w:val="FootnoteReference"/>
        </w:rPr>
        <w:footnoteRef/>
      </w:r>
      <w:r>
        <w:tab/>
        <w:t>Euroopa Parlamendi ja nõukogu 18. juuli 2018. aasta määrus (EL, Euratom) 2018/1046, mis käsitleb liidu üldeelarve suhtes kohaldatavaid finantsreegleid ja millega muudetakse määrusi (EL) nr 1296/2013, (EL) nr 1301/2013, (EL) nr 1303/2013, (EL) nr 1304/2013, (EL) nr 1309/2013, (EL) nr 1316/2013, (EL) nr 223/2014 ja (EL) nr 283/2014 ja otsust nr 541/2014/EL ning tunnistatakse kehtetuks määrus (EL, Euratom) nr 966/2012 (ELT L 193, 30.7.2018, lk 1).</w:t>
      </w:r>
    </w:p>
  </w:footnote>
  <w:footnote w:id="6">
    <w:p>
      <w:pPr>
        <w:pStyle w:val="FootnoteText"/>
      </w:pPr>
      <w:r>
        <w:rPr>
          <w:rStyle w:val="FootnoteReference"/>
        </w:rPr>
        <w:footnoteRef/>
      </w:r>
      <w:r>
        <w:tab/>
        <w:t>Euroopa Parlamendi ja nõukogu 18. juuli 2018. aasta määrus (EL, Euratom) 2018/1046, mis käsitleb liidu üldeelarve suhtes kohaldatavaid finantsreegleid ja millega muudetakse määrusi (EL) nr 1296/2013, (EL) nr 1301/2013, (EL) nr 1303/2013, (EL) nr 1304/2013, (EL) nr 1309/2013, (EL) nr 1316/2013, (EL) nr 223/2014 ja (EL) nr 283/2014 ja otsust nr 541/2014/EL ning tunnistatakse kehtetuks määrus (EL, Euratom) nr 966/2012 (ELT L 193, 30.7.2018, lk 1).</w:t>
      </w:r>
    </w:p>
  </w:footnote>
  <w:footnote w:id="7">
    <w:p>
      <w:pPr>
        <w:pStyle w:val="FootnoteText"/>
        <w:rPr>
          <w:szCs w:val="24"/>
        </w:rPr>
      </w:pPr>
      <w:r>
        <w:rPr>
          <w:rStyle w:val="FootnoteReference"/>
        </w:rPr>
        <w:footnoteRef/>
      </w:r>
      <w:r>
        <w:tab/>
        <w:t>ABM: tegevuspõhine juhtimine; ABB: tegevuspõhine eelarvestamine.</w:t>
      </w:r>
    </w:p>
  </w:footnote>
  <w:footnote w:id="8">
    <w:p>
      <w:pPr>
        <w:pStyle w:val="FootnoteText"/>
        <w:rPr>
          <w:szCs w:val="24"/>
        </w:rPr>
      </w:pPr>
      <w:r>
        <w:rPr>
          <w:rStyle w:val="FootnoteReference"/>
        </w:rPr>
        <w:footnoteRef/>
      </w:r>
      <w:r>
        <w:tab/>
        <w:t>Vastavalt finantsmääruse artikli 54 lõike 2 punktile a või b.</w:t>
      </w:r>
    </w:p>
  </w:footnote>
  <w:footnote w:id="9">
    <w:p>
      <w:pPr>
        <w:pStyle w:val="FootnoteText"/>
        <w:rPr>
          <w:szCs w:val="24"/>
        </w:rPr>
      </w:pPr>
      <w:r>
        <w:rPr>
          <w:rStyle w:val="FootnoteReference"/>
        </w:rPr>
        <w:footnoteRef/>
      </w:r>
      <w:r>
        <w:tab/>
        <w:t xml:space="preserve">Eelarve täitmise viise koos viidetega finantsmäärusele on selgitatud veebisaidil </w:t>
      </w:r>
      <w:hyperlink r:id="rId1" w:history="1">
        <w:r>
          <w:rPr>
            <w:rStyle w:val="Hyperlink"/>
            <w:sz w:val="18"/>
          </w:rPr>
          <w:t>http://www.cc.cec/budg/man/budgmanag/budgmanag_en.html</w:t>
        </w:r>
      </w:hyperlink>
      <w:r>
        <w:t>.</w:t>
      </w:r>
    </w:p>
  </w:footnote>
  <w:footnote w:id="10">
    <w:p>
      <w:pPr>
        <w:pStyle w:val="FootnoteText"/>
        <w:rPr>
          <w:szCs w:val="24"/>
        </w:rPr>
      </w:pPr>
      <w:r>
        <w:rPr>
          <w:rStyle w:val="FootnoteReference"/>
        </w:rPr>
        <w:footnoteRef/>
      </w:r>
      <w:r>
        <w:tab/>
        <w:t>Liigendatud = liigendatud assigneeringud / liigendamata = liigendamata assigneeringud.</w:t>
      </w:r>
    </w:p>
  </w:footnote>
  <w:footnote w:id="11">
    <w:p>
      <w:pPr>
        <w:pStyle w:val="FootnoteText"/>
        <w:rPr>
          <w:szCs w:val="24"/>
        </w:rPr>
      </w:pPr>
      <w:r>
        <w:rPr>
          <w:rStyle w:val="FootnoteReference"/>
        </w:rPr>
        <w:footnoteRef/>
      </w:r>
      <w:r>
        <w:tab/>
        <w:t xml:space="preserve">EFTA: Euroopa Vabakaubanduse Assotsiatsioon. </w:t>
      </w:r>
    </w:p>
  </w:footnote>
  <w:footnote w:id="12">
    <w:p>
      <w:pPr>
        <w:pStyle w:val="FootnoteText"/>
        <w:rPr>
          <w:szCs w:val="24"/>
        </w:rPr>
      </w:pPr>
      <w:r>
        <w:rPr>
          <w:rStyle w:val="FootnoteReference"/>
        </w:rPr>
        <w:footnoteRef/>
      </w:r>
      <w:r>
        <w:tab/>
        <w:t>Kandidaatriigid ja vajaduse korral Lääne-Balkani potentsiaalsed kandidaatriigid.</w:t>
      </w:r>
    </w:p>
  </w:footnote>
  <w:footnote w:id="13">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14">
    <w:p>
      <w:pPr>
        <w:pStyle w:val="FootnoteText"/>
        <w:rPr>
          <w:szCs w:val="24"/>
        </w:rPr>
      </w:pPr>
      <w:r>
        <w:rPr>
          <w:rStyle w:val="FootnoteReference"/>
        </w:rPr>
        <w:footnoteRef/>
      </w:r>
      <w:r>
        <w:tab/>
        <w:t xml:space="preserve">Vastavalt punktile 1.4.2. „Erieesmärk/erieesmärgid…“. </w:t>
      </w:r>
    </w:p>
  </w:footnote>
  <w:footnote w:id="15">
    <w:p>
      <w:pPr>
        <w:pStyle w:val="FootnoteText"/>
        <w:rPr>
          <w:szCs w:val="24"/>
        </w:rPr>
      </w:pPr>
      <w:r>
        <w:rPr>
          <w:rStyle w:val="FootnoteReference"/>
        </w:rPr>
        <w:footnoteRef/>
      </w:r>
      <w:r>
        <w:tab/>
      </w:r>
      <w:r>
        <w:rPr>
          <w:sz w:val="18"/>
        </w:rPr>
        <w:t>Tehniline ja/või haldusabi ning ELi programmide ja/või meetmete rakendamiseks antava toetusega seotud kulud (endised BA read), otsene teadustegevus, kaudne teadustegevus.</w:t>
      </w:r>
    </w:p>
  </w:footnote>
  <w:footnote w:id="16">
    <w:p>
      <w:pPr>
        <w:pStyle w:val="FootnoteText"/>
        <w:rPr>
          <w:szCs w:val="24"/>
        </w:rPr>
      </w:pPr>
      <w:r>
        <w:rPr>
          <w:rStyle w:val="FootnoteReference"/>
        </w:rPr>
        <w:footnoteRef/>
      </w:r>
      <w:r>
        <w:tab/>
        <w:t xml:space="preserve">Lepingulised töötajad, kohalikud töötajad, riikide lähetatud eksperdid, renditööjõud, noored spetsialistid delegatsioonides. </w:t>
      </w:r>
    </w:p>
  </w:footnote>
  <w:footnote w:id="17">
    <w:p>
      <w:pPr>
        <w:pStyle w:val="FootnoteText"/>
        <w:rPr>
          <w:szCs w:val="24"/>
        </w:rPr>
      </w:pPr>
      <w:r>
        <w:rPr>
          <w:rStyle w:val="FootnoteReference"/>
        </w:rPr>
        <w:footnoteRef/>
      </w:r>
      <w:r>
        <w:tab/>
        <w:t>Tegevusassigneeringutest rahastatavate koosseisuväliste töötajate ülempiiri arvestades (endised B..A read).</w:t>
      </w:r>
    </w:p>
  </w:footnote>
  <w:footnote w:id="18">
    <w:p>
      <w:pPr>
        <w:pStyle w:val="FootnoteText"/>
      </w:pPr>
      <w:r>
        <w:rPr>
          <w:rStyle w:val="FootnoteReference"/>
        </w:rPr>
        <w:footnoteRef/>
      </w:r>
      <w:r>
        <w:tab/>
        <w:t>Nõukogu määruse (EÜ) nr 2016/369 artikli 4 lõikes 2 on sätestatud, et erakorralise toetuse rahastamisvahendisse võivad panustada avalik-õiguslikud või erasektori abiandjad. Kui sellised panused muutuvad kättesaadavaks, kujutavad need endast sihtotstarbelist välistulu vastavalt kõnealusele sättele ja finantsmääruse artikli 21 lõikele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 w:numId="34">
    <w:abstractNumId w:val="21"/>
  </w:num>
  <w:num w:numId="35">
    <w:abstractNumId w:val="11"/>
  </w:num>
  <w:num w:numId="36">
    <w:abstractNumId w:val="24"/>
  </w:num>
  <w:num w:numId="37">
    <w:abstractNumId w:val="6"/>
  </w:num>
  <w:num w:numId="38">
    <w:abstractNumId w:val="12"/>
  </w:num>
  <w:num w:numId="39">
    <w:abstractNumId w:val="4"/>
  </w:num>
  <w:num w:numId="40">
    <w:abstractNumId w:val="23"/>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9:28: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1"/>
    <w:docVar w:name="DQCStatus" w:val="Green"/>
    <w:docVar w:name="DQCVersion" w:val="3"/>
    <w:docVar w:name="DQCWithWarnings" w:val="0"/>
    <w:docVar w:name="LW_CORRIGENDUM" w:val="&lt;UNUSED&gt;"/>
    <w:docVar w:name="LW_COVERPAGE_EXISTS" w:val="True"/>
    <w:docVar w:name="LW_COVERPAGE_GUID" w:val="5F521BED-0C71-4802-AE2C-8776ECC51C2B"/>
    <w:docVar w:name="LW_COVERPAGE_TYPE" w:val="1"/>
    <w:docVar w:name="LW_CROSSREFERENCE" w:val="&lt;UNUSED&gt;"/>
    <w:docVar w:name="LW_DocType" w:val="COM"/>
    <w:docVar w:name="LW_EMISSION" w:val="2.4.2020"/>
    <w:docVar w:name="LW_EMISSION_ISODATE" w:val="2020-04-02"/>
    <w:docVar w:name="LW_EMISSION_LOCATION" w:val="BRX"/>
    <w:docVar w:name="LW_EMISSION_PREFIX" w:val="Brüssel,"/>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56"/>
    <w:docVar w:name="LW_REF.II.NEW.CP_YEAR" w:val="2020"/>
    <w:docVar w:name="LW_REF.INST.NEW" w:val="COM"/>
    <w:docVar w:name="LW_REF.INST.NEW_ADOPTED" w:val="final"/>
    <w:docVar w:name="LW_REF.INST.NEW_TEXT" w:val="(2020) 1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aktiveeritakse nõukogu 15. märtsi 2016. aasta määruse (EL) 2016/369 kohane erakorraline toetus ja muudetakse määruse sätteid seoses COVID-19 puhanguga"/>
    <w:docVar w:name="LW_TYPE.DOC.CP" w:val="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val="fr-FR" w:eastAsia="en-GB"/>
    </w:rPr>
  </w:style>
  <w:style w:type="paragraph" w:styleId="ListBullet2">
    <w:name w:val="List Bullet 2"/>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val="fr-FR"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val="fr-FR" w:eastAsia="en-GB"/>
    </w:rPr>
  </w:style>
  <w:style w:type="paragraph" w:styleId="ListBullet2">
    <w:name w:val="List Bullet 2"/>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val="fr-FR"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0700">
      <w:bodyDiv w:val="1"/>
      <w:marLeft w:val="0"/>
      <w:marRight w:val="0"/>
      <w:marTop w:val="0"/>
      <w:marBottom w:val="0"/>
      <w:divBdr>
        <w:top w:val="none" w:sz="0" w:space="0" w:color="auto"/>
        <w:left w:val="none" w:sz="0" w:space="0" w:color="auto"/>
        <w:bottom w:val="none" w:sz="0" w:space="0" w:color="auto"/>
        <w:right w:val="none" w:sz="0" w:space="0" w:color="auto"/>
      </w:divBdr>
    </w:div>
    <w:div w:id="89744626">
      <w:bodyDiv w:val="1"/>
      <w:marLeft w:val="0"/>
      <w:marRight w:val="0"/>
      <w:marTop w:val="0"/>
      <w:marBottom w:val="0"/>
      <w:divBdr>
        <w:top w:val="none" w:sz="0" w:space="0" w:color="auto"/>
        <w:left w:val="none" w:sz="0" w:space="0" w:color="auto"/>
        <w:bottom w:val="none" w:sz="0" w:space="0" w:color="auto"/>
        <w:right w:val="none" w:sz="0" w:space="0" w:color="auto"/>
      </w:divBdr>
    </w:div>
    <w:div w:id="344985139">
      <w:bodyDiv w:val="1"/>
      <w:marLeft w:val="0"/>
      <w:marRight w:val="0"/>
      <w:marTop w:val="0"/>
      <w:marBottom w:val="0"/>
      <w:divBdr>
        <w:top w:val="none" w:sz="0" w:space="0" w:color="auto"/>
        <w:left w:val="none" w:sz="0" w:space="0" w:color="auto"/>
        <w:bottom w:val="none" w:sz="0" w:space="0" w:color="auto"/>
        <w:right w:val="none" w:sz="0" w:space="0" w:color="auto"/>
      </w:divBdr>
    </w:div>
    <w:div w:id="466047033">
      <w:bodyDiv w:val="1"/>
      <w:marLeft w:val="0"/>
      <w:marRight w:val="0"/>
      <w:marTop w:val="0"/>
      <w:marBottom w:val="0"/>
      <w:divBdr>
        <w:top w:val="none" w:sz="0" w:space="0" w:color="auto"/>
        <w:left w:val="none" w:sz="0" w:space="0" w:color="auto"/>
        <w:bottom w:val="none" w:sz="0" w:space="0" w:color="auto"/>
        <w:right w:val="none" w:sz="0" w:space="0" w:color="auto"/>
      </w:divBdr>
    </w:div>
    <w:div w:id="868491846">
      <w:bodyDiv w:val="1"/>
      <w:marLeft w:val="0"/>
      <w:marRight w:val="0"/>
      <w:marTop w:val="0"/>
      <w:marBottom w:val="0"/>
      <w:divBdr>
        <w:top w:val="none" w:sz="0" w:space="0" w:color="auto"/>
        <w:left w:val="none" w:sz="0" w:space="0" w:color="auto"/>
        <w:bottom w:val="none" w:sz="0" w:space="0" w:color="auto"/>
        <w:right w:val="none" w:sz="0" w:space="0" w:color="auto"/>
      </w:divBdr>
    </w:div>
    <w:div w:id="16811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ARES_NUMBER xmlns="a03c8ef1-56dc-4176-9b5c-ae975a1ea1b1">
      <Url xsi:nil="true"/>
      <Description xsi:nil="true"/>
    </EC_ARES_NUMBER>
    <EC_Collab_Status xmlns="a03c8ef1-56dc-4176-9b5c-ae975a1ea1b1">Not Started</EC_Collab_Status>
    <EC_ARES_TRANSFERRED_BY xmlns="a03c8ef1-56dc-4176-9b5c-ae975a1ea1b1" xsi:nil="true"/>
    <EC_Collab_DocumentLanguage xmlns="a03c8ef1-56dc-4176-9b5c-ae975a1ea1b1">EN</EC_Collab_DocumentLanguage>
    <EC_Collab_Reference xmlns="a03c8ef1-56dc-4176-9b5c-ae975a1ea1b1" xsi:nil="true"/>
    <EC_ARES_DATE_TRANSFERRED xmlns="a03c8ef1-56dc-4176-9b5c-ae975a1ea1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3B4084E9845C142B4B9BBCD28420055" ma:contentTypeVersion="4" ma:contentTypeDescription="Create a new document in this library." ma:contentTypeScope="" ma:versionID="b36ca5726db84e70688976c50a0cf374">
  <xsd:schema xmlns:xsd="http://www.w3.org/2001/XMLSchema" xmlns:xs="http://www.w3.org/2001/XMLSchema" xmlns:p="http://schemas.microsoft.com/office/2006/metadata/properties" xmlns:ns3="a03c8ef1-56dc-4176-9b5c-ae975a1ea1b1" targetNamespace="http://schemas.microsoft.com/office/2006/metadata/properties" ma:root="true" ma:fieldsID="d10dbc489bef1687331d86fef791e8c0" ns3:_="">
    <xsd:import namespace="a03c8ef1-56dc-4176-9b5c-ae975a1ea1b1"/>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8ef1-56dc-4176-9b5c-ae975a1ea1b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3C20-23AB-4A71-A13C-4DF7DBBC2331}">
  <ds:schemaRefs>
    <ds:schemaRef ds:uri="http://schemas.microsoft.com/office/2006/metadata/properties"/>
    <ds:schemaRef ds:uri="http://schemas.microsoft.com/office/infopath/2007/PartnerControls"/>
    <ds:schemaRef ds:uri="a03c8ef1-56dc-4176-9b5c-ae975a1ea1b1"/>
  </ds:schemaRefs>
</ds:datastoreItem>
</file>

<file path=customXml/itemProps2.xml><?xml version="1.0" encoding="utf-8"?>
<ds:datastoreItem xmlns:ds="http://schemas.openxmlformats.org/officeDocument/2006/customXml" ds:itemID="{2F571592-BD79-41EA-B855-75EFEEC5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c8ef1-56dc-4176-9b5c-ae975a1ea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BA0D5-E439-440C-B7BF-54B381ADEAEA}">
  <ds:schemaRefs>
    <ds:schemaRef ds:uri="http://schemas.microsoft.com/sharepoint/v3/contenttype/forms"/>
  </ds:schemaRefs>
</ds:datastoreItem>
</file>

<file path=customXml/itemProps4.xml><?xml version="1.0" encoding="utf-8"?>
<ds:datastoreItem xmlns:ds="http://schemas.openxmlformats.org/officeDocument/2006/customXml" ds:itemID="{CBE1BE6E-2E13-4AFB-8F54-123D3D71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25</Pages>
  <Words>5403</Words>
  <Characters>41877</Characters>
  <Application>Microsoft Office Word</Application>
  <DocSecurity>0</DocSecurity>
  <Lines>1231</Lines>
  <Paragraphs>695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2020-04-03T12:04:00Z</dcterms:created>
  <dcterms:modified xsi:type="dcterms:W3CDTF">2020-04-03T17:28:00Z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0x010100258AA79CEB83498886A3A086811232500083B4084E9845C142B4B9BBCD28420055</vt:lpwstr>
  </property>
  <property fmtid="{D5CDD505-2E9C-101B-9397-08002B2CF9AE}" pid="11" name="DQCStatus">
    <vt:lpwstr>Green (DQC version 03)</vt:lpwstr>
  </property>
</Properties>
</file>