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713CCBB3-9988-4C5B-B645-93DC42790855" style="width:450.75pt;height:306.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0" w:line="240" w:lineRule="auto"/>
        <w:rPr>
          <w:rFonts w:ascii="Times New Roman" w:eastAsia="Times New Roman" w:hAnsi="Times New Roman" w:cs="Times New Roman"/>
          <w:noProof/>
          <w:sz w:val="24"/>
          <w:szCs w:val="24"/>
        </w:rPr>
      </w:pPr>
      <w:bookmarkStart w:id="1" w:name="_GoBack"/>
      <w:bookmarkEnd w:id="1"/>
      <w:r>
        <w:rPr>
          <w:rFonts w:ascii="Times New Roman" w:hAnsi="Times New Roman"/>
          <w:noProof/>
        </w:rPr>
        <w:lastRenderedPageBreak/>
        <w:t>Under henvisning til:</w:t>
      </w:r>
    </w:p>
    <w:p>
      <w:pPr>
        <w:pStyle w:val="Tiret0"/>
        <w:rPr>
          <w:noProof/>
        </w:rPr>
      </w:pPr>
      <w:r>
        <w:rPr>
          <w:noProof/>
        </w:rPr>
        <w:t>traktaten om Den Europæiske Unions funktionsmåde, særlig artikel 314, sammenholdt med traktaten om oprettelse af Det Europæiske Atomenergifællesskab, særlig artikel 106a,</w:t>
      </w:r>
    </w:p>
    <w:p>
      <w:pPr>
        <w:pStyle w:val="Tiret0"/>
        <w:tabs>
          <w:tab w:val="clear" w:pos="850"/>
          <w:tab w:val="num" w:pos="927"/>
        </w:tabs>
        <w:rPr>
          <w:rFonts w:cs="Arial"/>
          <w:noProof/>
          <w:szCs w:val="18"/>
        </w:rPr>
      </w:pPr>
      <w:r>
        <w:rPr>
          <w:noProof/>
        </w:rPr>
        <w:t>Europa-Parlamentets og Rådets forordning (EU, Euratom) 2018/1046 af 18. juli 2018 om de finansielle regler vedrørende Unionens almindelige budget (…)</w:t>
      </w:r>
      <w:r>
        <w:rPr>
          <w:rStyle w:val="FootnoteReference"/>
          <w:noProof/>
        </w:rPr>
        <w:footnoteReference w:id="1"/>
      </w:r>
      <w:r>
        <w:rPr>
          <w:noProof/>
        </w:rPr>
        <w:t>, særlig artikel 44,</w:t>
      </w:r>
    </w:p>
    <w:p>
      <w:pPr>
        <w:pStyle w:val="Tiret0"/>
        <w:tabs>
          <w:tab w:val="clear" w:pos="850"/>
          <w:tab w:val="num" w:pos="927"/>
        </w:tabs>
        <w:rPr>
          <w:noProof/>
        </w:rPr>
      </w:pPr>
      <w:r>
        <w:rPr>
          <w:noProof/>
        </w:rPr>
        <w:t>Den Europæiske Unions almindelige budget for regnskabsåret 2020, der blev vedtaget den 27. november 2019</w:t>
      </w:r>
      <w:r>
        <w:rPr>
          <w:rStyle w:val="FootnoteReference"/>
          <w:noProof/>
        </w:rPr>
        <w:footnoteReference w:id="2"/>
      </w:r>
      <w:r>
        <w:rPr>
          <w:noProof/>
        </w:rPr>
        <w:t>,</w:t>
      </w:r>
    </w:p>
    <w:p>
      <w:pPr>
        <w:pStyle w:val="Tiret0"/>
        <w:rPr>
          <w:noProof/>
        </w:rPr>
      </w:pPr>
      <w:r>
        <w:rPr>
          <w:noProof/>
        </w:rPr>
        <w:t>ændringsbudget nr. 1/20</w:t>
      </w:r>
      <w:r>
        <w:rPr>
          <w:rStyle w:val="FootnoteReference"/>
          <w:noProof/>
        </w:rPr>
        <w:footnoteReference w:id="3"/>
      </w:r>
      <w:r>
        <w:rPr>
          <w:noProof/>
        </w:rPr>
        <w:t>, der blev vedtaget den 27. marts 2020,</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forelægger Europa-Kommissionen hermed Europa-Parlamentet og Rådet forslag til ændringsbudget nr. 2 til budgettet for 2020.</w:t>
      </w:r>
    </w:p>
    <w:p>
      <w:pPr>
        <w:spacing w:after="0" w:line="240" w:lineRule="auto"/>
        <w:rPr>
          <w:rFonts w:ascii="Times New Roman" w:eastAsia="Times New Roman" w:hAnsi="Times New Roman" w:cs="Times New Roman"/>
          <w:b/>
          <w:noProof/>
          <w:sz w:val="24"/>
          <w:szCs w:val="24"/>
          <w:u w:val="single"/>
        </w:rPr>
      </w:pPr>
    </w:p>
    <w:p>
      <w:pPr>
        <w:spacing w:after="0" w:line="240" w:lineRule="auto"/>
        <w:jc w:val="both"/>
        <w:rPr>
          <w:rFonts w:ascii="Times New Roman" w:eastAsia="Times New Roman" w:hAnsi="Times New Roman" w:cs="Times New Roman"/>
          <w:b/>
          <w:noProof/>
          <w:sz w:val="24"/>
          <w:szCs w:val="24"/>
          <w:u w:val="single"/>
        </w:rPr>
      </w:pPr>
      <w:r>
        <w:rPr>
          <w:rFonts w:ascii="Times New Roman" w:hAnsi="Times New Roman"/>
          <w:b/>
          <w:noProof/>
          <w:u w:val="single"/>
        </w:rPr>
        <w:t>ÆNDRINGER I OVERSIGTEN OVER INDTÆGTER OG UDGIFTER EFTER SEKTION</w:t>
      </w:r>
    </w:p>
    <w:p>
      <w:pPr>
        <w:spacing w:after="0" w:line="240" w:lineRule="auto"/>
        <w:rPr>
          <w:rFonts w:ascii="Times New Roman" w:eastAsia="Times New Roman" w:hAnsi="Times New Roman" w:cs="Times New Roman"/>
          <w:b/>
          <w:noProof/>
          <w:sz w:val="24"/>
          <w:szCs w:val="24"/>
          <w:u w:val="single"/>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Ændringerne i oversigten over udgifter i sektion III kan ses på EUR-Lex (</w:t>
      </w:r>
      <w:hyperlink r:id="rId15" w:history="1">
        <w:r>
          <w:rPr>
            <w:rFonts w:ascii="Times New Roman" w:hAnsi="Times New Roman"/>
            <w:noProof/>
            <w:u w:val="single"/>
          </w:rPr>
          <w:t>http://eur-lex.europa.eu/budget/www/index-da.htm</w:t>
        </w:r>
      </w:hyperlink>
      <w:r>
        <w:rPr>
          <w:rFonts w:ascii="Times New Roman" w:hAnsi="Times New Roman"/>
          <w:noProof/>
        </w:rPr>
        <w:t>).</w:t>
      </w:r>
    </w:p>
    <w:p>
      <w:pPr>
        <w:spacing w:after="0" w:line="240" w:lineRule="auto"/>
        <w:rPr>
          <w:rFonts w:ascii="Times New Roman" w:eastAsia="Times New Roman" w:hAnsi="Times New Roman" w:cs="Times New Roman"/>
          <w:noProof/>
          <w:sz w:val="24"/>
          <w:szCs w:val="24"/>
        </w:rPr>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08"/>
          <w:docGrid w:linePitch="360"/>
        </w:sectPr>
      </w:pPr>
    </w:p>
    <w:sdt>
      <w:sdtPr>
        <w:rPr>
          <w:rFonts w:ascii="Times New Roman" w:eastAsia="Times New Roman" w:hAnsi="Times New Roman" w:cs="Times New Roman"/>
          <w:noProof/>
          <w:sz w:val="24"/>
          <w:szCs w:val="24"/>
        </w:rPr>
        <w:id w:val="-1342782297"/>
        <w:docPartObj>
          <w:docPartGallery w:val="Table of Contents"/>
          <w:docPartUnique/>
        </w:docPartObj>
      </w:sdtPr>
      <w:sdtEndPr>
        <w:rPr>
          <w:bCs/>
        </w:rPr>
      </w:sdtEndPr>
      <w:sdtContent>
        <w:p>
          <w:pPr>
            <w:spacing w:before="120" w:after="240" w:line="240" w:lineRule="auto"/>
            <w:jc w:val="center"/>
            <w:rPr>
              <w:rFonts w:ascii="Times New Roman" w:eastAsia="Times New Roman" w:hAnsi="Times New Roman" w:cs="Times New Roman"/>
              <w:b/>
              <w:noProof/>
              <w:sz w:val="28"/>
              <w:szCs w:val="24"/>
            </w:rPr>
          </w:pPr>
          <w:r>
            <w:rPr>
              <w:rFonts w:ascii="Times New Roman" w:hAnsi="Times New Roman"/>
              <w:b/>
              <w:noProof/>
              <w:sz w:val="28"/>
            </w:rPr>
            <w:t>Indholdsfortegnelse</w:t>
          </w:r>
        </w:p>
        <w:p>
          <w:pPr>
            <w:pStyle w:val="TOC1"/>
            <w:tabs>
              <w:tab w:val="left" w:pos="480"/>
              <w:tab w:val="right" w:leader="dot" w:pos="9855"/>
            </w:tabs>
            <w:rPr>
              <w:rFonts w:asciiTheme="minorHAnsi" w:eastAsiaTheme="minorEastAsia" w:hAnsiTheme="minorHAnsi" w:cstheme="minorBidi"/>
              <w:b w:val="0"/>
              <w:bCs w:val="0"/>
              <w:caps w:val="0"/>
              <w:noProof/>
              <w:sz w:val="22"/>
              <w:szCs w:val="22"/>
              <w:lang w:eastAsia="da-DK"/>
            </w:rPr>
          </w:pPr>
          <w:r>
            <w:rPr>
              <w:noProof/>
            </w:rPr>
            <w:fldChar w:fldCharType="begin"/>
          </w:r>
          <w:r>
            <w:rPr>
              <w:noProof/>
            </w:rPr>
            <w:instrText xml:space="preserve"> TOC \o "1-3" \h \z \u </w:instrText>
          </w:r>
          <w:r>
            <w:rPr>
              <w:noProof/>
            </w:rPr>
            <w:fldChar w:fldCharType="separate"/>
          </w:r>
          <w:hyperlink w:anchor="_Toc36736137" w:history="1">
            <w:r>
              <w:rPr>
                <w:rStyle w:val="Hyperlink"/>
                <w:smallCaps/>
                <w:noProof/>
              </w:rPr>
              <w:t>1.</w:t>
            </w:r>
            <w:r>
              <w:rPr>
                <w:rFonts w:asciiTheme="minorHAnsi" w:eastAsiaTheme="minorEastAsia" w:hAnsiTheme="minorHAnsi" w:cstheme="minorBidi"/>
                <w:b w:val="0"/>
                <w:bCs w:val="0"/>
                <w:caps w:val="0"/>
                <w:noProof/>
                <w:sz w:val="22"/>
                <w:szCs w:val="22"/>
                <w:lang w:eastAsia="da-DK"/>
              </w:rPr>
              <w:tab/>
            </w:r>
            <w:r>
              <w:rPr>
                <w:rStyle w:val="Hyperlink"/>
                <w:smallCaps/>
                <w:noProof/>
              </w:rPr>
              <w:t>Indledning</w:t>
            </w:r>
            <w:r>
              <w:rPr>
                <w:noProof/>
                <w:webHidden/>
              </w:rPr>
              <w:tab/>
            </w:r>
            <w:r>
              <w:rPr>
                <w:noProof/>
                <w:webHidden/>
              </w:rPr>
              <w:fldChar w:fldCharType="begin"/>
            </w:r>
            <w:r>
              <w:rPr>
                <w:noProof/>
                <w:webHidden/>
              </w:rPr>
              <w:instrText xml:space="preserve"> PAGEREF _Toc36736137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80"/>
              <w:tab w:val="right" w:leader="dot" w:pos="9855"/>
            </w:tabs>
            <w:rPr>
              <w:rFonts w:asciiTheme="minorHAnsi" w:eastAsiaTheme="minorEastAsia" w:hAnsiTheme="minorHAnsi" w:cstheme="minorBidi"/>
              <w:b w:val="0"/>
              <w:bCs w:val="0"/>
              <w:caps w:val="0"/>
              <w:noProof/>
              <w:sz w:val="22"/>
              <w:szCs w:val="22"/>
              <w:lang w:eastAsia="da-DK"/>
            </w:rPr>
          </w:pPr>
          <w:hyperlink w:anchor="_Toc36736138" w:history="1">
            <w:r>
              <w:rPr>
                <w:rStyle w:val="Hyperlink"/>
                <w:smallCaps/>
                <w:noProof/>
              </w:rPr>
              <w:t>2.</w:t>
            </w:r>
            <w:r>
              <w:rPr>
                <w:rFonts w:asciiTheme="minorHAnsi" w:eastAsiaTheme="minorEastAsia" w:hAnsiTheme="minorHAnsi" w:cstheme="minorBidi"/>
                <w:b w:val="0"/>
                <w:bCs w:val="0"/>
                <w:caps w:val="0"/>
                <w:noProof/>
                <w:sz w:val="22"/>
                <w:szCs w:val="22"/>
                <w:lang w:eastAsia="da-DK"/>
              </w:rPr>
              <w:tab/>
            </w:r>
            <w:r>
              <w:rPr>
                <w:rStyle w:val="Hyperlink"/>
                <w:smallCaps/>
                <w:noProof/>
              </w:rPr>
              <w:t>Nødhjælp til medlemsstaterne ved reaktivering af instrumentet for</w:t>
            </w:r>
            <w:r>
              <w:rPr>
                <w:rStyle w:val="Hyperlink"/>
                <w:smallCaps/>
                <w:noProof/>
              </w:rPr>
              <w:tab/>
              <w:t>nødhjælp i Unionen</w:t>
            </w:r>
            <w:r>
              <w:rPr>
                <w:noProof/>
                <w:webHidden/>
              </w:rPr>
              <w:tab/>
            </w:r>
            <w:r>
              <w:rPr>
                <w:noProof/>
                <w:webHidden/>
              </w:rPr>
              <w:fldChar w:fldCharType="begin"/>
            </w:r>
            <w:r>
              <w:rPr>
                <w:noProof/>
                <w:webHidden/>
              </w:rPr>
              <w:instrText xml:space="preserve"> PAGEREF _Toc36736138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960"/>
              <w:tab w:val="right" w:leader="dot" w:pos="9855"/>
            </w:tabs>
            <w:rPr>
              <w:rFonts w:asciiTheme="minorHAnsi" w:eastAsiaTheme="minorEastAsia" w:hAnsiTheme="minorHAnsi" w:cstheme="minorBidi"/>
              <w:smallCaps w:val="0"/>
              <w:noProof/>
              <w:sz w:val="22"/>
              <w:szCs w:val="22"/>
              <w:lang w:eastAsia="da-DK"/>
            </w:rPr>
          </w:pPr>
          <w:hyperlink w:anchor="_Toc36736139" w:history="1">
            <w:r>
              <w:rPr>
                <w:rStyle w:val="Hyperlink"/>
                <w:b/>
                <w:noProof/>
              </w:rPr>
              <w:t xml:space="preserve">2.1. </w:t>
            </w:r>
            <w:r>
              <w:rPr>
                <w:rFonts w:asciiTheme="minorHAnsi" w:eastAsiaTheme="minorEastAsia" w:hAnsiTheme="minorHAnsi" w:cstheme="minorBidi"/>
                <w:smallCaps w:val="0"/>
                <w:noProof/>
                <w:sz w:val="22"/>
                <w:szCs w:val="22"/>
                <w:lang w:eastAsia="da-DK"/>
              </w:rPr>
              <w:tab/>
            </w:r>
            <w:r>
              <w:rPr>
                <w:rStyle w:val="Hyperlink"/>
                <w:b/>
                <w:noProof/>
              </w:rPr>
              <w:t>Baggrund</w:t>
            </w:r>
            <w:r>
              <w:rPr>
                <w:noProof/>
                <w:webHidden/>
              </w:rPr>
              <w:tab/>
            </w:r>
            <w:r>
              <w:rPr>
                <w:noProof/>
                <w:webHidden/>
              </w:rPr>
              <w:fldChar w:fldCharType="begin"/>
            </w:r>
            <w:r>
              <w:rPr>
                <w:noProof/>
                <w:webHidden/>
              </w:rPr>
              <w:instrText xml:space="preserve"> PAGEREF _Toc36736139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960"/>
              <w:tab w:val="right" w:leader="dot" w:pos="9855"/>
            </w:tabs>
            <w:rPr>
              <w:rFonts w:asciiTheme="minorHAnsi" w:eastAsiaTheme="minorEastAsia" w:hAnsiTheme="minorHAnsi" w:cstheme="minorBidi"/>
              <w:smallCaps w:val="0"/>
              <w:noProof/>
              <w:sz w:val="22"/>
              <w:szCs w:val="22"/>
              <w:lang w:eastAsia="da-DK"/>
            </w:rPr>
          </w:pPr>
          <w:hyperlink w:anchor="_Toc36736140" w:history="1">
            <w:r>
              <w:rPr>
                <w:rStyle w:val="Hyperlink"/>
                <w:b/>
                <w:noProof/>
              </w:rPr>
              <w:t>2.2.</w:t>
            </w:r>
            <w:r>
              <w:rPr>
                <w:rFonts w:asciiTheme="minorHAnsi" w:eastAsiaTheme="minorEastAsia" w:hAnsiTheme="minorHAnsi" w:cstheme="minorBidi"/>
                <w:smallCaps w:val="0"/>
                <w:noProof/>
                <w:sz w:val="22"/>
                <w:szCs w:val="22"/>
                <w:lang w:eastAsia="da-DK"/>
              </w:rPr>
              <w:tab/>
            </w:r>
            <w:r>
              <w:rPr>
                <w:rStyle w:val="Hyperlink"/>
                <w:b/>
                <w:noProof/>
              </w:rPr>
              <w:t>Tiltag, der kan finansieres via ESI</w:t>
            </w:r>
            <w:r>
              <w:rPr>
                <w:noProof/>
                <w:webHidden/>
              </w:rPr>
              <w:tab/>
            </w:r>
            <w:r>
              <w:rPr>
                <w:noProof/>
                <w:webHidden/>
              </w:rPr>
              <w:fldChar w:fldCharType="begin"/>
            </w:r>
            <w:r>
              <w:rPr>
                <w:noProof/>
                <w:webHidden/>
              </w:rPr>
              <w:instrText xml:space="preserve"> PAGEREF _Toc36736140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80"/>
              <w:tab w:val="right" w:leader="dot" w:pos="9855"/>
            </w:tabs>
            <w:rPr>
              <w:rFonts w:asciiTheme="minorHAnsi" w:eastAsiaTheme="minorEastAsia" w:hAnsiTheme="minorHAnsi" w:cstheme="minorBidi"/>
              <w:b w:val="0"/>
              <w:bCs w:val="0"/>
              <w:caps w:val="0"/>
              <w:noProof/>
              <w:sz w:val="22"/>
              <w:szCs w:val="22"/>
              <w:lang w:eastAsia="da-DK"/>
            </w:rPr>
          </w:pPr>
          <w:hyperlink w:anchor="_Toc36736141" w:history="1">
            <w:r>
              <w:rPr>
                <w:rStyle w:val="Hyperlink"/>
                <w:smallCaps/>
                <w:noProof/>
              </w:rPr>
              <w:t>3.</w:t>
            </w:r>
            <w:r>
              <w:rPr>
                <w:rFonts w:asciiTheme="minorHAnsi" w:eastAsiaTheme="minorEastAsia" w:hAnsiTheme="minorHAnsi" w:cstheme="minorBidi"/>
                <w:b w:val="0"/>
                <w:bCs w:val="0"/>
                <w:caps w:val="0"/>
                <w:noProof/>
                <w:sz w:val="22"/>
                <w:szCs w:val="22"/>
                <w:lang w:eastAsia="da-DK"/>
              </w:rPr>
              <w:tab/>
            </w:r>
            <w:r>
              <w:rPr>
                <w:rStyle w:val="Hyperlink"/>
                <w:smallCaps/>
                <w:noProof/>
              </w:rPr>
              <w:t>Yderligere styrkelse af EU-civilbeskyttelsesmekanismen (i Unionen)</w:t>
            </w:r>
            <w:r>
              <w:rPr>
                <w:noProof/>
                <w:webHidden/>
              </w:rPr>
              <w:tab/>
            </w:r>
            <w:r>
              <w:rPr>
                <w:noProof/>
                <w:webHidden/>
              </w:rPr>
              <w:fldChar w:fldCharType="begin"/>
            </w:r>
            <w:r>
              <w:rPr>
                <w:noProof/>
                <w:webHidden/>
              </w:rPr>
              <w:instrText xml:space="preserve"> PAGEREF _Toc36736141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480"/>
              <w:tab w:val="right" w:leader="dot" w:pos="9855"/>
            </w:tabs>
            <w:rPr>
              <w:rFonts w:asciiTheme="minorHAnsi" w:eastAsiaTheme="minorEastAsia" w:hAnsiTheme="minorHAnsi" w:cstheme="minorBidi"/>
              <w:b w:val="0"/>
              <w:bCs w:val="0"/>
              <w:caps w:val="0"/>
              <w:noProof/>
              <w:sz w:val="22"/>
              <w:szCs w:val="22"/>
              <w:lang w:eastAsia="da-DK"/>
            </w:rPr>
          </w:pPr>
          <w:hyperlink w:anchor="_Toc36736142" w:history="1">
            <w:r>
              <w:rPr>
                <w:rStyle w:val="Hyperlink"/>
                <w:smallCaps/>
                <w:noProof/>
              </w:rPr>
              <w:t>4.</w:t>
            </w:r>
            <w:r>
              <w:rPr>
                <w:rFonts w:asciiTheme="minorHAnsi" w:eastAsiaTheme="minorEastAsia" w:hAnsiTheme="minorHAnsi" w:cstheme="minorBidi"/>
                <w:b w:val="0"/>
                <w:bCs w:val="0"/>
                <w:caps w:val="0"/>
                <w:noProof/>
                <w:sz w:val="22"/>
                <w:szCs w:val="22"/>
                <w:lang w:eastAsia="da-DK"/>
              </w:rPr>
              <w:tab/>
            </w:r>
            <w:r>
              <w:rPr>
                <w:rStyle w:val="Hyperlink"/>
                <w:smallCaps/>
                <w:noProof/>
              </w:rPr>
              <w:t>Finansiering</w:t>
            </w:r>
            <w:r>
              <w:rPr>
                <w:noProof/>
                <w:webHidden/>
              </w:rPr>
              <w:tab/>
            </w:r>
            <w:r>
              <w:rPr>
                <w:noProof/>
                <w:webHidden/>
              </w:rPr>
              <w:fldChar w:fldCharType="begin"/>
            </w:r>
            <w:r>
              <w:rPr>
                <w:noProof/>
                <w:webHidden/>
              </w:rPr>
              <w:instrText xml:space="preserve"> PAGEREF _Toc36736142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480"/>
              <w:tab w:val="right" w:leader="dot" w:pos="9855"/>
            </w:tabs>
            <w:ind w:left="480" w:hanging="480"/>
            <w:rPr>
              <w:rFonts w:asciiTheme="minorHAnsi" w:eastAsiaTheme="minorEastAsia" w:hAnsiTheme="minorHAnsi" w:cstheme="minorBidi"/>
              <w:b w:val="0"/>
              <w:bCs w:val="0"/>
              <w:caps w:val="0"/>
              <w:noProof/>
              <w:sz w:val="22"/>
              <w:szCs w:val="22"/>
              <w:lang w:eastAsia="da-DK"/>
            </w:rPr>
          </w:pPr>
          <w:hyperlink w:anchor="_Toc36736143" w:history="1">
            <w:r>
              <w:rPr>
                <w:rStyle w:val="Hyperlink"/>
                <w:smallCaps/>
                <w:noProof/>
              </w:rPr>
              <w:t>5.</w:t>
            </w:r>
            <w:r>
              <w:rPr>
                <w:rFonts w:asciiTheme="minorHAnsi" w:eastAsiaTheme="minorEastAsia" w:hAnsiTheme="minorHAnsi" w:cstheme="minorBidi"/>
                <w:b w:val="0"/>
                <w:bCs w:val="0"/>
                <w:caps w:val="0"/>
                <w:noProof/>
                <w:sz w:val="22"/>
                <w:szCs w:val="22"/>
                <w:lang w:eastAsia="da-DK"/>
              </w:rPr>
              <w:tab/>
            </w:r>
            <w:r>
              <w:rPr>
                <w:rStyle w:val="Hyperlink"/>
                <w:smallCaps/>
                <w:noProof/>
              </w:rPr>
              <w:t>Sammenfattende oversigt opdelt efter udgiftsområde i den flerårige finansielle ramme</w:t>
            </w:r>
            <w:r>
              <w:rPr>
                <w:noProof/>
                <w:webHidden/>
              </w:rPr>
              <w:tab/>
            </w:r>
            <w:r>
              <w:rPr>
                <w:noProof/>
                <w:webHidden/>
              </w:rPr>
              <w:fldChar w:fldCharType="begin"/>
            </w:r>
            <w:r>
              <w:rPr>
                <w:noProof/>
                <w:webHidden/>
              </w:rPr>
              <w:instrText xml:space="preserve"> PAGEREF _Toc36736143 \h </w:instrText>
            </w:r>
            <w:r>
              <w:rPr>
                <w:noProof/>
                <w:webHidden/>
              </w:rPr>
            </w:r>
            <w:r>
              <w:rPr>
                <w:noProof/>
                <w:webHidden/>
              </w:rPr>
              <w:fldChar w:fldCharType="separate"/>
            </w:r>
            <w:r>
              <w:rPr>
                <w:noProof/>
                <w:webHidden/>
              </w:rPr>
              <w:t>6</w:t>
            </w:r>
            <w:r>
              <w:rPr>
                <w:noProof/>
                <w:webHidden/>
              </w:rPr>
              <w:fldChar w:fldCharType="end"/>
            </w:r>
          </w:hyperlink>
        </w:p>
        <w:p>
          <w:pPr>
            <w:rPr>
              <w:rFonts w:ascii="Times New Roman" w:eastAsia="Times New Roman" w:hAnsi="Times New Roman" w:cs="Times New Roman"/>
              <w:noProof/>
              <w:sz w:val="24"/>
              <w:szCs w:val="24"/>
            </w:rPr>
          </w:pPr>
          <w:r>
            <w:rPr>
              <w:rFonts w:ascii="Times New Roman" w:eastAsia="Times New Roman" w:hAnsi="Times New Roman" w:cs="Times New Roman"/>
              <w:b/>
              <w:bCs/>
              <w:noProof/>
            </w:rPr>
            <w:fldChar w:fldCharType="end"/>
          </w:r>
        </w:p>
      </w:sdtContent>
    </w:sdt>
    <w:p>
      <w:pPr>
        <w:spacing w:after="0" w:line="240" w:lineRule="auto"/>
        <w:rPr>
          <w:rFonts w:ascii="Times New Roman" w:eastAsia="Times New Roman" w:hAnsi="Times New Roman" w:cs="Times New Roman"/>
          <w:b/>
          <w:noProof/>
          <w:sz w:val="24"/>
          <w:szCs w:val="24"/>
          <w:u w:val="single"/>
        </w:rPr>
        <w:sectPr>
          <w:headerReference w:type="even" r:id="rId22"/>
          <w:headerReference w:type="default" r:id="rId23"/>
          <w:footerReference w:type="even" r:id="rId24"/>
          <w:footerReference w:type="default" r:id="rId25"/>
          <w:headerReference w:type="first" r:id="rId26"/>
          <w:footerReference w:type="first" r:id="rId27"/>
          <w:pgSz w:w="11907" w:h="16839"/>
          <w:pgMar w:top="1021" w:right="1021" w:bottom="1021" w:left="1021" w:header="709" w:footer="709" w:gutter="0"/>
          <w:cols w:space="708"/>
          <w:docGrid w:linePitch="360"/>
        </w:sectPr>
      </w:pPr>
    </w:p>
    <w:p>
      <w:pPr>
        <w:spacing w:before="120" w:after="120" w:line="240" w:lineRule="auto"/>
        <w:jc w:val="center"/>
        <w:rPr>
          <w:rFonts w:ascii="Times New Roman" w:eastAsia="Times New Roman" w:hAnsi="Times New Roman" w:cs="Times New Roman"/>
          <w:b/>
          <w:noProof/>
          <w:sz w:val="24"/>
          <w:szCs w:val="24"/>
          <w:u w:val="single"/>
        </w:rPr>
      </w:pPr>
      <w:r>
        <w:rPr>
          <w:rFonts w:ascii="Times New Roman" w:hAnsi="Times New Roman"/>
          <w:b/>
          <w:noProof/>
          <w:u w:val="single"/>
        </w:rPr>
        <w:t>BEGRUNDELSE</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bookmarkStart w:id="2" w:name="_Toc36736137"/>
      <w:r>
        <w:rPr>
          <w:rFonts w:ascii="Times New Roman" w:hAnsi="Times New Roman"/>
          <w:b/>
          <w:smallCaps/>
          <w:noProof/>
        </w:rPr>
        <w:t>1.</w:t>
      </w:r>
      <w:r>
        <w:rPr>
          <w:rFonts w:ascii="Times New Roman" w:hAnsi="Times New Roman"/>
          <w:b/>
          <w:smallCaps/>
          <w:noProof/>
        </w:rPr>
        <w:tab/>
        <w:t>Indledning</w:t>
      </w:r>
      <w:bookmarkEnd w:id="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Formålet med forslag til ændringsbudget (FÆB) nr. 2 for 2020 er at stille 3 000,0 mio. EUR til rådighed i form af forpligtelsesbevillinger og 1 530,0 mio. EUR i form af betalingsbevillinger under udgiftsområde 3 </w:t>
      </w:r>
      <w:r>
        <w:rPr>
          <w:rFonts w:ascii="Times New Roman" w:hAnsi="Times New Roman"/>
          <w:i/>
          <w:noProof/>
        </w:rPr>
        <w:t>Sikkerhed og medborgerskab</w:t>
      </w:r>
      <w:r>
        <w:rPr>
          <w:rFonts w:ascii="Times New Roman" w:hAnsi="Times New Roman"/>
          <w:noProof/>
        </w:rPr>
        <w:t xml:space="preserve"> for dels at finansiere nødhjælp i Unionen via instrumentet for nødhjælp i Unionen, som foreslås reaktiveret som hjælp til at afbøde konsekvenserne af covid-19-udbruddet, dels forstærke EU-civilbeskyttelsesmekanismen/rescEU yderligere, således at der kan opbygges et større lager og foretages en koordinering af fordelingen af væsentlige ressourcer i Europa</w:t>
      </w:r>
      <w:r>
        <w:rPr>
          <w:rFonts w:ascii="Times New Roman" w:eastAsia="Times New Roman" w:hAnsi="Times New Roman" w:cs="Times New Roman"/>
          <w:noProof/>
          <w:vertAlign w:val="superscript"/>
        </w:rPr>
        <w:footnoteReference w:id="4"/>
      </w:r>
      <w:r>
        <w:rPr>
          <w:rFonts w:ascii="Times New Roman" w:hAnsi="Times New Roman"/>
          <w:noProof/>
        </w:rPr>
        <w:t>.</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bookmarkStart w:id="3" w:name="_Toc36736138"/>
      <w:r>
        <w:rPr>
          <w:rFonts w:ascii="Times New Roman" w:hAnsi="Times New Roman"/>
          <w:b/>
          <w:smallCaps/>
          <w:noProof/>
        </w:rPr>
        <w:t>2.</w:t>
      </w:r>
      <w:r>
        <w:rPr>
          <w:rFonts w:ascii="Times New Roman" w:hAnsi="Times New Roman"/>
          <w:b/>
          <w:smallCaps/>
          <w:noProof/>
        </w:rPr>
        <w:tab/>
        <w:t>Nødhjælp til medlemsstaterne ved reaktivering af instrumentet for nødhjælp i Unionen</w:t>
      </w:r>
      <w:bookmarkEnd w:id="3"/>
    </w:p>
    <w:p>
      <w:pPr>
        <w:keepNext/>
        <w:tabs>
          <w:tab w:val="left" w:pos="850"/>
        </w:tabs>
        <w:spacing w:before="360" w:after="120" w:line="240" w:lineRule="auto"/>
        <w:ind w:left="850" w:hanging="850"/>
        <w:jc w:val="both"/>
        <w:outlineLvl w:val="1"/>
        <w:rPr>
          <w:rFonts w:ascii="Times New Roman" w:eastAsia="Calibri" w:hAnsi="Times New Roman" w:cs="Times New Roman"/>
          <w:b/>
          <w:noProof/>
          <w:sz w:val="24"/>
          <w:szCs w:val="24"/>
        </w:rPr>
      </w:pPr>
      <w:bookmarkStart w:id="4" w:name="_Toc36736139"/>
      <w:r>
        <w:rPr>
          <w:rFonts w:ascii="Times New Roman" w:hAnsi="Times New Roman"/>
          <w:b/>
          <w:noProof/>
        </w:rPr>
        <w:t xml:space="preserve">2.1. </w:t>
      </w:r>
      <w:r>
        <w:rPr>
          <w:rFonts w:ascii="Times New Roman" w:hAnsi="Times New Roman"/>
          <w:b/>
          <w:noProof/>
        </w:rPr>
        <w:tab/>
        <w:t>Baggrund</w:t>
      </w:r>
      <w:bookmarkEnd w:id="4"/>
    </w:p>
    <w:p>
      <w:pPr>
        <w:spacing w:after="200" w:line="240" w:lineRule="auto"/>
        <w:jc w:val="both"/>
        <w:rPr>
          <w:rFonts w:ascii="Times New Roman" w:eastAsia="Times New Roman" w:hAnsi="Times New Roman" w:cs="Times New Roman"/>
          <w:noProof/>
          <w:sz w:val="24"/>
          <w:szCs w:val="24"/>
        </w:rPr>
      </w:pPr>
      <w:r>
        <w:rPr>
          <w:rFonts w:ascii="Times New Roman" w:hAnsi="Times New Roman"/>
          <w:noProof/>
        </w:rPr>
        <w:t>I betragtning af hvor vidtrækkende en krise, der er opstået som følge af covid-19-udbruddet, samt omfanget og arten af de behov, der kræver støtte fra EU-budgettet i nærmeste fremtid, foreslår Kommissionen sideløbende med dette FÆB, at Rådet reaktiverer og ændrer Rådets forordning 2016/369 om ydelse af nødhjælp i Unionen</w:t>
      </w:r>
      <w:r>
        <w:rPr>
          <w:rFonts w:ascii="Times New Roman" w:eastAsia="Times New Roman" w:hAnsi="Times New Roman" w:cs="Times New Roman"/>
          <w:noProof/>
          <w:vertAlign w:val="superscript"/>
        </w:rPr>
        <w:footnoteReference w:id="5"/>
      </w:r>
      <w:r>
        <w:rPr>
          <w:rFonts w:ascii="Times New Roman" w:hAnsi="Times New Roman"/>
          <w:noProof/>
        </w:rPr>
        <w:t>, således at EU får en større værktøjskasse, der står mål med det enorme omfang af den aktuelle covid-19-pandemi.</w:t>
      </w:r>
    </w:p>
    <w:p>
      <w:pPr>
        <w:spacing w:after="200" w:line="240" w:lineRule="auto"/>
        <w:jc w:val="both"/>
        <w:rPr>
          <w:rFonts w:ascii="Times New Roman" w:eastAsia="Times New Roman" w:hAnsi="Times New Roman" w:cs="Times New Roman"/>
          <w:b/>
          <w:noProof/>
          <w:color w:val="000000"/>
          <w:sz w:val="24"/>
          <w:szCs w:val="24"/>
        </w:rPr>
      </w:pPr>
      <w:r>
        <w:rPr>
          <w:rFonts w:ascii="Times New Roman" w:hAnsi="Times New Roman"/>
          <w:noProof/>
        </w:rPr>
        <w:t>Instrumentet for nødhjælp (ESI) blev indført i marts 2016 og blev aktiveret i en periode på tre år for at tackle den nødsituation, der var opstået efter den massive tilstrømning af flygtninge til Grækenland. Det var tænkt som et redskab til generel bekæmpelse af kriser i EU og benyttes kun under særlige omstændigheder med svære vanskeligheder. Det kan tages i brug for at tackle</w:t>
      </w:r>
      <w:r>
        <w:rPr>
          <w:rFonts w:ascii="Times New Roman" w:hAnsi="Times New Roman"/>
          <w:b/>
          <w:noProof/>
        </w:rPr>
        <w:t xml:space="preserve"> enhver krise, der kræver humanitær bistand</w:t>
      </w:r>
      <w:r>
        <w:rPr>
          <w:rFonts w:ascii="Times New Roman" w:hAnsi="Times New Roman"/>
          <w:noProof/>
        </w:rPr>
        <w:t xml:space="preserve">, og omfatter en bred vifte af støtteberettigede foranstaltninger: </w:t>
      </w:r>
      <w:r>
        <w:rPr>
          <w:rFonts w:ascii="Times New Roman" w:hAnsi="Times New Roman"/>
          <w:i/>
          <w:noProof/>
        </w:rPr>
        <w:t>"Nødhjælp ... kan omfatte humanitære bistandsforanstaltninger ... og kan således omfatte bistands-, nødhjælps- og, såfremt det er nødvendigt, beskyttelsesforanstaltninger med henblik på at beskytte og bevare menneskeliv ved katastrofer eller i tiden umiddelbart derefter</w:t>
      </w:r>
      <w:r>
        <w:rPr>
          <w:rFonts w:ascii="Times New Roman" w:hAnsi="Times New Roman"/>
          <w:noProof/>
        </w:rPr>
        <w:t>"</w:t>
      </w:r>
      <w:r>
        <w:rPr>
          <w:rFonts w:ascii="Times New Roman" w:eastAsia="Times New Roman" w:hAnsi="Times New Roman" w:cs="Times New Roman"/>
          <w:noProof/>
          <w:vertAlign w:val="superscript"/>
        </w:rPr>
        <w:footnoteReference w:id="6"/>
      </w:r>
      <w:r>
        <w:rPr>
          <w:rFonts w:ascii="Times New Roman" w:hAnsi="Times New Roman"/>
          <w:b/>
          <w:noProof/>
        </w:rPr>
        <w:t xml:space="preserve">. </w:t>
      </w:r>
    </w:p>
    <w:p>
      <w:pPr>
        <w:spacing w:after="200" w:line="240" w:lineRule="auto"/>
        <w:jc w:val="both"/>
        <w:rPr>
          <w:rFonts w:ascii="Times New Roman" w:eastAsia="Times New Roman" w:hAnsi="Times New Roman" w:cs="Times New Roman"/>
          <w:noProof/>
          <w:sz w:val="24"/>
          <w:szCs w:val="24"/>
        </w:rPr>
      </w:pPr>
      <w:r>
        <w:rPr>
          <w:rFonts w:ascii="Times New Roman" w:hAnsi="Times New Roman"/>
          <w:noProof/>
        </w:rPr>
        <w:t xml:space="preserve">De foranstaltninger, der er planlagt i henhold til EU-civilbeskyttelsesmekanismen (rescEU), civilbeskyttelsesmekanismen og investeringsinitiativet som reaktion på coronavirusset med henblik på at mobilisere europæiske struktur- og investeringsfonde og andre EU-instrumenter, bidrager delvis til at tackle den folkesundhedsmæssige krisesituation. Problemets omfang og udtrækning kræver imidlertid, at der tages effektivt hånd om de humanitære konsekvenser af udbruddet, der vedrører folkesundheden i Unionen. Nødhjælp fra instrumentet for nødhjælp (ESI) fremmer komplementariteten og sammenhængen med tiltag i de berørte medlemsstater samt synergier med tiltag, der finansieres på EU-plan via andre fonde og instrumenter. </w:t>
      </w:r>
    </w:p>
    <w:p>
      <w:pPr>
        <w:spacing w:after="200" w:line="240" w:lineRule="auto"/>
        <w:jc w:val="both"/>
        <w:rPr>
          <w:rFonts w:ascii="Times New Roman" w:eastAsia="Times New Roman" w:hAnsi="Times New Roman" w:cs="Times New Roman"/>
          <w:noProof/>
          <w:sz w:val="24"/>
          <w:szCs w:val="24"/>
        </w:rPr>
      </w:pPr>
      <w:r>
        <w:rPr>
          <w:rFonts w:ascii="Times New Roman" w:hAnsi="Times New Roman"/>
          <w:noProof/>
        </w:rPr>
        <w:t>I lyset af ovenstående foreslås det hurtigst muligt at aktivere forordningen om nødhjælp (2016/369) og yde støtte i henhold til den ved hjælp af de nødvendige bevillinger. Unionen vil derved kunne træffe foranstaltninger til at forhindre og begrænse alvorlige konsekvenser i en eller flere medlemsstater og på en koordineret måde kunne afhjælpe de behov, der vedrører covid-19-katastrofen, ved at supplere den bistand, der ydes via andre EU-instrumenter.</w:t>
      </w:r>
    </w:p>
    <w:p>
      <w:pPr>
        <w:keepNext/>
        <w:tabs>
          <w:tab w:val="left" w:pos="850"/>
        </w:tabs>
        <w:spacing w:before="360" w:after="120" w:line="240" w:lineRule="auto"/>
        <w:ind w:left="850" w:hanging="850"/>
        <w:jc w:val="both"/>
        <w:outlineLvl w:val="1"/>
        <w:rPr>
          <w:rFonts w:ascii="Times New Roman" w:eastAsia="Calibri" w:hAnsi="Times New Roman" w:cs="Times New Roman"/>
          <w:b/>
          <w:noProof/>
          <w:sz w:val="24"/>
          <w:szCs w:val="24"/>
        </w:rPr>
      </w:pPr>
      <w:bookmarkStart w:id="5" w:name="_Toc36736140"/>
      <w:r>
        <w:rPr>
          <w:rFonts w:ascii="Times New Roman" w:hAnsi="Times New Roman"/>
          <w:b/>
          <w:noProof/>
        </w:rPr>
        <w:t>2.2.</w:t>
      </w:r>
      <w:r>
        <w:rPr>
          <w:rFonts w:ascii="Times New Roman" w:hAnsi="Times New Roman"/>
          <w:b/>
          <w:noProof/>
        </w:rPr>
        <w:tab/>
        <w:t>Tiltag, der kan finansieres via ESI</w:t>
      </w:r>
      <w:bookmarkEnd w:id="5"/>
    </w:p>
    <w:p>
      <w:pPr>
        <w:spacing w:before="120" w:after="120" w:line="240" w:lineRule="auto"/>
        <w:jc w:val="both"/>
        <w:rPr>
          <w:rFonts w:ascii="Times New Roman" w:eastAsia="Times New Roman" w:hAnsi="Times New Roman" w:cs="Times New Roman"/>
          <w:noProof/>
          <w:color w:val="000000"/>
          <w:sz w:val="24"/>
          <w:szCs w:val="24"/>
          <w:highlight w:val="yellow"/>
        </w:rPr>
      </w:pPr>
      <w:r>
        <w:rPr>
          <w:rFonts w:ascii="Times New Roman" w:hAnsi="Times New Roman"/>
          <w:noProof/>
        </w:rPr>
        <w:t>I betragtning af situationens hastende karakter og af, hvor alvorlig folkesundhedskrisen er i alle medlemsstater som følge af covid-19-udbruddet, foreslår Kommissionen at stille 2 700,0 mio. EUR til rådighed i form af forpligtelsesbevillinger og 1 380,0 mio. EUR i form af betalingsbevillinger til ESI.</w:t>
      </w:r>
      <w:r>
        <w:rPr>
          <w:rFonts w:ascii="Times New Roman" w:hAnsi="Times New Roman"/>
          <w:noProof/>
          <w:highlight w:val="yellow"/>
        </w:rPr>
        <w:t xml:space="preserve"> </w:t>
      </w:r>
    </w:p>
    <w:p>
      <w:pPr>
        <w:spacing w:after="200" w:line="240" w:lineRule="auto"/>
        <w:jc w:val="both"/>
        <w:rPr>
          <w:rFonts w:ascii="Times New Roman" w:eastAsia="Times New Roman" w:hAnsi="Times New Roman" w:cs="Times New Roman"/>
          <w:noProof/>
          <w:sz w:val="24"/>
          <w:szCs w:val="24"/>
        </w:rPr>
      </w:pPr>
      <w:r>
        <w:rPr>
          <w:rFonts w:ascii="Times New Roman" w:hAnsi="Times New Roman"/>
          <w:noProof/>
        </w:rPr>
        <w:t>Støtten kan anvendes til at finansiere blandt andet følgende tiltag:</w:t>
      </w:r>
    </w:p>
    <w:p>
      <w:pPr>
        <w:pStyle w:val="Tiret0"/>
        <w:numPr>
          <w:ilvl w:val="0"/>
          <w:numId w:val="30"/>
        </w:numPr>
        <w:rPr>
          <w:noProof/>
        </w:rPr>
      </w:pPr>
      <w:r>
        <w:rPr>
          <w:noProof/>
        </w:rPr>
        <w:t>større og hurtigere lageropbygning og koordinering af distributionen af væsentlige ressourcer i Europa</w:t>
      </w:r>
    </w:p>
    <w:p>
      <w:pPr>
        <w:pStyle w:val="Tiret0"/>
        <w:numPr>
          <w:ilvl w:val="0"/>
          <w:numId w:val="31"/>
        </w:numPr>
        <w:rPr>
          <w:noProof/>
        </w:rPr>
      </w:pPr>
      <w:r>
        <w:rPr>
          <w:noProof/>
        </w:rPr>
        <w:t>dækning af behovet for transport af beskyttelsesudstyr, der skal importeres fra internationale partnere, og transport i EU</w:t>
      </w:r>
    </w:p>
    <w:p>
      <w:pPr>
        <w:pStyle w:val="Tiret0"/>
        <w:numPr>
          <w:ilvl w:val="0"/>
          <w:numId w:val="31"/>
        </w:numPr>
        <w:rPr>
          <w:noProof/>
        </w:rPr>
      </w:pPr>
      <w:r>
        <w:rPr>
          <w:noProof/>
        </w:rPr>
        <w:t>transport af patienter i nød til hospitaler i andre lande, som har ledig kapacitet</w:t>
      </w:r>
    </w:p>
    <w:p>
      <w:pPr>
        <w:pStyle w:val="Tiret0"/>
        <w:numPr>
          <w:ilvl w:val="0"/>
          <w:numId w:val="31"/>
        </w:numPr>
        <w:rPr>
          <w:noProof/>
        </w:rPr>
      </w:pPr>
      <w:r>
        <w:rPr>
          <w:noProof/>
        </w:rPr>
        <w:t xml:space="preserve">samarbejde på tværs af grænser for at lette presset på sundhedssystemerne i de hårdest ramte regioner i EU </w:t>
      </w:r>
    </w:p>
    <w:p>
      <w:pPr>
        <w:pStyle w:val="Tiret0"/>
        <w:numPr>
          <w:ilvl w:val="0"/>
          <w:numId w:val="31"/>
        </w:numPr>
        <w:rPr>
          <w:noProof/>
        </w:rPr>
      </w:pPr>
      <w:r>
        <w:rPr>
          <w:noProof/>
        </w:rPr>
        <w:t>indkøb og distribution fra centralt hold af væsentligt medicinsk udstyr til hospitaler og af nødforsyninger af beskyttelsesudstyr til hospitalsansatte såsom åndedrætsværn, respiratorer, personlige værnemidler, genanvendelige masker, medicin, terapeutika og laboratorieforsyninger og desinfektionsmidler</w:t>
      </w:r>
    </w:p>
    <w:p>
      <w:pPr>
        <w:pStyle w:val="Tiret0"/>
        <w:numPr>
          <w:ilvl w:val="0"/>
          <w:numId w:val="31"/>
        </w:numPr>
        <w:rPr>
          <w:noProof/>
        </w:rPr>
      </w:pPr>
      <w:r>
        <w:rPr>
          <w:noProof/>
        </w:rPr>
        <w:t>forøgelse og omlægning af produktionskapaciteten i EU-virksomheder, så de hurtigt kan producere og levere det udstyr og de materialer, der er behov for til hurtigt at afhjælpe manglen på vigtige produkter og vigtig medicin</w:t>
      </w:r>
    </w:p>
    <w:p>
      <w:pPr>
        <w:pStyle w:val="Tiret0"/>
        <w:numPr>
          <w:ilvl w:val="0"/>
          <w:numId w:val="31"/>
        </w:numPr>
        <w:rPr>
          <w:noProof/>
        </w:rPr>
      </w:pPr>
      <w:r>
        <w:rPr>
          <w:noProof/>
        </w:rPr>
        <w:t>forøgelse af plejefaciliteter og -ressourcer, herunder midlertidige og halvpermanente felthospitaler, og støtte til ombyggede faciliteter</w:t>
      </w:r>
    </w:p>
    <w:p>
      <w:pPr>
        <w:pStyle w:val="Tiret0"/>
        <w:numPr>
          <w:ilvl w:val="0"/>
          <w:numId w:val="31"/>
        </w:numPr>
        <w:rPr>
          <w:noProof/>
        </w:rPr>
      </w:pPr>
      <w:r>
        <w:rPr>
          <w:noProof/>
        </w:rPr>
        <w:t xml:space="preserve">øget produktion af testudstyr og støtte til erhvervelse af vigtige basisstoffer </w:t>
      </w:r>
    </w:p>
    <w:p>
      <w:pPr>
        <w:pStyle w:val="Tiret0"/>
        <w:numPr>
          <w:ilvl w:val="0"/>
          <w:numId w:val="31"/>
        </w:numPr>
        <w:rPr>
          <w:noProof/>
        </w:rPr>
      </w:pPr>
      <w:r>
        <w:rPr>
          <w:noProof/>
        </w:rPr>
        <w:t>fremme af en hurtig udvikling af medicinsk behandling og testmetoder</w:t>
      </w:r>
    </w:p>
    <w:p>
      <w:pPr>
        <w:pStyle w:val="Tiret0"/>
        <w:numPr>
          <w:ilvl w:val="0"/>
          <w:numId w:val="31"/>
        </w:numPr>
        <w:rPr>
          <w:noProof/>
        </w:rPr>
      </w:pPr>
      <w:r>
        <w:rPr>
          <w:noProof/>
        </w:rPr>
        <w:t>udvikling, køb og distribution af testudstyr (testpakninger, reagenser og hardware).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Kommissionen vil sikre fuld koordinering, således at tiltag, der finansieres under ESI, supplerer andre eksisterende instrumenter såsom rescEU eller Asyl-, Migrations- og Integrationsfonden (AMIF) på visse områder (f.eks. i modtagelsesfaciliteter for migranter). Anvendelsen vil blive tilpasset udbruddets udvikling og vil blive koordineret med de foranstaltninger, medlemsstaterne træffer for at maksimere virkningen.</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132"/>
        <w:gridCol w:w="1701"/>
        <w:gridCol w:w="1701"/>
      </w:tblGrid>
      <w:tr>
        <w:trPr>
          <w:jc w:val="center"/>
        </w:trPr>
        <w:tc>
          <w:tcPr>
            <w:tcW w:w="9810" w:type="dxa"/>
            <w:gridSpan w:val="4"/>
            <w:tcBorders>
              <w:top w:val="nil"/>
              <w:left w:val="nil"/>
              <w:bottom w:val="single" w:sz="4" w:space="0" w:color="auto"/>
              <w:right w:val="nil"/>
            </w:tcBorders>
            <w:shd w:val="clear" w:color="auto" w:fill="auto"/>
            <w:vAlign w:val="center"/>
          </w:tcPr>
          <w:p>
            <w:pPr>
              <w:widowControl w:val="0"/>
              <w:spacing w:before="15" w:after="15" w:line="240" w:lineRule="auto"/>
              <w:jc w:val="right"/>
              <w:rPr>
                <w:rFonts w:ascii="Times New Roman" w:eastAsia="Times New Roman" w:hAnsi="Times New Roman" w:cs="Times New Roman"/>
                <w:i/>
                <w:noProof/>
                <w:sz w:val="20"/>
                <w:szCs w:val="20"/>
              </w:rPr>
            </w:pPr>
            <w:r>
              <w:rPr>
                <w:rFonts w:ascii="Times New Roman" w:hAnsi="Times New Roman"/>
                <w:i/>
                <w:noProof/>
                <w:sz w:val="20"/>
                <w:szCs w:val="20"/>
              </w:rPr>
              <w:t>EUR</w:t>
            </w:r>
          </w:p>
        </w:tc>
      </w:tr>
      <w:tr>
        <w:trPr>
          <w:jc w:val="center"/>
        </w:trPr>
        <w:tc>
          <w:tcPr>
            <w:tcW w:w="1276" w:type="dxa"/>
            <w:tcBorders>
              <w:top w:val="single" w:sz="4" w:space="0" w:color="auto"/>
            </w:tcBorders>
            <w:shd w:val="clear" w:color="auto" w:fill="D9D9D9"/>
            <w:vAlign w:val="center"/>
          </w:tcPr>
          <w:p>
            <w:pPr>
              <w:keepNext/>
              <w:spacing w:before="15" w:after="15" w:line="240" w:lineRule="auto"/>
              <w:jc w:val="center"/>
              <w:rPr>
                <w:rFonts w:ascii="Times New Roman" w:eastAsia="Times New Roman" w:hAnsi="Times New Roman" w:cs="Times New Roman"/>
                <w:b/>
                <w:noProof/>
                <w:sz w:val="20"/>
                <w:szCs w:val="20"/>
              </w:rPr>
            </w:pPr>
            <w:r>
              <w:rPr>
                <w:rFonts w:ascii="Times New Roman" w:hAnsi="Times New Roman"/>
                <w:b/>
                <w:noProof/>
                <w:sz w:val="20"/>
                <w:szCs w:val="20"/>
              </w:rPr>
              <w:t>Budgetpost</w:t>
            </w:r>
          </w:p>
        </w:tc>
        <w:tc>
          <w:tcPr>
            <w:tcW w:w="5132" w:type="dxa"/>
            <w:tcBorders>
              <w:top w:val="single" w:sz="4" w:space="0" w:color="auto"/>
            </w:tcBorders>
            <w:shd w:val="clear" w:color="auto" w:fill="D9D9D9"/>
            <w:vAlign w:val="center"/>
          </w:tcPr>
          <w:p>
            <w:pPr>
              <w:widowControl w:val="0"/>
              <w:spacing w:before="15" w:after="15" w:line="240" w:lineRule="auto"/>
              <w:jc w:val="center"/>
              <w:rPr>
                <w:rFonts w:ascii="Times New Roman" w:eastAsia="Times New Roman" w:hAnsi="Times New Roman" w:cs="Times New Roman"/>
                <w:b/>
                <w:noProof/>
                <w:sz w:val="20"/>
                <w:szCs w:val="20"/>
              </w:rPr>
            </w:pPr>
            <w:r>
              <w:rPr>
                <w:rFonts w:ascii="Times New Roman" w:hAnsi="Times New Roman"/>
                <w:b/>
                <w:noProof/>
                <w:sz w:val="20"/>
                <w:szCs w:val="20"/>
              </w:rPr>
              <w:t>Betegnelse</w:t>
            </w:r>
          </w:p>
        </w:tc>
        <w:tc>
          <w:tcPr>
            <w:tcW w:w="1701" w:type="dxa"/>
            <w:tcBorders>
              <w:top w:val="single" w:sz="4" w:space="0" w:color="auto"/>
            </w:tcBorders>
            <w:shd w:val="clear" w:color="auto" w:fill="D9D9D9"/>
            <w:vAlign w:val="center"/>
          </w:tcPr>
          <w:p>
            <w:pPr>
              <w:widowControl w:val="0"/>
              <w:spacing w:before="15" w:after="15" w:line="240" w:lineRule="auto"/>
              <w:jc w:val="center"/>
              <w:rPr>
                <w:rFonts w:ascii="Times New Roman" w:eastAsia="Times New Roman" w:hAnsi="Times New Roman" w:cs="Times New Roman"/>
                <w:b/>
                <w:noProof/>
                <w:sz w:val="20"/>
                <w:szCs w:val="20"/>
              </w:rPr>
            </w:pPr>
            <w:r>
              <w:rPr>
                <w:rFonts w:ascii="Times New Roman" w:hAnsi="Times New Roman"/>
                <w:b/>
                <w:noProof/>
                <w:sz w:val="20"/>
                <w:szCs w:val="20"/>
              </w:rPr>
              <w:t>Forpligtelsesbevillinger</w:t>
            </w:r>
          </w:p>
        </w:tc>
        <w:tc>
          <w:tcPr>
            <w:tcW w:w="1701" w:type="dxa"/>
            <w:tcBorders>
              <w:top w:val="single" w:sz="4" w:space="0" w:color="auto"/>
            </w:tcBorders>
            <w:shd w:val="clear" w:color="auto" w:fill="D9D9D9"/>
            <w:vAlign w:val="center"/>
          </w:tcPr>
          <w:p>
            <w:pPr>
              <w:widowControl w:val="0"/>
              <w:spacing w:before="15" w:after="15" w:line="240" w:lineRule="auto"/>
              <w:jc w:val="center"/>
              <w:rPr>
                <w:rFonts w:ascii="Times New Roman" w:eastAsia="Times New Roman" w:hAnsi="Times New Roman" w:cs="Times New Roman"/>
                <w:b/>
                <w:noProof/>
                <w:sz w:val="20"/>
                <w:szCs w:val="20"/>
              </w:rPr>
            </w:pPr>
            <w:r>
              <w:rPr>
                <w:rFonts w:ascii="Times New Roman" w:hAnsi="Times New Roman"/>
                <w:b/>
                <w:noProof/>
                <w:sz w:val="20"/>
                <w:szCs w:val="20"/>
              </w:rPr>
              <w:t>Betalingsbevillinger</w:t>
            </w:r>
          </w:p>
        </w:tc>
      </w:tr>
      <w:tr>
        <w:trPr>
          <w:jc w:val="center"/>
        </w:trPr>
        <w:tc>
          <w:tcPr>
            <w:tcW w:w="9810" w:type="dxa"/>
            <w:gridSpan w:val="4"/>
            <w:shd w:val="clear" w:color="auto" w:fill="F2F2F2"/>
            <w:vAlign w:val="center"/>
          </w:tcPr>
          <w:p>
            <w:pPr>
              <w:widowControl w:val="0"/>
              <w:spacing w:before="15" w:after="15" w:line="240" w:lineRule="auto"/>
              <w:rPr>
                <w:rFonts w:ascii="Times New Roman" w:eastAsia="Times New Roman" w:hAnsi="Times New Roman" w:cs="Times New Roman"/>
                <w:i/>
                <w:noProof/>
                <w:sz w:val="20"/>
                <w:szCs w:val="20"/>
              </w:rPr>
            </w:pPr>
            <w:r>
              <w:rPr>
                <w:rFonts w:ascii="Times New Roman" w:hAnsi="Times New Roman"/>
                <w:i/>
                <w:noProof/>
                <w:sz w:val="20"/>
                <w:szCs w:val="20"/>
              </w:rPr>
              <w:t>Sektion III — Kommissionen</w:t>
            </w:r>
          </w:p>
        </w:tc>
      </w:tr>
      <w:tr>
        <w:trPr>
          <w:jc w:val="center"/>
        </w:trPr>
        <w:tc>
          <w:tcPr>
            <w:tcW w:w="1276" w:type="dxa"/>
          </w:tcPr>
          <w:p>
            <w:pPr>
              <w:widowControl w:val="0"/>
              <w:spacing w:before="15" w:after="15" w:line="240" w:lineRule="auto"/>
              <w:ind w:right="-113"/>
              <w:jc w:val="both"/>
              <w:rPr>
                <w:rFonts w:ascii="Times New Roman" w:eastAsia="Times New Roman" w:hAnsi="Times New Roman" w:cs="Times New Roman"/>
                <w:noProof/>
                <w:sz w:val="20"/>
                <w:szCs w:val="20"/>
              </w:rPr>
            </w:pPr>
            <w:r>
              <w:rPr>
                <w:rFonts w:ascii="Times New Roman" w:hAnsi="Times New Roman"/>
                <w:noProof/>
                <w:sz w:val="20"/>
                <w:szCs w:val="20"/>
              </w:rPr>
              <w:t>18 01 04 05</w:t>
            </w:r>
          </w:p>
        </w:tc>
        <w:tc>
          <w:tcPr>
            <w:tcW w:w="5132" w:type="dxa"/>
          </w:tcPr>
          <w:p>
            <w:pPr>
              <w:widowControl w:val="0"/>
              <w:tabs>
                <w:tab w:val="left" w:pos="1350"/>
              </w:tabs>
              <w:spacing w:before="15" w:after="15" w:line="240" w:lineRule="auto"/>
              <w:jc w:val="both"/>
              <w:rPr>
                <w:rFonts w:ascii="Times New Roman" w:eastAsia="Times New Roman" w:hAnsi="Times New Roman" w:cs="Times New Roman"/>
                <w:noProof/>
                <w:sz w:val="16"/>
                <w:szCs w:val="16"/>
              </w:rPr>
            </w:pPr>
            <w:r>
              <w:rPr>
                <w:rFonts w:ascii="Times New Roman" w:hAnsi="Times New Roman"/>
                <w:noProof/>
                <w:sz w:val="16"/>
                <w:szCs w:val="16"/>
              </w:rPr>
              <w:t>Udgifter til støttefunktioner til nødhjælp i Unionen</w:t>
            </w:r>
          </w:p>
        </w:tc>
        <w:tc>
          <w:tcPr>
            <w:tcW w:w="1701" w:type="dxa"/>
          </w:tcPr>
          <w:p>
            <w:pPr>
              <w:widowControl w:val="0"/>
              <w:spacing w:before="15" w:after="15" w:line="240" w:lineRule="auto"/>
              <w:jc w:val="right"/>
              <w:rPr>
                <w:rFonts w:ascii="Times New Roman" w:eastAsia="Times New Roman" w:hAnsi="Times New Roman" w:cs="Times New Roman"/>
                <w:noProof/>
                <w:sz w:val="20"/>
                <w:szCs w:val="20"/>
              </w:rPr>
            </w:pPr>
            <w:r>
              <w:rPr>
                <w:rFonts w:ascii="Times New Roman" w:hAnsi="Times New Roman"/>
                <w:noProof/>
                <w:sz w:val="20"/>
                <w:szCs w:val="20"/>
              </w:rPr>
              <w:t>54 000 000</w:t>
            </w:r>
          </w:p>
        </w:tc>
        <w:tc>
          <w:tcPr>
            <w:tcW w:w="1701" w:type="dxa"/>
          </w:tcPr>
          <w:p>
            <w:pPr>
              <w:widowControl w:val="0"/>
              <w:spacing w:before="15" w:after="15" w:line="240" w:lineRule="auto"/>
              <w:jc w:val="right"/>
              <w:rPr>
                <w:rFonts w:ascii="Times New Roman" w:eastAsia="Times New Roman" w:hAnsi="Times New Roman" w:cs="Times New Roman"/>
                <w:noProof/>
                <w:sz w:val="20"/>
                <w:szCs w:val="20"/>
              </w:rPr>
            </w:pPr>
            <w:r>
              <w:rPr>
                <w:rFonts w:ascii="Times New Roman" w:hAnsi="Times New Roman"/>
                <w:noProof/>
                <w:sz w:val="20"/>
                <w:szCs w:val="20"/>
              </w:rPr>
              <w:t>54 000 000</w:t>
            </w:r>
          </w:p>
        </w:tc>
      </w:tr>
      <w:tr>
        <w:trPr>
          <w:jc w:val="center"/>
        </w:trPr>
        <w:tc>
          <w:tcPr>
            <w:tcW w:w="1276" w:type="dxa"/>
          </w:tcPr>
          <w:p>
            <w:pPr>
              <w:widowControl w:val="0"/>
              <w:spacing w:before="15" w:after="15" w:line="240" w:lineRule="auto"/>
              <w:ind w:right="-113"/>
              <w:jc w:val="both"/>
              <w:rPr>
                <w:rFonts w:ascii="Times New Roman" w:eastAsia="Times New Roman" w:hAnsi="Times New Roman" w:cs="Times New Roman"/>
                <w:noProof/>
                <w:sz w:val="20"/>
                <w:szCs w:val="20"/>
              </w:rPr>
            </w:pPr>
            <w:r>
              <w:rPr>
                <w:rFonts w:ascii="Times New Roman" w:hAnsi="Times New Roman"/>
                <w:noProof/>
                <w:sz w:val="20"/>
                <w:szCs w:val="20"/>
              </w:rPr>
              <w:t>18 07 01</w:t>
            </w:r>
          </w:p>
        </w:tc>
        <w:tc>
          <w:tcPr>
            <w:tcW w:w="5132" w:type="dxa"/>
          </w:tcPr>
          <w:p>
            <w:pPr>
              <w:widowControl w:val="0"/>
              <w:tabs>
                <w:tab w:val="left" w:pos="1350"/>
              </w:tabs>
              <w:spacing w:before="15" w:after="15" w:line="240" w:lineRule="auto"/>
              <w:jc w:val="both"/>
              <w:rPr>
                <w:rFonts w:ascii="Times New Roman" w:eastAsia="Times New Roman" w:hAnsi="Times New Roman" w:cs="Times New Roman"/>
                <w:noProof/>
                <w:sz w:val="16"/>
                <w:szCs w:val="16"/>
              </w:rPr>
            </w:pPr>
            <w:r>
              <w:rPr>
                <w:rFonts w:ascii="Times New Roman" w:hAnsi="Times New Roman"/>
                <w:noProof/>
                <w:sz w:val="16"/>
                <w:szCs w:val="16"/>
              </w:rPr>
              <w:t>Nødhjælp i Unionen</w:t>
            </w:r>
          </w:p>
        </w:tc>
        <w:tc>
          <w:tcPr>
            <w:tcW w:w="1701" w:type="dxa"/>
          </w:tcPr>
          <w:p>
            <w:pPr>
              <w:widowControl w:val="0"/>
              <w:spacing w:before="15" w:after="15" w:line="240" w:lineRule="auto"/>
              <w:jc w:val="right"/>
              <w:rPr>
                <w:rFonts w:ascii="Times New Roman" w:eastAsia="Times New Roman" w:hAnsi="Times New Roman" w:cs="Times New Roman"/>
                <w:noProof/>
                <w:sz w:val="20"/>
                <w:szCs w:val="20"/>
              </w:rPr>
            </w:pPr>
            <w:r>
              <w:rPr>
                <w:rFonts w:ascii="Times New Roman" w:hAnsi="Times New Roman"/>
                <w:noProof/>
                <w:sz w:val="20"/>
                <w:szCs w:val="20"/>
              </w:rPr>
              <w:t>2 646 000 000</w:t>
            </w:r>
          </w:p>
        </w:tc>
        <w:tc>
          <w:tcPr>
            <w:tcW w:w="1701" w:type="dxa"/>
          </w:tcPr>
          <w:p>
            <w:pPr>
              <w:widowControl w:val="0"/>
              <w:spacing w:before="15" w:after="15" w:line="240" w:lineRule="auto"/>
              <w:jc w:val="right"/>
              <w:rPr>
                <w:rFonts w:ascii="Times New Roman" w:eastAsia="Times New Roman" w:hAnsi="Times New Roman" w:cs="Times New Roman"/>
                <w:noProof/>
                <w:sz w:val="20"/>
                <w:szCs w:val="20"/>
              </w:rPr>
            </w:pPr>
            <w:r>
              <w:rPr>
                <w:rFonts w:ascii="Times New Roman" w:hAnsi="Times New Roman"/>
                <w:noProof/>
                <w:sz w:val="20"/>
                <w:szCs w:val="20"/>
              </w:rPr>
              <w:t>1 326 000 000</w:t>
            </w:r>
          </w:p>
        </w:tc>
      </w:tr>
      <w:tr>
        <w:trPr>
          <w:jc w:val="center"/>
        </w:trPr>
        <w:tc>
          <w:tcPr>
            <w:tcW w:w="6408" w:type="dxa"/>
            <w:gridSpan w:val="2"/>
            <w:shd w:val="clear" w:color="auto" w:fill="D9D9D9"/>
          </w:tcPr>
          <w:p>
            <w:pPr>
              <w:widowControl w:val="0"/>
              <w:spacing w:before="15" w:after="15" w:line="240" w:lineRule="auto"/>
              <w:ind w:right="-113"/>
              <w:jc w:val="both"/>
              <w:rPr>
                <w:rFonts w:ascii="Times New Roman" w:eastAsia="Times New Roman" w:hAnsi="Times New Roman" w:cs="Times New Roman"/>
                <w:noProof/>
                <w:sz w:val="20"/>
                <w:szCs w:val="20"/>
              </w:rPr>
            </w:pPr>
            <w:r>
              <w:rPr>
                <w:rFonts w:ascii="Times New Roman" w:hAnsi="Times New Roman"/>
                <w:b/>
                <w:noProof/>
                <w:sz w:val="20"/>
                <w:szCs w:val="20"/>
              </w:rPr>
              <w:t>I alt</w:t>
            </w:r>
            <w:r>
              <w:rPr>
                <w:rFonts w:ascii="Times New Roman" w:hAnsi="Times New Roman"/>
                <w:b/>
                <w:noProof/>
                <w:sz w:val="20"/>
                <w:szCs w:val="20"/>
              </w:rPr>
              <w:tab/>
            </w:r>
          </w:p>
        </w:tc>
        <w:tc>
          <w:tcPr>
            <w:tcW w:w="1701" w:type="dxa"/>
            <w:shd w:val="clear" w:color="auto" w:fill="D9D9D9"/>
          </w:tcPr>
          <w:p>
            <w:pPr>
              <w:widowControl w:val="0"/>
              <w:spacing w:before="15" w:after="15" w:line="240" w:lineRule="auto"/>
              <w:jc w:val="right"/>
              <w:rPr>
                <w:rFonts w:ascii="Times New Roman" w:eastAsia="Times New Roman" w:hAnsi="Times New Roman" w:cs="Times New Roman"/>
                <w:b/>
                <w:noProof/>
                <w:sz w:val="20"/>
                <w:szCs w:val="20"/>
              </w:rPr>
            </w:pPr>
            <w:r>
              <w:rPr>
                <w:rFonts w:ascii="Times New Roman" w:hAnsi="Times New Roman"/>
                <w:b/>
                <w:noProof/>
                <w:sz w:val="20"/>
                <w:szCs w:val="20"/>
              </w:rPr>
              <w:t>2 700 000 000</w:t>
            </w:r>
          </w:p>
        </w:tc>
        <w:tc>
          <w:tcPr>
            <w:tcW w:w="1701" w:type="dxa"/>
            <w:shd w:val="clear" w:color="auto" w:fill="D9D9D9"/>
          </w:tcPr>
          <w:p>
            <w:pPr>
              <w:widowControl w:val="0"/>
              <w:spacing w:before="15" w:after="15" w:line="240" w:lineRule="auto"/>
              <w:jc w:val="right"/>
              <w:rPr>
                <w:rFonts w:ascii="Times New Roman" w:eastAsia="Times New Roman" w:hAnsi="Times New Roman" w:cs="Times New Roman"/>
                <w:b/>
                <w:noProof/>
                <w:sz w:val="20"/>
                <w:szCs w:val="20"/>
              </w:rPr>
            </w:pPr>
            <w:r>
              <w:rPr>
                <w:rFonts w:ascii="Times New Roman" w:hAnsi="Times New Roman"/>
                <w:b/>
                <w:noProof/>
                <w:sz w:val="20"/>
                <w:szCs w:val="20"/>
              </w:rPr>
              <w:t>1 380 000 000</w:t>
            </w:r>
          </w:p>
        </w:tc>
      </w:tr>
    </w:tbl>
    <w:p>
      <w:pPr>
        <w:rPr>
          <w:noProof/>
        </w:rPr>
      </w:pPr>
      <w:r>
        <w:rPr>
          <w:noProof/>
        </w:rPr>
        <w:br w:type="page"/>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bookmarkStart w:id="6" w:name="_Toc36736141"/>
      <w:r>
        <w:rPr>
          <w:rFonts w:ascii="Times New Roman" w:hAnsi="Times New Roman"/>
          <w:b/>
          <w:smallCaps/>
          <w:noProof/>
        </w:rPr>
        <w:t>3.</w:t>
      </w:r>
      <w:r>
        <w:rPr>
          <w:rFonts w:ascii="Times New Roman" w:hAnsi="Times New Roman"/>
          <w:b/>
          <w:smallCaps/>
          <w:noProof/>
        </w:rPr>
        <w:tab/>
        <w:t>Yderligere styrkelse af EU-civilbeskyttelsesmekanismen (i Unionen)</w:t>
      </w:r>
      <w:bookmarkEnd w:id="6"/>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Som led i EU's reaktion på covid-19-udbruddet fremmer EU-civilbeskyttelsesmekanismen samarbejdet mellem medlemsstaterne. Udover det fælles udbud har Kommissionen som et ekstra sikkerhedsnet vedtaget en ny gennemførelsesretsakt i henhold til EU-civilbeskyttelsesmekanismen/rescEU med henblik på at </w:t>
      </w:r>
      <w:r>
        <w:rPr>
          <w:rFonts w:ascii="Times New Roman" w:hAnsi="Times New Roman"/>
          <w:b/>
          <w:noProof/>
        </w:rPr>
        <w:t>hjælpe medlemsstaterne med at købe noget af det nødvendige udstyr</w:t>
      </w:r>
      <w:r>
        <w:rPr>
          <w:rFonts w:ascii="Times New Roman" w:hAnsi="Times New Roman"/>
          <w:noProof/>
        </w:rPr>
        <w:t xml:space="preserve"> (herunder terapeutika, medicinsk udstyr, personlige værnemidler og laboratorieforsyninger), hvorved mængden øges og viften af vigtige varer, som købes via det fælles udbud, øges og suppleres. Via det direkte tilskud fra rescEU sikres 100 % finansiering fra EU-budgettet, hvilket omfatter fuld finansiering af udviklingen af disse kapaciteter og fuld finansiering af anvendelsen. Det udstyr, der indkøbes, vil blive opbevaret i en eller flere medlemsstater, mens beslutningstagningen tilrettelægges på EU-plan, således at der kan leveres nødforsyninger udover de nationale lagre. Udstyret vil være tilgængeligt for alle medlemsstater og vil blive anvendt i de tilfælde, hvor den nationale kapacitet er utilstrækkelig.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Som anført i forslag til ændringsbudget nr. 1/2020</w:t>
      </w:r>
      <w:r>
        <w:rPr>
          <w:rFonts w:ascii="Times New Roman" w:eastAsia="Times New Roman" w:hAnsi="Times New Roman" w:cs="Times New Roman"/>
          <w:noProof/>
          <w:vertAlign w:val="superscript"/>
        </w:rPr>
        <w:footnoteReference w:id="7"/>
      </w:r>
      <w:r>
        <w:rPr>
          <w:rFonts w:ascii="Times New Roman" w:hAnsi="Times New Roman"/>
          <w:noProof/>
        </w:rPr>
        <w:t xml:space="preserve"> omfordelte Kommissionen 10,0 mio. EUR i forpligtelsesbevillinger for at støtte medicinske modforanstaltninger og medicinsk udstyr som følge af covid-19 fra det eksisterende budget for EU-civilbeskyttelsesmekanismen/rescEU for 2020 (forebyggelse og beredskab i Unionen) og foreslog en forstærkning på 70,0 mio. EUR i forpligtelsesbevillinger og 40,0 mio. EUR i betalingsbevillinger.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 lyset af krisens hastige udvikling og de deraf affødte behov i medlemsstaterne er det nødvendigt at øge opbygningen af lagre. rescEU kan bidrage til større lageropbygning, koordinering og distribution af væsentlige medicinske forsyninger, som der er stor efterspørgsel efter, til hospitaler, f.eks. beskyttelsesudstyr til hospitalsansatte (masker, beskyttelsesbriller, overtrækstøj, nanomateriale til lægelig brug og desinfektionsmidler) og respiratorer (både respirator og iltapparater), som er nødvendige for at sikre en effektiv behandling. Lagrene skal bruges således, at der med kort varsel kan sendes nødvendigt medicinsk udstyr til de forskellige medlemsstater og regioner, efterhånden som de rammes af udbrud og et infektionsniveau af epidemisk omfang, således at genanvendeligt udstyr udnyttes effektivt der, hvor behovet er størst.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Derfor foreslås en forstærkning på 300,0 mio. EUR i forpligtelsesbevillinger og 150,0 mio. EUR i betalingsbevillinger.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Styrkelsen af rescEU og reaktiveringen af ESI skal supplere hinanden og sikre, at tilvejebringelsen af nødvendigt medicinsk udstyr bliver så effektiv som muligt.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132"/>
        <w:gridCol w:w="1701"/>
        <w:gridCol w:w="1701"/>
      </w:tblGrid>
      <w:tr>
        <w:trPr>
          <w:jc w:val="center"/>
        </w:trPr>
        <w:tc>
          <w:tcPr>
            <w:tcW w:w="9810" w:type="dxa"/>
            <w:gridSpan w:val="4"/>
            <w:tcBorders>
              <w:top w:val="nil"/>
              <w:left w:val="nil"/>
              <w:bottom w:val="single" w:sz="4" w:space="0" w:color="auto"/>
              <w:right w:val="nil"/>
            </w:tcBorders>
            <w:shd w:val="clear" w:color="auto" w:fill="auto"/>
            <w:vAlign w:val="center"/>
          </w:tcPr>
          <w:p>
            <w:pPr>
              <w:widowControl w:val="0"/>
              <w:spacing w:before="15" w:after="15" w:line="240" w:lineRule="auto"/>
              <w:jc w:val="right"/>
              <w:rPr>
                <w:rFonts w:ascii="Times New Roman" w:eastAsia="Times New Roman" w:hAnsi="Times New Roman" w:cs="Times New Roman"/>
                <w:i/>
                <w:noProof/>
                <w:sz w:val="20"/>
                <w:szCs w:val="20"/>
              </w:rPr>
            </w:pPr>
            <w:r>
              <w:rPr>
                <w:rFonts w:ascii="Times New Roman" w:hAnsi="Times New Roman"/>
                <w:i/>
                <w:noProof/>
                <w:sz w:val="20"/>
                <w:szCs w:val="20"/>
              </w:rPr>
              <w:t>EUR</w:t>
            </w:r>
          </w:p>
        </w:tc>
      </w:tr>
      <w:tr>
        <w:trPr>
          <w:jc w:val="center"/>
        </w:trPr>
        <w:tc>
          <w:tcPr>
            <w:tcW w:w="1276" w:type="dxa"/>
            <w:tcBorders>
              <w:top w:val="single" w:sz="4" w:space="0" w:color="auto"/>
            </w:tcBorders>
            <w:shd w:val="clear" w:color="auto" w:fill="D9D9D9"/>
            <w:vAlign w:val="center"/>
          </w:tcPr>
          <w:p>
            <w:pPr>
              <w:keepNext/>
              <w:spacing w:before="15" w:after="15" w:line="240" w:lineRule="auto"/>
              <w:jc w:val="center"/>
              <w:rPr>
                <w:rFonts w:ascii="Times New Roman" w:eastAsia="Times New Roman" w:hAnsi="Times New Roman" w:cs="Times New Roman"/>
                <w:b/>
                <w:noProof/>
                <w:sz w:val="20"/>
                <w:szCs w:val="20"/>
              </w:rPr>
            </w:pPr>
            <w:r>
              <w:rPr>
                <w:rFonts w:ascii="Times New Roman" w:hAnsi="Times New Roman"/>
                <w:b/>
                <w:noProof/>
                <w:sz w:val="20"/>
                <w:szCs w:val="20"/>
              </w:rPr>
              <w:t>Budgetpost</w:t>
            </w:r>
          </w:p>
        </w:tc>
        <w:tc>
          <w:tcPr>
            <w:tcW w:w="5132" w:type="dxa"/>
            <w:tcBorders>
              <w:top w:val="single" w:sz="4" w:space="0" w:color="auto"/>
            </w:tcBorders>
            <w:shd w:val="clear" w:color="auto" w:fill="D9D9D9"/>
            <w:vAlign w:val="center"/>
          </w:tcPr>
          <w:p>
            <w:pPr>
              <w:widowControl w:val="0"/>
              <w:spacing w:before="15" w:after="15" w:line="240" w:lineRule="auto"/>
              <w:jc w:val="center"/>
              <w:rPr>
                <w:rFonts w:ascii="Times New Roman" w:eastAsia="Times New Roman" w:hAnsi="Times New Roman" w:cs="Times New Roman"/>
                <w:b/>
                <w:noProof/>
                <w:sz w:val="20"/>
                <w:szCs w:val="20"/>
              </w:rPr>
            </w:pPr>
            <w:r>
              <w:rPr>
                <w:rFonts w:ascii="Times New Roman" w:hAnsi="Times New Roman"/>
                <w:b/>
                <w:noProof/>
                <w:sz w:val="20"/>
                <w:szCs w:val="20"/>
              </w:rPr>
              <w:t>Betegnelse</w:t>
            </w:r>
          </w:p>
        </w:tc>
        <w:tc>
          <w:tcPr>
            <w:tcW w:w="1701" w:type="dxa"/>
            <w:tcBorders>
              <w:top w:val="single" w:sz="4" w:space="0" w:color="auto"/>
            </w:tcBorders>
            <w:shd w:val="clear" w:color="auto" w:fill="D9D9D9"/>
            <w:vAlign w:val="center"/>
          </w:tcPr>
          <w:p>
            <w:pPr>
              <w:widowControl w:val="0"/>
              <w:spacing w:before="15" w:after="15" w:line="240" w:lineRule="auto"/>
              <w:jc w:val="center"/>
              <w:rPr>
                <w:rFonts w:ascii="Times New Roman" w:eastAsia="Times New Roman" w:hAnsi="Times New Roman" w:cs="Times New Roman"/>
                <w:b/>
                <w:noProof/>
                <w:sz w:val="20"/>
                <w:szCs w:val="20"/>
              </w:rPr>
            </w:pPr>
            <w:r>
              <w:rPr>
                <w:rFonts w:ascii="Times New Roman" w:hAnsi="Times New Roman"/>
                <w:b/>
                <w:noProof/>
                <w:sz w:val="20"/>
                <w:szCs w:val="20"/>
              </w:rPr>
              <w:t>Forpligtelsesbevillinger</w:t>
            </w:r>
          </w:p>
        </w:tc>
        <w:tc>
          <w:tcPr>
            <w:tcW w:w="1701" w:type="dxa"/>
            <w:tcBorders>
              <w:top w:val="single" w:sz="4" w:space="0" w:color="auto"/>
            </w:tcBorders>
            <w:shd w:val="clear" w:color="auto" w:fill="D9D9D9"/>
            <w:vAlign w:val="center"/>
          </w:tcPr>
          <w:p>
            <w:pPr>
              <w:widowControl w:val="0"/>
              <w:spacing w:before="15" w:after="15" w:line="240" w:lineRule="auto"/>
              <w:jc w:val="center"/>
              <w:rPr>
                <w:rFonts w:ascii="Times New Roman" w:eastAsia="Times New Roman" w:hAnsi="Times New Roman" w:cs="Times New Roman"/>
                <w:b/>
                <w:noProof/>
                <w:sz w:val="20"/>
                <w:szCs w:val="20"/>
              </w:rPr>
            </w:pPr>
            <w:r>
              <w:rPr>
                <w:rFonts w:ascii="Times New Roman" w:hAnsi="Times New Roman"/>
                <w:b/>
                <w:noProof/>
                <w:sz w:val="20"/>
                <w:szCs w:val="20"/>
              </w:rPr>
              <w:t>Betalingsbevillinger</w:t>
            </w:r>
          </w:p>
        </w:tc>
      </w:tr>
      <w:tr>
        <w:trPr>
          <w:jc w:val="center"/>
        </w:trPr>
        <w:tc>
          <w:tcPr>
            <w:tcW w:w="9810" w:type="dxa"/>
            <w:gridSpan w:val="4"/>
            <w:shd w:val="clear" w:color="auto" w:fill="F2F2F2"/>
            <w:vAlign w:val="center"/>
          </w:tcPr>
          <w:p>
            <w:pPr>
              <w:widowControl w:val="0"/>
              <w:spacing w:before="15" w:after="15" w:line="240" w:lineRule="auto"/>
              <w:rPr>
                <w:rFonts w:ascii="Times New Roman" w:eastAsia="Times New Roman" w:hAnsi="Times New Roman" w:cs="Times New Roman"/>
                <w:i/>
                <w:noProof/>
                <w:sz w:val="20"/>
                <w:szCs w:val="20"/>
              </w:rPr>
            </w:pPr>
            <w:r>
              <w:rPr>
                <w:rFonts w:ascii="Times New Roman" w:hAnsi="Times New Roman"/>
                <w:i/>
                <w:noProof/>
                <w:sz w:val="20"/>
                <w:szCs w:val="20"/>
              </w:rPr>
              <w:t>Sektion III — Kommissionen</w:t>
            </w:r>
          </w:p>
        </w:tc>
      </w:tr>
      <w:tr>
        <w:trPr>
          <w:jc w:val="center"/>
        </w:trPr>
        <w:tc>
          <w:tcPr>
            <w:tcW w:w="1276" w:type="dxa"/>
          </w:tcPr>
          <w:p>
            <w:pPr>
              <w:widowControl w:val="0"/>
              <w:spacing w:before="15" w:after="15" w:line="240" w:lineRule="auto"/>
              <w:ind w:right="-113"/>
              <w:jc w:val="both"/>
              <w:rPr>
                <w:rFonts w:ascii="Times New Roman" w:eastAsia="Times New Roman" w:hAnsi="Times New Roman" w:cs="Times New Roman"/>
                <w:noProof/>
                <w:sz w:val="16"/>
                <w:szCs w:val="16"/>
              </w:rPr>
            </w:pPr>
            <w:r>
              <w:rPr>
                <w:rFonts w:ascii="Times New Roman" w:hAnsi="Times New Roman"/>
                <w:noProof/>
                <w:sz w:val="16"/>
                <w:szCs w:val="16"/>
              </w:rPr>
              <w:t>23 03 01 01</w:t>
            </w:r>
          </w:p>
        </w:tc>
        <w:tc>
          <w:tcPr>
            <w:tcW w:w="5132" w:type="dxa"/>
          </w:tcPr>
          <w:p>
            <w:pPr>
              <w:widowControl w:val="0"/>
              <w:tabs>
                <w:tab w:val="left" w:pos="1350"/>
              </w:tabs>
              <w:spacing w:before="15" w:after="15" w:line="240" w:lineRule="auto"/>
              <w:jc w:val="both"/>
              <w:rPr>
                <w:rFonts w:ascii="Times New Roman" w:eastAsia="Times New Roman" w:hAnsi="Times New Roman" w:cs="Times New Roman"/>
                <w:noProof/>
                <w:sz w:val="16"/>
                <w:szCs w:val="16"/>
              </w:rPr>
            </w:pPr>
            <w:r>
              <w:rPr>
                <w:rFonts w:ascii="Times New Roman" w:hAnsi="Times New Roman"/>
                <w:noProof/>
                <w:sz w:val="16"/>
                <w:szCs w:val="16"/>
              </w:rPr>
              <w:t>Katastrofeforebyggelse og -beredskab i Unionen</w:t>
            </w:r>
          </w:p>
        </w:tc>
        <w:tc>
          <w:tcPr>
            <w:tcW w:w="1701" w:type="dxa"/>
          </w:tcPr>
          <w:p>
            <w:pPr>
              <w:widowControl w:val="0"/>
              <w:spacing w:before="15" w:after="15" w:line="240" w:lineRule="auto"/>
              <w:jc w:val="right"/>
              <w:rPr>
                <w:rFonts w:ascii="Times New Roman" w:eastAsia="Times New Roman" w:hAnsi="Times New Roman" w:cs="Times New Roman"/>
                <w:noProof/>
                <w:sz w:val="16"/>
                <w:szCs w:val="16"/>
              </w:rPr>
            </w:pPr>
            <w:r>
              <w:rPr>
                <w:rFonts w:ascii="Times New Roman" w:hAnsi="Times New Roman"/>
                <w:noProof/>
                <w:sz w:val="16"/>
                <w:szCs w:val="16"/>
              </w:rPr>
              <w:t>300 000 000</w:t>
            </w:r>
          </w:p>
        </w:tc>
        <w:tc>
          <w:tcPr>
            <w:tcW w:w="1701" w:type="dxa"/>
          </w:tcPr>
          <w:p>
            <w:pPr>
              <w:widowControl w:val="0"/>
              <w:spacing w:before="15" w:after="15" w:line="240" w:lineRule="auto"/>
              <w:jc w:val="right"/>
              <w:rPr>
                <w:rFonts w:ascii="Times New Roman" w:eastAsia="Times New Roman" w:hAnsi="Times New Roman" w:cs="Times New Roman"/>
                <w:noProof/>
                <w:sz w:val="16"/>
                <w:szCs w:val="16"/>
              </w:rPr>
            </w:pPr>
            <w:r>
              <w:rPr>
                <w:rFonts w:ascii="Times New Roman" w:hAnsi="Times New Roman"/>
                <w:noProof/>
                <w:sz w:val="16"/>
                <w:szCs w:val="16"/>
              </w:rPr>
              <w:t>150 000 000</w:t>
            </w:r>
          </w:p>
        </w:tc>
      </w:tr>
      <w:tr>
        <w:trPr>
          <w:jc w:val="center"/>
        </w:trPr>
        <w:tc>
          <w:tcPr>
            <w:tcW w:w="6408" w:type="dxa"/>
            <w:gridSpan w:val="2"/>
            <w:shd w:val="clear" w:color="auto" w:fill="D9D9D9"/>
          </w:tcPr>
          <w:p>
            <w:pPr>
              <w:widowControl w:val="0"/>
              <w:spacing w:before="15" w:after="15" w:line="240" w:lineRule="auto"/>
              <w:ind w:right="-113"/>
              <w:jc w:val="both"/>
              <w:rPr>
                <w:rFonts w:ascii="Times New Roman" w:eastAsia="Times New Roman" w:hAnsi="Times New Roman" w:cs="Times New Roman"/>
                <w:noProof/>
                <w:sz w:val="20"/>
                <w:szCs w:val="20"/>
              </w:rPr>
            </w:pPr>
            <w:r>
              <w:rPr>
                <w:rFonts w:ascii="Times New Roman" w:hAnsi="Times New Roman"/>
                <w:b/>
                <w:noProof/>
                <w:sz w:val="20"/>
                <w:szCs w:val="20"/>
              </w:rPr>
              <w:t>I alt</w:t>
            </w:r>
            <w:r>
              <w:rPr>
                <w:rFonts w:ascii="Times New Roman" w:hAnsi="Times New Roman"/>
                <w:b/>
                <w:noProof/>
                <w:sz w:val="20"/>
                <w:szCs w:val="20"/>
              </w:rPr>
              <w:tab/>
            </w:r>
          </w:p>
        </w:tc>
        <w:tc>
          <w:tcPr>
            <w:tcW w:w="1701" w:type="dxa"/>
            <w:shd w:val="clear" w:color="auto" w:fill="D9D9D9"/>
          </w:tcPr>
          <w:p>
            <w:pPr>
              <w:widowControl w:val="0"/>
              <w:spacing w:before="15" w:after="15" w:line="240" w:lineRule="auto"/>
              <w:jc w:val="right"/>
              <w:rPr>
                <w:rFonts w:ascii="Times New Roman" w:eastAsia="Times New Roman" w:hAnsi="Times New Roman" w:cs="Times New Roman"/>
                <w:b/>
                <w:noProof/>
                <w:sz w:val="20"/>
                <w:szCs w:val="20"/>
              </w:rPr>
            </w:pPr>
            <w:r>
              <w:rPr>
                <w:rFonts w:ascii="Times New Roman" w:hAnsi="Times New Roman"/>
                <w:b/>
                <w:noProof/>
                <w:sz w:val="20"/>
                <w:szCs w:val="20"/>
              </w:rPr>
              <w:t>300 000 000</w:t>
            </w:r>
          </w:p>
        </w:tc>
        <w:tc>
          <w:tcPr>
            <w:tcW w:w="1701" w:type="dxa"/>
            <w:shd w:val="clear" w:color="auto" w:fill="D9D9D9"/>
          </w:tcPr>
          <w:p>
            <w:pPr>
              <w:widowControl w:val="0"/>
              <w:spacing w:before="15" w:after="15" w:line="240" w:lineRule="auto"/>
              <w:jc w:val="right"/>
              <w:rPr>
                <w:rFonts w:ascii="Times New Roman" w:eastAsia="Times New Roman" w:hAnsi="Times New Roman" w:cs="Times New Roman"/>
                <w:b/>
                <w:noProof/>
                <w:sz w:val="20"/>
                <w:szCs w:val="20"/>
              </w:rPr>
            </w:pPr>
            <w:r>
              <w:rPr>
                <w:rFonts w:ascii="Times New Roman" w:hAnsi="Times New Roman"/>
                <w:b/>
                <w:noProof/>
                <w:sz w:val="20"/>
                <w:szCs w:val="20"/>
              </w:rPr>
              <w:t>150 000 000</w:t>
            </w:r>
          </w:p>
        </w:tc>
      </w:tr>
    </w:tbl>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bookmarkStart w:id="7" w:name="_Toc36736142"/>
      <w:r>
        <w:rPr>
          <w:rFonts w:ascii="Times New Roman" w:hAnsi="Times New Roman"/>
          <w:b/>
          <w:smallCaps/>
          <w:noProof/>
        </w:rPr>
        <w:t>4.</w:t>
      </w:r>
      <w:r>
        <w:rPr>
          <w:rFonts w:ascii="Times New Roman" w:hAnsi="Times New Roman"/>
          <w:b/>
          <w:smallCaps/>
          <w:noProof/>
        </w:rPr>
        <w:tab/>
        <w:t>Finansiering</w:t>
      </w:r>
      <w:bookmarkEnd w:id="7"/>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rPr>
        <w:t>Som følge af manglende margener og muligheder for omfordeling under udgiftsområde 3 i den flerårige finansielle ramme (FFR) foreslår Kommissionen, at følgende særlige instrumenter anvendes til finansiering af et samlet beløb på 3 000,0 mio. EUR:</w:t>
      </w:r>
    </w:p>
    <w:p>
      <w:pPr>
        <w:numPr>
          <w:ilvl w:val="0"/>
          <w:numId w:val="3"/>
        </w:num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noProof/>
        </w:rPr>
        <w:t>den resterende samlede margen for forpligtelser med et beløb på 2 042,4 mio. EUR</w:t>
      </w:r>
      <w:r>
        <w:rPr>
          <w:rFonts w:ascii="Times New Roman" w:eastAsia="Times New Roman" w:hAnsi="Times New Roman" w:cs="Times New Roman"/>
          <w:noProof/>
          <w:vertAlign w:val="superscript"/>
        </w:rPr>
        <w:footnoteReference w:id="8"/>
      </w:r>
      <w:r>
        <w:rPr>
          <w:rFonts w:ascii="Times New Roman" w:hAnsi="Times New Roman"/>
          <w:noProof/>
        </w:rPr>
        <w:t>. Sideløbende med dette ændringsbudget foreslås en ændring af FFR-forordningen, hvorved begrænsningerne i instrumentets anvendelsesområde fjernes</w:t>
      </w:r>
      <w:r>
        <w:rPr>
          <w:rFonts w:ascii="Times New Roman" w:eastAsia="Arial Unicode MS" w:hAnsi="Times New Roman" w:cs="Times New Roman"/>
          <w:noProof/>
          <w:vertAlign w:val="superscript"/>
        </w:rPr>
        <w:footnoteReference w:id="9"/>
      </w:r>
    </w:p>
    <w:p>
      <w:pPr>
        <w:numPr>
          <w:ilvl w:val="0"/>
          <w:numId w:val="3"/>
        </w:num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noProof/>
        </w:rPr>
        <w:t>fleksibilitetsinstrumentet med et beløb på 243,0 mio. EUR</w:t>
      </w:r>
      <w:r>
        <w:rPr>
          <w:rFonts w:ascii="Times New Roman" w:eastAsia="Times New Roman" w:hAnsi="Times New Roman" w:cs="Times New Roman"/>
          <w:noProof/>
          <w:vertAlign w:val="superscript"/>
        </w:rPr>
        <w:footnoteReference w:id="10"/>
      </w:r>
      <w:r>
        <w:rPr>
          <w:rFonts w:ascii="Times New Roman" w:hAnsi="Times New Roman"/>
          <w:noProof/>
        </w:rPr>
        <w:t xml:space="preserve"> og</w:t>
      </w:r>
    </w:p>
    <w:p>
      <w:pPr>
        <w:numPr>
          <w:ilvl w:val="0"/>
          <w:numId w:val="3"/>
        </w:num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noProof/>
        </w:rPr>
        <w:t xml:space="preserve">margenen til uforudsete udgifter til restbeløbet (714,6 mio. EUR) med en tilsvarende modregning i margenen i 2020 under udgiftsområde 5 </w:t>
      </w:r>
      <w:r>
        <w:rPr>
          <w:rFonts w:ascii="Times New Roman" w:hAnsi="Times New Roman"/>
          <w:i/>
          <w:noProof/>
        </w:rPr>
        <w:t>Administration</w:t>
      </w:r>
      <w:r>
        <w:rPr>
          <w:rFonts w:ascii="Times New Roman" w:eastAsia="Times New Roman" w:hAnsi="Times New Roman" w:cs="Times New Roman"/>
          <w:i/>
          <w:noProof/>
          <w:vertAlign w:val="superscript"/>
        </w:rPr>
        <w:footnoteReference w:id="11"/>
      </w:r>
      <w:r>
        <w:rPr>
          <w:rFonts w:ascii="Times New Roman" w:hAnsi="Times New Roman"/>
          <w:noProof/>
        </w:rPr>
        <w:t>.</w:t>
      </w:r>
    </w:p>
    <w:p>
      <w:pPr>
        <w:keepNext/>
        <w:pageBreakBefore/>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bookmarkStart w:id="8" w:name="_Toc36736143"/>
      <w:r>
        <w:rPr>
          <w:rFonts w:ascii="Times New Roman" w:hAnsi="Times New Roman"/>
          <w:b/>
          <w:smallCaps/>
          <w:noProof/>
        </w:rPr>
        <w:t>5.</w:t>
      </w:r>
      <w:r>
        <w:rPr>
          <w:rFonts w:ascii="Times New Roman" w:hAnsi="Times New Roman"/>
          <w:b/>
          <w:smallCaps/>
          <w:noProof/>
        </w:rPr>
        <w:tab/>
        <w:t>Sammenfattende oversigt opdelt efter udgiftsområde i den flerårige finansielle ramme</w:t>
      </w:r>
      <w:bookmarkEnd w:id="8"/>
    </w:p>
    <w:tbl>
      <w:tblPr>
        <w:tblW w:w="10800" w:type="dxa"/>
        <w:jc w:val="center"/>
        <w:tblCellMar>
          <w:left w:w="70" w:type="dxa"/>
          <w:right w:w="70" w:type="dxa"/>
        </w:tblCellMar>
        <w:tblLook w:val="04A0" w:firstRow="1" w:lastRow="0" w:firstColumn="1" w:lastColumn="0" w:noHBand="0" w:noVBand="1"/>
      </w:tblPr>
      <w:tblGrid>
        <w:gridCol w:w="280"/>
        <w:gridCol w:w="2700"/>
        <w:gridCol w:w="1360"/>
        <w:gridCol w:w="1360"/>
        <w:gridCol w:w="1200"/>
        <w:gridCol w:w="1200"/>
        <w:gridCol w:w="1360"/>
        <w:gridCol w:w="1340"/>
      </w:tblGrid>
      <w:tr>
        <w:trPr>
          <w:trHeight w:val="180"/>
          <w:jc w:val="center"/>
        </w:trPr>
        <w:tc>
          <w:tcPr>
            <w:tcW w:w="10800" w:type="dxa"/>
            <w:gridSpan w:val="8"/>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I EUR</w:t>
            </w:r>
          </w:p>
        </w:tc>
      </w:tr>
      <w:tr>
        <w:trPr>
          <w:trHeight w:val="210"/>
          <w:jc w:val="center"/>
        </w:trPr>
        <w:tc>
          <w:tcPr>
            <w:tcW w:w="2960"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Udgiftsområde</w:t>
            </w:r>
          </w:p>
        </w:tc>
        <w:tc>
          <w:tcPr>
            <w:tcW w:w="2720" w:type="dxa"/>
            <w:gridSpan w:val="2"/>
            <w:tcBorders>
              <w:top w:val="single" w:sz="4" w:space="0" w:color="auto"/>
              <w:left w:val="nil"/>
              <w:bottom w:val="nil"/>
              <w:right w:val="single" w:sz="4" w:space="0" w:color="000000"/>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Budget for 2020</w:t>
            </w:r>
          </w:p>
        </w:tc>
        <w:tc>
          <w:tcPr>
            <w:tcW w:w="2400"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Forslag til ændringsbudget nr. 2/2020</w:t>
            </w:r>
          </w:p>
        </w:tc>
        <w:tc>
          <w:tcPr>
            <w:tcW w:w="2720" w:type="dxa"/>
            <w:gridSpan w:val="2"/>
            <w:tcBorders>
              <w:top w:val="single" w:sz="4" w:space="0" w:color="auto"/>
              <w:left w:val="nil"/>
              <w:bottom w:val="nil"/>
              <w:right w:val="single" w:sz="4" w:space="0" w:color="000000"/>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Budget for 2020</w:t>
            </w:r>
          </w:p>
        </w:tc>
      </w:tr>
      <w:tr>
        <w:trPr>
          <w:trHeight w:val="210"/>
          <w:jc w:val="center"/>
        </w:trPr>
        <w:tc>
          <w:tcPr>
            <w:tcW w:w="2960" w:type="dxa"/>
            <w:gridSpan w:val="2"/>
            <w:vMerge/>
            <w:tcBorders>
              <w:top w:val="single" w:sz="4" w:space="0" w:color="auto"/>
              <w:left w:val="single" w:sz="4" w:space="0" w:color="auto"/>
              <w:bottom w:val="nil"/>
              <w:right w:val="single" w:sz="4" w:space="0" w:color="000000"/>
            </w:tcBorders>
            <w:vAlign w:val="center"/>
            <w:hideMark/>
          </w:tcPr>
          <w:p>
            <w:pPr>
              <w:spacing w:after="0" w:line="240" w:lineRule="auto"/>
              <w:rPr>
                <w:rFonts w:ascii="Times New Roman" w:eastAsia="Times New Roman" w:hAnsi="Times New Roman" w:cs="Times New Roman"/>
                <w:b/>
                <w:bCs/>
                <w:noProof/>
                <w:color w:val="000000"/>
                <w:sz w:val="14"/>
                <w:szCs w:val="14"/>
              </w:rPr>
            </w:pPr>
          </w:p>
        </w:tc>
        <w:tc>
          <w:tcPr>
            <w:tcW w:w="2720" w:type="dxa"/>
            <w:gridSpan w:val="2"/>
            <w:tcBorders>
              <w:top w:val="nil"/>
              <w:left w:val="nil"/>
              <w:bottom w:val="single" w:sz="4" w:space="0" w:color="auto"/>
              <w:right w:val="single" w:sz="4" w:space="0" w:color="000000"/>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(inkl. FÆB nr. 1/2020)</w:t>
            </w: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noProof/>
                <w:color w:val="000000"/>
                <w:sz w:val="14"/>
                <w:szCs w:val="14"/>
              </w:rPr>
            </w:pPr>
          </w:p>
        </w:tc>
        <w:tc>
          <w:tcPr>
            <w:tcW w:w="2720" w:type="dxa"/>
            <w:gridSpan w:val="2"/>
            <w:tcBorders>
              <w:top w:val="nil"/>
              <w:left w:val="nil"/>
              <w:bottom w:val="single" w:sz="4" w:space="0" w:color="auto"/>
              <w:right w:val="single" w:sz="4" w:space="0" w:color="000000"/>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(inkl. FÆB nr. 1-2/2020)</w:t>
            </w:r>
          </w:p>
        </w:tc>
      </w:tr>
      <w:tr>
        <w:trPr>
          <w:trHeight w:val="210"/>
          <w:jc w:val="center"/>
        </w:trPr>
        <w:tc>
          <w:tcPr>
            <w:tcW w:w="2960" w:type="dxa"/>
            <w:gridSpan w:val="2"/>
            <w:vMerge/>
            <w:tcBorders>
              <w:top w:val="single" w:sz="4" w:space="0" w:color="auto"/>
              <w:left w:val="single" w:sz="4" w:space="0" w:color="auto"/>
              <w:bottom w:val="nil"/>
              <w:right w:val="single" w:sz="4" w:space="0" w:color="000000"/>
            </w:tcBorders>
            <w:vAlign w:val="center"/>
            <w:hideMark/>
          </w:tcPr>
          <w:p>
            <w:pPr>
              <w:spacing w:after="0" w:line="240" w:lineRule="auto"/>
              <w:rPr>
                <w:rFonts w:ascii="Times New Roman" w:eastAsia="Times New Roman" w:hAnsi="Times New Roman" w:cs="Times New Roman"/>
                <w:b/>
                <w:bCs/>
                <w:noProof/>
                <w:color w:val="000000"/>
                <w:sz w:val="14"/>
                <w:szCs w:val="14"/>
              </w:rPr>
            </w:pPr>
          </w:p>
        </w:tc>
        <w:tc>
          <w:tcPr>
            <w:tcW w:w="1360" w:type="dxa"/>
            <w:tcBorders>
              <w:top w:val="nil"/>
              <w:left w:val="nil"/>
              <w:bottom w:val="nil"/>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FB</w:t>
            </w:r>
          </w:p>
        </w:tc>
        <w:tc>
          <w:tcPr>
            <w:tcW w:w="1360"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BB</w:t>
            </w:r>
          </w:p>
        </w:tc>
        <w:tc>
          <w:tcPr>
            <w:tcW w:w="1200"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FB</w:t>
            </w:r>
          </w:p>
        </w:tc>
        <w:tc>
          <w:tcPr>
            <w:tcW w:w="1200"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BB</w:t>
            </w:r>
          </w:p>
        </w:tc>
        <w:tc>
          <w:tcPr>
            <w:tcW w:w="1360"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FB</w:t>
            </w:r>
          </w:p>
        </w:tc>
        <w:tc>
          <w:tcPr>
            <w:tcW w:w="1360"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14"/>
                <w:szCs w:val="14"/>
              </w:rPr>
            </w:pPr>
            <w:r>
              <w:rPr>
                <w:rFonts w:ascii="Times New Roman" w:hAnsi="Times New Roman"/>
                <w:b/>
                <w:bCs/>
                <w:noProof/>
                <w:sz w:val="14"/>
                <w:szCs w:val="14"/>
              </w:rPr>
              <w:t>BB</w:t>
            </w:r>
          </w:p>
        </w:tc>
      </w:tr>
      <w:tr>
        <w:trPr>
          <w:trHeight w:val="225"/>
          <w:jc w:val="center"/>
        </w:trPr>
        <w:tc>
          <w:tcPr>
            <w:tcW w:w="260" w:type="dxa"/>
            <w:tcBorders>
              <w:top w:val="single" w:sz="4" w:space="0" w:color="auto"/>
              <w:left w:val="single" w:sz="4" w:space="0" w:color="auto"/>
              <w:bottom w:val="dotted" w:sz="4" w:space="0" w:color="auto"/>
              <w:right w:val="nil"/>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w:t>
            </w:r>
          </w:p>
        </w:tc>
        <w:tc>
          <w:tcPr>
            <w:tcW w:w="2700" w:type="dxa"/>
            <w:tcBorders>
              <w:top w:val="single" w:sz="4" w:space="0" w:color="auto"/>
              <w:left w:val="nil"/>
              <w:bottom w:val="dotted"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Intelligent og inklusiv vækst</w:t>
            </w:r>
          </w:p>
        </w:tc>
        <w:tc>
          <w:tcPr>
            <w:tcW w:w="1360" w:type="dxa"/>
            <w:tcBorders>
              <w:top w:val="single" w:sz="4" w:space="0" w:color="auto"/>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83 930 597 837</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72 353 828 442</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xml:space="preserve">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xml:space="preserve">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83 930 597 837</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72 353 828 442</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Loft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83 661 000 000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83 661 000 000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Margen</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60" w:type="dxa"/>
            <w:tcBorders>
              <w:top w:val="nil"/>
              <w:left w:val="single" w:sz="4" w:space="0" w:color="auto"/>
              <w:bottom w:val="dotted" w:sz="4" w:space="0" w:color="auto"/>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14"/>
                <w:szCs w:val="14"/>
              </w:rPr>
            </w:pPr>
            <w:r>
              <w:rPr>
                <w:rFonts w:ascii="Times New Roman" w:hAnsi="Times New Roman"/>
                <w:noProof/>
                <w:sz w:val="14"/>
                <w:szCs w:val="14"/>
              </w:rPr>
              <w:t>1a</w:t>
            </w:r>
          </w:p>
        </w:tc>
        <w:tc>
          <w:tcPr>
            <w:tcW w:w="2700" w:type="dxa"/>
            <w:tcBorders>
              <w:top w:val="nil"/>
              <w:left w:val="nil"/>
              <w:bottom w:val="dotted"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sz w:val="14"/>
                <w:szCs w:val="14"/>
              </w:rPr>
            </w:pPr>
            <w:r>
              <w:rPr>
                <w:rFonts w:ascii="Times New Roman" w:hAnsi="Times New Roman"/>
                <w:noProof/>
                <w:sz w:val="14"/>
                <w:szCs w:val="14"/>
              </w:rPr>
              <w:t>Konkurrenceevne for vækst og beskæftigelse</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25 284 773 982</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22 308 071 592</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25 284 773 982</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22 308 071 592</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Heraf under den samlede margen for forpligtelser</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93 773 982</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93 773 982</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Loft</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25 191 000 000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25 191 000 000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Margen</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60" w:type="dxa"/>
            <w:tcBorders>
              <w:top w:val="nil"/>
              <w:left w:val="single" w:sz="4" w:space="0" w:color="auto"/>
              <w:bottom w:val="dotted" w:sz="4" w:space="0" w:color="auto"/>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14"/>
                <w:szCs w:val="14"/>
              </w:rPr>
            </w:pPr>
            <w:r>
              <w:rPr>
                <w:rFonts w:ascii="Times New Roman" w:hAnsi="Times New Roman"/>
                <w:noProof/>
                <w:sz w:val="14"/>
                <w:szCs w:val="14"/>
              </w:rPr>
              <w:t xml:space="preserve">1b </w:t>
            </w:r>
          </w:p>
        </w:tc>
        <w:tc>
          <w:tcPr>
            <w:tcW w:w="2700" w:type="dxa"/>
            <w:tcBorders>
              <w:top w:val="nil"/>
              <w:left w:val="nil"/>
              <w:bottom w:val="dotted"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sz w:val="14"/>
                <w:szCs w:val="14"/>
              </w:rPr>
            </w:pPr>
            <w:r>
              <w:rPr>
                <w:rFonts w:ascii="Times New Roman" w:hAnsi="Times New Roman"/>
                <w:noProof/>
                <w:sz w:val="14"/>
                <w:szCs w:val="14"/>
              </w:rPr>
              <w:t>Økonomisk, social og territorial samhørighed</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58 645 823 855</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50 045 756 850</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58 645 823 855</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50 045 756 850</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Heraf under den samlede margen for forpligtelser</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 xml:space="preserve"> 175 823 855</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175 823 855</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Loft</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58 470 000 000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58 470 000 000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Margen</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60" w:type="dxa"/>
            <w:tcBorders>
              <w:top w:val="nil"/>
              <w:left w:val="single" w:sz="4" w:space="0" w:color="auto"/>
              <w:bottom w:val="dotted" w:sz="4" w:space="0" w:color="auto"/>
              <w:right w:val="nil"/>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2.</w:t>
            </w:r>
          </w:p>
        </w:tc>
        <w:tc>
          <w:tcPr>
            <w:tcW w:w="2700" w:type="dxa"/>
            <w:tcBorders>
              <w:top w:val="nil"/>
              <w:left w:val="nil"/>
              <w:bottom w:val="dotted"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Bæredygtig vækst: naturressourcer</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59 907 021 051</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57 904 492 439</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59 907 021 051</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57 904 492 439</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Loft</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60 421 000 000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60 421 000 000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Margen</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513 978 949</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513 978 949</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34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rPr>
                <w:rFonts w:ascii="Times New Roman" w:eastAsia="Times New Roman" w:hAnsi="Times New Roman" w:cs="Times New Roman"/>
                <w:noProof/>
                <w:color w:val="000000"/>
                <w:sz w:val="14"/>
                <w:szCs w:val="14"/>
              </w:rPr>
            </w:pPr>
            <w:r>
              <w:rPr>
                <w:rFonts w:ascii="Times New Roman" w:hAnsi="Times New Roman"/>
                <w:noProof/>
                <w:sz w:val="14"/>
                <w:szCs w:val="14"/>
              </w:rPr>
              <w:t>Heraf: Den Europæiske Garantifond for Landbruget (EGFL) — markedsrelaterede udgifter og direkte betalinger</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43 410 105 687</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43 380 031 798</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43 410 105 687</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43 380 031 798</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Delloft</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43 888 000 000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43 888 000 000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Afrundingsdifference, der ikke er taget med i beregningen af margenen</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888 000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888 000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EGFL-margen</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477 006 313</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477 006 313</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60" w:type="dxa"/>
            <w:tcBorders>
              <w:top w:val="nil"/>
              <w:left w:val="single" w:sz="4" w:space="0" w:color="auto"/>
              <w:bottom w:val="dotted" w:sz="4" w:space="0" w:color="auto"/>
              <w:right w:val="nil"/>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3.</w:t>
            </w:r>
          </w:p>
        </w:tc>
        <w:tc>
          <w:tcPr>
            <w:tcW w:w="2700" w:type="dxa"/>
            <w:tcBorders>
              <w:top w:val="nil"/>
              <w:left w:val="nil"/>
              <w:bottom w:val="dotted"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Sikkerhed og medborgerskab</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4 152 374 489</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3 748 527 141</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3 000 000 000</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1 530 000 000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7 152 374 489</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5 278 527 141</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Heraf under fleksibilitetsinstrumentet</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851 374 489</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243 039 699</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1 094 414 188</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Heraf under den samlede margen for forpligtelser</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 xml:space="preserve"> 350 000 000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2 042 402 163</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2 392 402 163</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Heraf under margenen til uforudsete udgifter</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714 558 138</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714 558 138</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Loft</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2 951 000 000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2 951 000 000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Margen</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single" w:sz="4" w:space="0" w:color="auto"/>
              <w:right w:val="single" w:sz="4" w:space="0" w:color="auto"/>
            </w:tcBorders>
            <w:shd w:val="clear" w:color="000000" w:fill="FFFFFF"/>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60" w:type="dxa"/>
            <w:tcBorders>
              <w:top w:val="nil"/>
              <w:left w:val="single" w:sz="4" w:space="0" w:color="auto"/>
              <w:bottom w:val="dotted" w:sz="4" w:space="0" w:color="auto"/>
              <w:right w:val="nil"/>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4.</w:t>
            </w:r>
          </w:p>
        </w:tc>
        <w:tc>
          <w:tcPr>
            <w:tcW w:w="2700" w:type="dxa"/>
            <w:tcBorders>
              <w:top w:val="nil"/>
              <w:left w:val="nil"/>
              <w:bottom w:val="dotted"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Et Globalt Europa</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10 406 572 239</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8 944 061 191</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10 406 572 239</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8 944 061 191</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Loft</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10 510 000 000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10 510 000 000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Margen</w:t>
            </w:r>
          </w:p>
        </w:tc>
        <w:tc>
          <w:tcPr>
            <w:tcW w:w="1360" w:type="dxa"/>
            <w:tcBorders>
              <w:top w:val="nil"/>
              <w:left w:val="nil"/>
              <w:bottom w:val="single" w:sz="4" w:space="0" w:color="auto"/>
              <w:right w:val="single" w:sz="4" w:space="0" w:color="auto"/>
            </w:tcBorders>
            <w:shd w:val="clear" w:color="000000" w:fill="FFFFFF"/>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103 427 761</w:t>
            </w:r>
          </w:p>
        </w:tc>
        <w:tc>
          <w:tcPr>
            <w:tcW w:w="1360" w:type="dxa"/>
            <w:tcBorders>
              <w:top w:val="nil"/>
              <w:left w:val="nil"/>
              <w:bottom w:val="single" w:sz="4" w:space="0" w:color="auto"/>
              <w:right w:val="single" w:sz="4" w:space="0" w:color="auto"/>
            </w:tcBorders>
            <w:shd w:val="clear" w:color="000000" w:fill="FFFFFF"/>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single" w:sz="4" w:space="0" w:color="auto"/>
              <w:right w:val="single" w:sz="4" w:space="0" w:color="auto"/>
            </w:tcBorders>
            <w:shd w:val="clear" w:color="000000" w:fill="FFFFFF"/>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103 427 761</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60" w:type="dxa"/>
            <w:tcBorders>
              <w:top w:val="nil"/>
              <w:left w:val="single" w:sz="4" w:space="0" w:color="auto"/>
              <w:bottom w:val="dotted" w:sz="4" w:space="0" w:color="auto"/>
              <w:right w:val="nil"/>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5.</w:t>
            </w:r>
          </w:p>
        </w:tc>
        <w:tc>
          <w:tcPr>
            <w:tcW w:w="2700" w:type="dxa"/>
            <w:tcBorders>
              <w:top w:val="nil"/>
              <w:left w:val="nil"/>
              <w:bottom w:val="dotted"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Administration</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10 271 193 494</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10 274 196 704</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10 271 193 494</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10 274 196 704</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Loft</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11 254 000 000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11 254 000 000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Heraf modregnet i margenen til uforudsete udgifter</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- 252 000 000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- 714 558 138</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- 966 558 138</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Margen</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730 806 506</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16 248 368</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360"/>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rPr>
                <w:rFonts w:ascii="Times New Roman" w:eastAsia="Times New Roman" w:hAnsi="Times New Roman" w:cs="Times New Roman"/>
                <w:noProof/>
                <w:color w:val="000000"/>
                <w:sz w:val="14"/>
                <w:szCs w:val="14"/>
              </w:rPr>
            </w:pPr>
            <w:r>
              <w:rPr>
                <w:rFonts w:ascii="Times New Roman" w:hAnsi="Times New Roman"/>
                <w:noProof/>
                <w:sz w:val="14"/>
                <w:szCs w:val="14"/>
              </w:rPr>
              <w:t>Heraf: Institutionernes administrative udgifter</w:t>
            </w:r>
          </w:p>
        </w:tc>
        <w:tc>
          <w:tcPr>
            <w:tcW w:w="1360" w:type="dxa"/>
            <w:tcBorders>
              <w:top w:val="single" w:sz="4" w:space="0" w:color="auto"/>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7 955 303 132</w:t>
            </w:r>
          </w:p>
        </w:tc>
        <w:tc>
          <w:tcPr>
            <w:tcW w:w="1360" w:type="dxa"/>
            <w:tcBorders>
              <w:top w:val="single" w:sz="4" w:space="0" w:color="auto"/>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7 958 306 342</w:t>
            </w:r>
          </w:p>
        </w:tc>
        <w:tc>
          <w:tcPr>
            <w:tcW w:w="1200" w:type="dxa"/>
            <w:tcBorders>
              <w:top w:val="single" w:sz="4" w:space="0" w:color="auto"/>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 </w:t>
            </w:r>
          </w:p>
        </w:tc>
        <w:tc>
          <w:tcPr>
            <w:tcW w:w="1200" w:type="dxa"/>
            <w:tcBorders>
              <w:top w:val="single" w:sz="4" w:space="0" w:color="auto"/>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 </w:t>
            </w:r>
          </w:p>
        </w:tc>
        <w:tc>
          <w:tcPr>
            <w:tcW w:w="1360" w:type="dxa"/>
            <w:tcBorders>
              <w:top w:val="single" w:sz="4" w:space="0" w:color="auto"/>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7 955 303 132</w:t>
            </w:r>
          </w:p>
        </w:tc>
        <w:tc>
          <w:tcPr>
            <w:tcW w:w="1360" w:type="dxa"/>
            <w:tcBorders>
              <w:top w:val="single" w:sz="4" w:space="0" w:color="auto"/>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noProof/>
                <w:color w:val="000000"/>
                <w:sz w:val="14"/>
                <w:szCs w:val="14"/>
              </w:rPr>
            </w:pPr>
            <w:r>
              <w:rPr>
                <w:rFonts w:ascii="Times New Roman" w:hAnsi="Times New Roman"/>
                <w:noProof/>
                <w:sz w:val="14"/>
                <w:szCs w:val="14"/>
              </w:rPr>
              <w:t>7 958 306 342</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Delloft</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9 071 000 000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9 071 000 000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Heraf modregnet i margenen til uforudsete udgifter</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- 252 000 000</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- 714 558 138</w:t>
            </w:r>
          </w:p>
        </w:tc>
        <w:tc>
          <w:tcPr>
            <w:tcW w:w="120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- 966 558 138</w:t>
            </w:r>
          </w:p>
        </w:tc>
        <w:tc>
          <w:tcPr>
            <w:tcW w:w="1360" w:type="dxa"/>
            <w:tcBorders>
              <w:top w:val="nil"/>
              <w:left w:val="nil"/>
              <w:bottom w:val="dotted"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Margen</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863 696 868</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xml:space="preserve"> 149 138 730</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i/>
                <w:iCs/>
                <w:noProof/>
                <w:color w:val="000000"/>
                <w:sz w:val="14"/>
                <w:szCs w:val="14"/>
              </w:rPr>
            </w:pPr>
            <w:r>
              <w:rPr>
                <w:rFonts w:ascii="Times New Roman" w:hAnsi="Times New Roman"/>
                <w:i/>
                <w:iCs/>
                <w:noProof/>
                <w:sz w:val="14"/>
                <w:szCs w:val="14"/>
              </w:rPr>
              <w:t> </w:t>
            </w:r>
          </w:p>
        </w:tc>
      </w:tr>
      <w:tr>
        <w:trPr>
          <w:trHeight w:val="225"/>
          <w:jc w:val="center"/>
        </w:trPr>
        <w:tc>
          <w:tcPr>
            <w:tcW w:w="2960" w:type="dxa"/>
            <w:gridSpan w:val="2"/>
            <w:tcBorders>
              <w:top w:val="single" w:sz="4" w:space="0" w:color="auto"/>
              <w:left w:val="single" w:sz="4" w:space="0" w:color="auto"/>
              <w:bottom w:val="dotted" w:sz="4" w:space="0" w:color="auto"/>
              <w:right w:val="single" w:sz="4" w:space="0" w:color="000000"/>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I alt</w:t>
            </w:r>
          </w:p>
        </w:tc>
        <w:tc>
          <w:tcPr>
            <w:tcW w:w="1360" w:type="dxa"/>
            <w:tcBorders>
              <w:top w:val="single" w:sz="4" w:space="0" w:color="auto"/>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168 667 759 110</w:t>
            </w:r>
          </w:p>
        </w:tc>
        <w:tc>
          <w:tcPr>
            <w:tcW w:w="1360" w:type="dxa"/>
            <w:tcBorders>
              <w:top w:val="single" w:sz="4" w:space="0" w:color="auto"/>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153 225 105 917</w:t>
            </w:r>
          </w:p>
        </w:tc>
        <w:tc>
          <w:tcPr>
            <w:tcW w:w="1200" w:type="dxa"/>
            <w:tcBorders>
              <w:top w:val="single" w:sz="4" w:space="0" w:color="auto"/>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3 000 000 000</w:t>
            </w:r>
          </w:p>
        </w:tc>
        <w:tc>
          <w:tcPr>
            <w:tcW w:w="1200" w:type="dxa"/>
            <w:tcBorders>
              <w:top w:val="single" w:sz="4" w:space="0" w:color="auto"/>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1 530 000 000</w:t>
            </w:r>
          </w:p>
        </w:tc>
        <w:tc>
          <w:tcPr>
            <w:tcW w:w="1360" w:type="dxa"/>
            <w:tcBorders>
              <w:top w:val="single" w:sz="4" w:space="0" w:color="auto"/>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171 667 759 110</w:t>
            </w:r>
          </w:p>
        </w:tc>
        <w:tc>
          <w:tcPr>
            <w:tcW w:w="1360" w:type="dxa"/>
            <w:tcBorders>
              <w:top w:val="single" w:sz="4" w:space="0" w:color="auto"/>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154 755 105 917</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Heraf under fleksibilitetsinstrumentet</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xml:space="preserve"> 851 374 489</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xml:space="preserve"> 893 079 197</w:t>
            </w:r>
          </w:p>
        </w:tc>
        <w:tc>
          <w:tcPr>
            <w:tcW w:w="120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xml:space="preserve"> 243 039 699</w:t>
            </w:r>
          </w:p>
        </w:tc>
        <w:tc>
          <w:tcPr>
            <w:tcW w:w="120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xml:space="preserve"> 123 950 247</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1 094 414 188</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1 017 029 444</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Heraf under den samlede margen for forpligtelser</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xml:space="preserve"> 619 597 837</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c>
          <w:tcPr>
            <w:tcW w:w="120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2 042 402 163</w:t>
            </w:r>
          </w:p>
        </w:tc>
        <w:tc>
          <w:tcPr>
            <w:tcW w:w="120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2 662 000 000</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Heraf under margenen til uforudsete udgifter</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xml:space="preserve">   </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c>
          <w:tcPr>
            <w:tcW w:w="120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xml:space="preserve"> 714 558 138</w:t>
            </w:r>
          </w:p>
        </w:tc>
        <w:tc>
          <w:tcPr>
            <w:tcW w:w="120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xml:space="preserve"> 714 558 138</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Loft</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168 797 000 000</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172 420 000 000</w:t>
            </w:r>
          </w:p>
        </w:tc>
        <w:tc>
          <w:tcPr>
            <w:tcW w:w="120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xml:space="preserve">   </w:t>
            </w:r>
          </w:p>
        </w:tc>
        <w:tc>
          <w:tcPr>
            <w:tcW w:w="120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168 797 000 000</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172 420 000 000</w:t>
            </w:r>
          </w:p>
        </w:tc>
      </w:tr>
      <w:tr>
        <w:trPr>
          <w:trHeight w:val="225"/>
          <w:jc w:val="center"/>
        </w:trPr>
        <w:tc>
          <w:tcPr>
            <w:tcW w:w="2960" w:type="dxa"/>
            <w:gridSpan w:val="2"/>
            <w:tcBorders>
              <w:top w:val="dotted" w:sz="4" w:space="0" w:color="auto"/>
              <w:left w:val="single" w:sz="4" w:space="0" w:color="auto"/>
              <w:bottom w:val="dotted" w:sz="4" w:space="0" w:color="auto"/>
              <w:right w:val="single" w:sz="4" w:space="0" w:color="000000"/>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Heraf modregnet i margenen til uforudsete udgifter</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- 252 000 000</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c>
          <w:tcPr>
            <w:tcW w:w="120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- 714 558 138</w:t>
            </w:r>
          </w:p>
        </w:tc>
        <w:tc>
          <w:tcPr>
            <w:tcW w:w="120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- 966 558 138</w:t>
            </w:r>
          </w:p>
        </w:tc>
        <w:tc>
          <w:tcPr>
            <w:tcW w:w="1360" w:type="dxa"/>
            <w:tcBorders>
              <w:top w:val="nil"/>
              <w:left w:val="nil"/>
              <w:bottom w:val="dotted"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r>
      <w:tr>
        <w:trPr>
          <w:trHeight w:val="225"/>
          <w:jc w:val="center"/>
        </w:trPr>
        <w:tc>
          <w:tcPr>
            <w:tcW w:w="2960" w:type="dxa"/>
            <w:gridSpan w:val="2"/>
            <w:tcBorders>
              <w:top w:val="dotted" w:sz="4" w:space="0" w:color="auto"/>
              <w:left w:val="single" w:sz="4" w:space="0" w:color="auto"/>
              <w:bottom w:val="nil"/>
              <w:right w:val="single" w:sz="4" w:space="0" w:color="000000"/>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Margen</w:t>
            </w:r>
          </w:p>
        </w:tc>
        <w:tc>
          <w:tcPr>
            <w:tcW w:w="136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1 348 213 216</w:t>
            </w:r>
          </w:p>
        </w:tc>
        <w:tc>
          <w:tcPr>
            <w:tcW w:w="136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20 087 973 280</w:t>
            </w:r>
          </w:p>
        </w:tc>
        <w:tc>
          <w:tcPr>
            <w:tcW w:w="120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c>
          <w:tcPr>
            <w:tcW w:w="120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w:t>
            </w:r>
          </w:p>
        </w:tc>
        <w:tc>
          <w:tcPr>
            <w:tcW w:w="136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 xml:space="preserve"> 633 655 078</w:t>
            </w:r>
          </w:p>
        </w:tc>
        <w:tc>
          <w:tcPr>
            <w:tcW w:w="136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i/>
                <w:iCs/>
                <w:noProof/>
                <w:color w:val="000000"/>
                <w:sz w:val="14"/>
                <w:szCs w:val="14"/>
              </w:rPr>
            </w:pPr>
            <w:r>
              <w:rPr>
                <w:rFonts w:ascii="Times New Roman" w:hAnsi="Times New Roman"/>
                <w:b/>
                <w:bCs/>
                <w:i/>
                <w:iCs/>
                <w:noProof/>
                <w:sz w:val="14"/>
                <w:szCs w:val="14"/>
              </w:rPr>
              <w:t>18 681 923 527</w:t>
            </w:r>
          </w:p>
        </w:tc>
      </w:tr>
      <w:tr>
        <w:trPr>
          <w:trHeight w:val="225"/>
          <w:jc w:val="center"/>
        </w:trPr>
        <w:tc>
          <w:tcPr>
            <w:tcW w:w="260" w:type="dxa"/>
            <w:tcBorders>
              <w:top w:val="single" w:sz="4" w:space="0" w:color="auto"/>
              <w:left w:val="single" w:sz="4" w:space="0" w:color="auto"/>
              <w:bottom w:val="single" w:sz="4" w:space="0" w:color="auto"/>
              <w:right w:val="nil"/>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b/>
                <w:bCs/>
                <w:noProof/>
                <w:color w:val="000000"/>
                <w:sz w:val="14"/>
                <w:szCs w:val="14"/>
              </w:rPr>
            </w:pPr>
            <w:r>
              <w:rPr>
                <w:rFonts w:ascii="Times New Roman" w:hAnsi="Times New Roman"/>
                <w:b/>
                <w:bCs/>
                <w:noProof/>
                <w:sz w:val="14"/>
                <w:szCs w:val="14"/>
              </w:rPr>
              <w:t>Andre særlige instrumenter</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xml:space="preserve"> 587 763 000</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xml:space="preserve"> 418 500 000</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xml:space="preserve">   </w:t>
            </w:r>
          </w:p>
        </w:tc>
        <w:tc>
          <w:tcPr>
            <w:tcW w:w="120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xml:space="preserve"> 587 763 000</w:t>
            </w:r>
          </w:p>
        </w:tc>
        <w:tc>
          <w:tcPr>
            <w:tcW w:w="136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 xml:space="preserve"> 418 500 000</w:t>
            </w:r>
          </w:p>
        </w:tc>
      </w:tr>
      <w:tr>
        <w:trPr>
          <w:trHeight w:val="225"/>
          <w:jc w:val="center"/>
        </w:trPr>
        <w:tc>
          <w:tcPr>
            <w:tcW w:w="2960" w:type="dxa"/>
            <w:gridSpan w:val="2"/>
            <w:tcBorders>
              <w:top w:val="nil"/>
              <w:left w:val="single" w:sz="4" w:space="0" w:color="auto"/>
              <w:bottom w:val="single" w:sz="4" w:space="0" w:color="auto"/>
              <w:right w:val="single" w:sz="4" w:space="0" w:color="000000"/>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Tilsammen</w:t>
            </w:r>
          </w:p>
        </w:tc>
        <w:tc>
          <w:tcPr>
            <w:tcW w:w="136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169 255 522 110</w:t>
            </w:r>
          </w:p>
        </w:tc>
        <w:tc>
          <w:tcPr>
            <w:tcW w:w="136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153 643 605 917</w:t>
            </w:r>
          </w:p>
        </w:tc>
        <w:tc>
          <w:tcPr>
            <w:tcW w:w="120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3 000 000 000</w:t>
            </w:r>
          </w:p>
        </w:tc>
        <w:tc>
          <w:tcPr>
            <w:tcW w:w="120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1 530 000 000</w:t>
            </w:r>
          </w:p>
        </w:tc>
        <w:tc>
          <w:tcPr>
            <w:tcW w:w="136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172 255 522 110</w:t>
            </w:r>
          </w:p>
        </w:tc>
        <w:tc>
          <w:tcPr>
            <w:tcW w:w="1360"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Times New Roman" w:eastAsia="Times New Roman" w:hAnsi="Times New Roman" w:cs="Times New Roman"/>
                <w:b/>
                <w:bCs/>
                <w:noProof/>
                <w:color w:val="000000"/>
                <w:sz w:val="14"/>
                <w:szCs w:val="14"/>
              </w:rPr>
            </w:pPr>
            <w:r>
              <w:rPr>
                <w:rFonts w:ascii="Times New Roman" w:hAnsi="Times New Roman"/>
                <w:b/>
                <w:bCs/>
                <w:noProof/>
                <w:sz w:val="14"/>
                <w:szCs w:val="14"/>
              </w:rPr>
              <w:t>155 173 605 917</w:t>
            </w:r>
          </w:p>
        </w:tc>
      </w:tr>
    </w:tbl>
    <w:p>
      <w:pPr>
        <w:pStyle w:val="Text1"/>
        <w:ind w:left="0"/>
        <w:rPr>
          <w:noProof/>
        </w:rPr>
      </w:pPr>
    </w:p>
    <w:sectPr>
      <w:headerReference w:type="even" r:id="rId28"/>
      <w:headerReference w:type="default" r:id="rId29"/>
      <w:footerReference w:type="even" r:id="rId30"/>
      <w:footerReference w:type="default" r:id="rId31"/>
      <w:headerReference w:type="first" r:id="rId32"/>
      <w:footerReference w:type="first" r:id="rId33"/>
      <w:pgSz w:w="11907" w:h="1683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enter" w:pos="4820"/>
      </w:tabs>
      <w:ind w:left="-851" w:right="-851"/>
      <w:rPr>
        <w:rFonts w:ascii="Arial" w:hAnsi="Arial" w:cs="Arial"/>
        <w:b/>
        <w:sz w:val="48"/>
      </w:rPr>
    </w:pPr>
    <w:r>
      <w:rPr>
        <w:rFonts w:ascii="Arial" w:hAnsi="Arial"/>
        <w:b/>
        <w:sz w:val="48"/>
      </w:rPr>
      <w:tab/>
    </w:r>
    <w:r>
      <w:fldChar w:fldCharType="begin"/>
    </w:r>
    <w:r>
      <w:instrText xml:space="preserve"> PAGE  \* MERGEFORMAT </w:instrText>
    </w:r>
    <w:r>
      <w:fldChar w:fldCharType="separate"/>
    </w:r>
    <w:r>
      <w:rPr>
        <w:noProof/>
      </w:rPr>
      <w:t>6</w:t>
    </w:r>
    <w:r>
      <w:fldChar w:fldCharType="end"/>
    </w:r>
    <w:r>
      <w:tab/>
    </w: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left="-851" w:right="-851"/>
      <w:rPr>
        <w:rFonts w:ascii="Arial" w:hAnsi="Arial" w:cs="Arial"/>
        <w:b/>
        <w:sz w:val="48"/>
      </w:rPr>
    </w:pPr>
    <w:r>
      <w:rPr>
        <w:rFonts w:ascii="Arial" w:hAnsi="Arial"/>
        <w:b/>
        <w:sz w:val="48"/>
      </w:rPr>
      <w:tab/>
    </w:r>
    <w:r>
      <w:fldChar w:fldCharType="begin"/>
    </w:r>
    <w:r>
      <w:instrText xml:space="preserve"> PAGE  \* MERGEFORMAT </w:instrText>
    </w:r>
    <w:r>
      <w:fldChar w:fldCharType="separate"/>
    </w:r>
    <w:r>
      <w:rPr>
        <w:noProof/>
      </w:rPr>
      <w:t>1</w:t>
    </w:r>
    <w:r>
      <w:fldChar w:fldCharType="end"/>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left="-851" w:right="-851"/>
      <w:rPr>
        <w:rFonts w:ascii="Arial" w:hAnsi="Arial" w:cs="Arial"/>
        <w:b/>
        <w:sz w:val="48"/>
      </w:rPr>
    </w:pPr>
    <w:r>
      <w:rPr>
        <w:rFonts w:ascii="Arial" w:hAnsi="Arial"/>
        <w:b/>
        <w:sz w:val="48"/>
      </w:rPr>
      <w:tab/>
    </w:r>
    <w:r>
      <w:fldChar w:fldCharType="begin"/>
    </w:r>
    <w:r>
      <w:instrText xml:space="preserve"> PAGE  \* MERGEFORMAT </w:instrText>
    </w:r>
    <w:r>
      <w:fldChar w:fldCharType="separate"/>
    </w:r>
    <w:r>
      <w:rPr>
        <w:noProof/>
      </w:rPr>
      <w:t>2</w:t>
    </w:r>
    <w:r>
      <w:fldChar w:fldCharType="end"/>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r>
      <w:r>
        <w:rPr>
          <w:sz w:val="18"/>
          <w:szCs w:val="18"/>
        </w:rPr>
        <w:t>EUT L 193 af 30.7.2018.</w:t>
      </w:r>
    </w:p>
  </w:footnote>
  <w:footnote w:id="2">
    <w:p>
      <w:pPr>
        <w:pStyle w:val="FootnoteText"/>
      </w:pPr>
      <w:r>
        <w:rPr>
          <w:rStyle w:val="FootnoteReference"/>
        </w:rPr>
        <w:footnoteRef/>
      </w:r>
      <w:r>
        <w:t xml:space="preserve"> </w:t>
      </w:r>
      <w:r>
        <w:tab/>
      </w:r>
      <w:r>
        <w:rPr>
          <w:sz w:val="18"/>
          <w:szCs w:val="18"/>
        </w:rPr>
        <w:t>EUT L 57 af 27.2.2020.</w:t>
      </w:r>
    </w:p>
  </w:footnote>
  <w:footnote w:id="3">
    <w:p>
      <w:pPr>
        <w:pStyle w:val="FootnoteText"/>
      </w:pPr>
      <w:r>
        <w:rPr>
          <w:rStyle w:val="FootnoteReference"/>
        </w:rPr>
        <w:footnoteRef/>
      </w:r>
      <w:r>
        <w:t xml:space="preserve"> </w:t>
      </w:r>
      <w:r>
        <w:tab/>
      </w:r>
      <w:r>
        <w:rPr>
          <w:sz w:val="18"/>
          <w:szCs w:val="18"/>
        </w:rPr>
        <w:t>COM(2020) 145 af 27.3.2020.</w:t>
      </w:r>
    </w:p>
  </w:footnote>
  <w:footnote w:id="4">
    <w:p>
      <w:pPr>
        <w:pStyle w:val="FootnoteText"/>
      </w:pPr>
      <w:r>
        <w:rPr>
          <w:rStyle w:val="FootnoteReference"/>
        </w:rPr>
        <w:footnoteRef/>
      </w:r>
      <w:r>
        <w:t xml:space="preserve"> </w:t>
      </w:r>
      <w:r>
        <w:tab/>
        <w:t>Ud over den forstærkning (på 80,0 mio. EUR, hvoraf 10,0 mio. EUR sker ved omfordeling inden for EU-civilbeskyttelsesmekanismen), der indgår i FÆB nr. 1/2020 (COM(2020) 145 af 27.3.2020).</w:t>
      </w:r>
    </w:p>
  </w:footnote>
  <w:footnote w:id="5">
    <w:p>
      <w:pPr>
        <w:pStyle w:val="FootnoteText"/>
      </w:pPr>
      <w:r>
        <w:rPr>
          <w:rStyle w:val="FootnoteReference"/>
        </w:rPr>
        <w:footnoteRef/>
      </w:r>
      <w:r>
        <w:t xml:space="preserve"> </w:t>
      </w:r>
      <w:r>
        <w:tab/>
        <w:t>COM(2020) 175 af 2.4.2020.</w:t>
      </w:r>
    </w:p>
  </w:footnote>
  <w:footnote w:id="6">
    <w:p>
      <w:pPr>
        <w:pStyle w:val="FootnoteText"/>
      </w:pPr>
      <w:r>
        <w:rPr>
          <w:rStyle w:val="FootnoteReference"/>
        </w:rPr>
        <w:footnoteRef/>
      </w:r>
      <w:r>
        <w:t xml:space="preserve"> </w:t>
      </w:r>
      <w:r>
        <w:tab/>
        <w:t>Artikel 3, stk. 2, i Rådets forordning 2016/369.</w:t>
      </w:r>
    </w:p>
  </w:footnote>
  <w:footnote w:id="7">
    <w:p>
      <w:pPr>
        <w:pStyle w:val="FootnoteText"/>
      </w:pPr>
      <w:r>
        <w:rPr>
          <w:rStyle w:val="FootnoteReference"/>
        </w:rPr>
        <w:footnoteRef/>
      </w:r>
      <w:r>
        <w:t xml:space="preserve"> </w:t>
      </w:r>
      <w:r>
        <w:tab/>
        <w:t>COM(2020) 145 final af 27.3.2020.</w:t>
      </w:r>
    </w:p>
  </w:footnote>
  <w:footnote w:id="8">
    <w:p>
      <w:pPr>
        <w:pStyle w:val="FootnoteText"/>
      </w:pPr>
      <w:r>
        <w:rPr>
          <w:rStyle w:val="FootnoteReference"/>
        </w:rPr>
        <w:footnoteRef/>
      </w:r>
      <w:r>
        <w:tab/>
        <w:t>I dette beløb tages højde for den resterende margen fra 2019 (1 316,9 mio. EUR), som blev stillet til rådighed for 2020 i "Teknisk justering for så vidt angår særlige instrumenter" (COM(2020) 173 af 2.4.2020).</w:t>
      </w:r>
    </w:p>
  </w:footnote>
  <w:footnote w:id="9">
    <w:p>
      <w:pPr>
        <w:pStyle w:val="FootnoteText"/>
      </w:pPr>
      <w:r>
        <w:rPr>
          <w:rStyle w:val="FootnoteReference"/>
        </w:rPr>
        <w:footnoteRef/>
      </w:r>
      <w:r>
        <w:t xml:space="preserve"> </w:t>
      </w:r>
      <w:r>
        <w:tab/>
        <w:t>COM(2020) 174 af 2.4.2020. Denne ændring af forordning nr. 1311/2013 bør træde i kraft senest samme dag som den endelige vedtagelse af dette FÆB.</w:t>
      </w:r>
    </w:p>
  </w:footnote>
  <w:footnote w:id="10">
    <w:p>
      <w:pPr>
        <w:pStyle w:val="FootnoteText"/>
      </w:pPr>
      <w:r>
        <w:rPr>
          <w:rStyle w:val="FootnoteReference"/>
        </w:rPr>
        <w:footnoteRef/>
      </w:r>
      <w:r>
        <w:t xml:space="preserve"> </w:t>
      </w:r>
      <w:r>
        <w:tab/>
        <w:t>COM(2020) 171 af 2.4.2020.</w:t>
      </w:r>
    </w:p>
  </w:footnote>
  <w:footnote w:id="11">
    <w:p>
      <w:pPr>
        <w:pStyle w:val="FootnoteText"/>
      </w:pPr>
      <w:r>
        <w:rPr>
          <w:rStyle w:val="FootnoteReference"/>
        </w:rPr>
        <w:footnoteRef/>
      </w:r>
      <w:r>
        <w:t xml:space="preserve"> </w:t>
      </w:r>
      <w:r>
        <w:tab/>
        <w:t>COM(2020) 172 af 2.4.2020.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49F88"/>
    <w:lvl w:ilvl="0">
      <w:start w:val="1"/>
      <w:numFmt w:val="decimal"/>
      <w:pStyle w:val="ListNumber5"/>
      <w:lvlText w:val="%1."/>
      <w:lvlJc w:val="left"/>
      <w:pPr>
        <w:tabs>
          <w:tab w:val="num" w:pos="1492"/>
        </w:tabs>
        <w:ind w:left="1492" w:hanging="360"/>
      </w:pPr>
    </w:lvl>
  </w:abstractNum>
  <w:abstractNum w:abstractNumId="1">
    <w:nsid w:val="FFFFFF82"/>
    <w:multiLevelType w:val="singleLevel"/>
    <w:tmpl w:val="338AC504"/>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7FF73A7"/>
    <w:multiLevelType w:val="hybridMultilevel"/>
    <w:tmpl w:val="1D745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835770"/>
    <w:multiLevelType w:val="hybridMultilevel"/>
    <w:tmpl w:val="365E0218"/>
    <w:lvl w:ilvl="0" w:tplc="8264D7DC">
      <w:start w:val="1"/>
      <w:numFmt w:val="bullet"/>
      <w:pStyle w:val="agbullets"/>
      <w:lvlText w:val=""/>
      <w:lvlJc w:val="left"/>
      <w:pPr>
        <w:ind w:left="720" w:hanging="360"/>
      </w:pPr>
      <w:rPr>
        <w:rFonts w:ascii="Symbol" w:hAnsi="Symbol" w:hint="default"/>
      </w:rPr>
    </w:lvl>
    <w:lvl w:ilvl="1" w:tplc="B8AE865E">
      <w:numFmt w:val="decimal"/>
      <w:lvlText w:val=""/>
      <w:lvlJc w:val="left"/>
    </w:lvl>
    <w:lvl w:ilvl="2" w:tplc="581813B8">
      <w:numFmt w:val="decimal"/>
      <w:lvlText w:val=""/>
      <w:lvlJc w:val="left"/>
    </w:lvl>
    <w:lvl w:ilvl="3" w:tplc="B7C81A1E">
      <w:numFmt w:val="decimal"/>
      <w:lvlText w:val=""/>
      <w:lvlJc w:val="left"/>
    </w:lvl>
    <w:lvl w:ilvl="4" w:tplc="5030D16A">
      <w:numFmt w:val="decimal"/>
      <w:lvlText w:val=""/>
      <w:lvlJc w:val="left"/>
    </w:lvl>
    <w:lvl w:ilvl="5" w:tplc="7A1E383C">
      <w:numFmt w:val="decimal"/>
      <w:lvlText w:val=""/>
      <w:lvlJc w:val="left"/>
    </w:lvl>
    <w:lvl w:ilvl="6" w:tplc="CE08976E">
      <w:numFmt w:val="decimal"/>
      <w:lvlText w:val=""/>
      <w:lvlJc w:val="left"/>
    </w:lvl>
    <w:lvl w:ilvl="7" w:tplc="D5D01BC0">
      <w:numFmt w:val="decimal"/>
      <w:lvlText w:val=""/>
      <w:lvlJc w:val="left"/>
    </w:lvl>
    <w:lvl w:ilvl="8" w:tplc="05920FDA">
      <w:numFmt w:val="decimal"/>
      <w:lvlText w:val=""/>
      <w:lvlJc w:val="left"/>
    </w:lvl>
  </w:abstractNum>
  <w:abstractNum w:abstractNumId="4">
    <w:nsid w:val="107E5539"/>
    <w:multiLevelType w:val="hybridMultilevel"/>
    <w:tmpl w:val="7AA6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E1F62"/>
    <w:multiLevelType w:val="hybridMultilevel"/>
    <w:tmpl w:val="F84ADDA2"/>
    <w:lvl w:ilvl="0" w:tplc="AD4A711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13AC5"/>
    <w:multiLevelType w:val="hybridMultilevel"/>
    <w:tmpl w:val="942260B6"/>
    <w:lvl w:ilvl="0" w:tplc="6450B68C">
      <w:start w:val="1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2F54BEC"/>
    <w:multiLevelType w:val="hybridMultilevel"/>
    <w:tmpl w:val="D938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E4906"/>
    <w:multiLevelType w:val="hybridMultilevel"/>
    <w:tmpl w:val="094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nsid w:val="302D7658"/>
    <w:multiLevelType w:val="hybridMultilevel"/>
    <w:tmpl w:val="BEE25C58"/>
    <w:lvl w:ilvl="0" w:tplc="0CD24B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F72B5B"/>
    <w:multiLevelType w:val="hybridMultilevel"/>
    <w:tmpl w:val="E782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nsid w:val="390F25DB"/>
    <w:multiLevelType w:val="hybridMultilevel"/>
    <w:tmpl w:val="E7265104"/>
    <w:lvl w:ilvl="0" w:tplc="B0DC89EA">
      <w:start w:val="1"/>
      <w:numFmt w:val="bullet"/>
      <w:pStyle w:val="agtabbullets"/>
      <w:lvlText w:val=""/>
      <w:lvlJc w:val="left"/>
      <w:pPr>
        <w:ind w:left="1080" w:hanging="360"/>
      </w:pPr>
      <w:rPr>
        <w:rFonts w:ascii="Symbol" w:hAnsi="Symbol" w:hint="default"/>
      </w:rPr>
    </w:lvl>
    <w:lvl w:ilvl="1" w:tplc="510EFC82">
      <w:numFmt w:val="decimal"/>
      <w:lvlText w:val=""/>
      <w:lvlJc w:val="left"/>
    </w:lvl>
    <w:lvl w:ilvl="2" w:tplc="98DA8758">
      <w:numFmt w:val="decimal"/>
      <w:lvlText w:val=""/>
      <w:lvlJc w:val="left"/>
    </w:lvl>
    <w:lvl w:ilvl="3" w:tplc="A8DA21E8">
      <w:numFmt w:val="decimal"/>
      <w:lvlText w:val=""/>
      <w:lvlJc w:val="left"/>
    </w:lvl>
    <w:lvl w:ilvl="4" w:tplc="4C5E1946">
      <w:numFmt w:val="decimal"/>
      <w:lvlText w:val=""/>
      <w:lvlJc w:val="left"/>
    </w:lvl>
    <w:lvl w:ilvl="5" w:tplc="DC50A908">
      <w:numFmt w:val="decimal"/>
      <w:lvlText w:val=""/>
      <w:lvlJc w:val="left"/>
    </w:lvl>
    <w:lvl w:ilvl="6" w:tplc="277AF326">
      <w:numFmt w:val="decimal"/>
      <w:lvlText w:val=""/>
      <w:lvlJc w:val="left"/>
    </w:lvl>
    <w:lvl w:ilvl="7" w:tplc="96EC6C5E">
      <w:numFmt w:val="decimal"/>
      <w:lvlText w:val=""/>
      <w:lvlJc w:val="left"/>
    </w:lvl>
    <w:lvl w:ilvl="8" w:tplc="CF347B90">
      <w:numFmt w:val="decimal"/>
      <w:lvlText w:val=""/>
      <w:lvlJc w:val="left"/>
    </w:lvl>
  </w:abstractNum>
  <w:abstractNum w:abstractNumId="1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nsid w:val="3B196F20"/>
    <w:multiLevelType w:val="hybridMultilevel"/>
    <w:tmpl w:val="EDA0D93A"/>
    <w:lvl w:ilvl="0" w:tplc="AD4A711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A4B95"/>
    <w:multiLevelType w:val="hybridMultilevel"/>
    <w:tmpl w:val="D7C8C63E"/>
    <w:lvl w:ilvl="0" w:tplc="1B5E4E4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8">
    <w:nsid w:val="5BE70879"/>
    <w:multiLevelType w:val="hybridMultilevel"/>
    <w:tmpl w:val="1C344ADE"/>
    <w:lvl w:ilvl="0" w:tplc="76F660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D7001"/>
    <w:multiLevelType w:val="hybridMultilevel"/>
    <w:tmpl w:val="71E60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1">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D2B5511"/>
    <w:multiLevelType w:val="singleLevel"/>
    <w:tmpl w:val="74A09970"/>
    <w:name w:val="Heading__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4">
    <w:nsid w:val="70037CE4"/>
    <w:multiLevelType w:val="hybridMultilevel"/>
    <w:tmpl w:val="C6AC5448"/>
    <w:lvl w:ilvl="0" w:tplc="AD4A711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70FE1"/>
    <w:multiLevelType w:val="hybridMultilevel"/>
    <w:tmpl w:val="C2F8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54E49"/>
    <w:multiLevelType w:val="hybridMultilevel"/>
    <w:tmpl w:val="1B00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95D7F"/>
    <w:multiLevelType w:val="multilevel"/>
    <w:tmpl w:val="F126F78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8">
    <w:nsid w:val="7C897016"/>
    <w:multiLevelType w:val="hybridMultilevel"/>
    <w:tmpl w:val="97A06FA8"/>
    <w:lvl w:ilvl="0" w:tplc="1A0C97F4">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966381"/>
    <w:multiLevelType w:val="multilevel"/>
    <w:tmpl w:val="DCC8806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7"/>
  </w:num>
  <w:num w:numId="3">
    <w:abstractNumId w:val="25"/>
  </w:num>
  <w:num w:numId="4">
    <w:abstractNumId w:val="17"/>
  </w:num>
  <w:num w:numId="5">
    <w:abstractNumId w:val="23"/>
  </w:num>
  <w:num w:numId="6">
    <w:abstractNumId w:val="14"/>
  </w:num>
  <w:num w:numId="7">
    <w:abstractNumId w:val="9"/>
  </w:num>
  <w:num w:numId="8">
    <w:abstractNumId w:val="27"/>
  </w:num>
  <w:num w:numId="9">
    <w:abstractNumId w:val="21"/>
  </w:num>
  <w:num w:numId="10">
    <w:abstractNumId w:val="29"/>
  </w:num>
  <w:num w:numId="11">
    <w:abstractNumId w:val="22"/>
  </w:num>
  <w:num w:numId="12">
    <w:abstractNumId w:val="0"/>
  </w:num>
  <w:num w:numId="13">
    <w:abstractNumId w:val="1"/>
  </w:num>
  <w:num w:numId="14">
    <w:abstractNumId w:val="3"/>
  </w:num>
  <w:num w:numId="15">
    <w:abstractNumId w:val="13"/>
  </w:num>
  <w:num w:numId="16">
    <w:abstractNumId w:val="6"/>
  </w:num>
  <w:num w:numId="17">
    <w:abstractNumId w:val="10"/>
  </w:num>
  <w:num w:numId="18">
    <w:abstractNumId w:val="8"/>
  </w:num>
  <w:num w:numId="19">
    <w:abstractNumId w:val="4"/>
  </w:num>
  <w:num w:numId="20">
    <w:abstractNumId w:val="5"/>
  </w:num>
  <w:num w:numId="21">
    <w:abstractNumId w:val="2"/>
  </w:num>
  <w:num w:numId="22">
    <w:abstractNumId w:val="15"/>
  </w:num>
  <w:num w:numId="23">
    <w:abstractNumId w:val="26"/>
  </w:num>
  <w:num w:numId="24">
    <w:abstractNumId w:val="24"/>
  </w:num>
  <w:num w:numId="25">
    <w:abstractNumId w:val="11"/>
  </w:num>
  <w:num w:numId="26">
    <w:abstractNumId w:val="19"/>
  </w:num>
  <w:num w:numId="27">
    <w:abstractNumId w:val="18"/>
  </w:num>
  <w:num w:numId="28">
    <w:abstractNumId w:val="16"/>
  </w:num>
  <w:num w:numId="29">
    <w:abstractNumId w:val="28"/>
  </w:num>
  <w:num w:numId="30">
    <w:abstractNumId w:val="20"/>
    <w:lvlOverride w:ilvl="0">
      <w:startOverride w:val="1"/>
    </w:lvlOverride>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13CCBB3-9988-4C5B-B645-93DC42790855"/>
    <w:docVar w:name="LW_COVERPAGE_TYPE" w:val="1"/>
    <w:docVar w:name="LW_CROSSREFERENCE" w:val="&lt;UNUSED&gt;"/>
    <w:docVar w:name="LW_DocType" w:val="NORMAL"/>
    <w:docVar w:name="LW_EMISSION" w:val="2.4.2020"/>
    <w:docVar w:name="LW_EMISSION_ISODATE" w:val="2020-04-02"/>
    <w:docVar w:name="LW_EMISSION_LOCATION" w:val="BRX"/>
    <w:docVar w:name="LW_EMISSION_PREFIX" w:val="Bruxelles, den "/>
    <w:docVar w:name="LW_EMISSION_SUFFIX" w:val=" "/>
    <w:docVar w:name="LW_ID_DOCTYPE_NONLW" w:val="CP-035"/>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Ydelse af nødhjælp til medlemsstaterne og forstærkning af EU-civilbeskyttelsesmekanismen/rescEU som reaktion på covid-19-udbruddet"/>
    <w:docVar w:name="LW_TYPE.DOC.CP" w:val="Forslag til ændringsbudget nr. 2 til det almindelige budget for 202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Bullet" w:uiPriority="0"/>
    <w:lsdException w:name="List Number" w:uiPriority="0"/>
    <w:lsdException w:name="List Bullet 2"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pPr>
      <w:keepNext/>
      <w:spacing w:before="240" w:after="120" w:line="240" w:lineRule="auto"/>
      <w:outlineLvl w:val="0"/>
    </w:pPr>
    <w:rPr>
      <w:rFonts w:ascii="Arial" w:eastAsia="Times New Roman" w:hAnsi="Arial" w:cs="Arial"/>
      <w:b/>
      <w:bCs/>
      <w:kern w:val="32"/>
      <w:sz w:val="32"/>
      <w:szCs w:val="32"/>
      <w:lang w:eastAsia="en-GB"/>
    </w:rPr>
  </w:style>
  <w:style w:type="paragraph" w:styleId="Heading2">
    <w:name w:val="heading 2"/>
    <w:aliases w:val="Char, Char,Abschnitt"/>
    <w:basedOn w:val="Normal"/>
    <w:next w:val="Normal"/>
    <w:link w:val="Heading2Char"/>
    <w:autoRedefine/>
    <w:qFormat/>
    <w:pPr>
      <w:keepNext/>
      <w:spacing w:before="240" w:after="120" w:line="240" w:lineRule="auto"/>
      <w:ind w:left="720" w:hanging="720"/>
      <w:outlineLvl w:val="1"/>
    </w:pPr>
    <w:rPr>
      <w:rFonts w:ascii="Arial" w:eastAsia="Times New Roman" w:hAnsi="Arial" w:cs="Arial"/>
      <w:b/>
      <w:bCs/>
      <w:i/>
      <w:iCs/>
      <w:sz w:val="28"/>
      <w:szCs w:val="28"/>
      <w:lang w:eastAsia="en-GB"/>
    </w:rPr>
  </w:style>
  <w:style w:type="paragraph" w:styleId="Heading3">
    <w:name w:val="heading 3"/>
    <w:aliases w:val="Heading 3 Auto"/>
    <w:basedOn w:val="Normal"/>
    <w:next w:val="Normal"/>
    <w:link w:val="Heading3Char"/>
    <w:autoRedefine/>
    <w:qFormat/>
    <w:pPr>
      <w:keepNext/>
      <w:numPr>
        <w:ilvl w:val="2"/>
      </w:numPr>
      <w:tabs>
        <w:tab w:val="num" w:pos="850"/>
      </w:tabs>
      <w:spacing w:before="120" w:after="120" w:line="240" w:lineRule="auto"/>
      <w:ind w:left="850" w:hanging="850"/>
      <w:jc w:val="both"/>
      <w:outlineLvl w:val="2"/>
    </w:pPr>
    <w:rPr>
      <w:rFonts w:ascii="Arial" w:eastAsia="Times New Roman" w:hAnsi="Arial" w:cs="Arial"/>
      <w:b/>
      <w:bCs/>
      <w:i/>
      <w:sz w:val="26"/>
      <w:szCs w:val="26"/>
      <w:lang w:eastAsia="en-GB"/>
    </w:rPr>
  </w:style>
  <w:style w:type="paragraph" w:styleId="Heading4">
    <w:name w:val="heading 4"/>
    <w:basedOn w:val="Normal"/>
    <w:next w:val="Normal"/>
    <w:link w:val="Heading4Char"/>
    <w:qFormat/>
    <w:pPr>
      <w:keepNext/>
      <w:numPr>
        <w:ilvl w:val="3"/>
      </w:numPr>
      <w:tabs>
        <w:tab w:val="num" w:pos="1030"/>
      </w:tabs>
      <w:spacing w:before="120" w:after="120" w:line="240" w:lineRule="auto"/>
      <w:ind w:left="1030" w:hanging="850"/>
      <w:jc w:val="both"/>
      <w:outlineLvl w:val="3"/>
    </w:pPr>
    <w:rPr>
      <w:rFonts w:ascii="Times New Roman" w:eastAsia="Times New Roman" w:hAnsi="Times New Roman" w:cs="Times New Roman"/>
      <w:b/>
      <w:bCs/>
      <w:sz w:val="24"/>
      <w:szCs w:val="28"/>
      <w:lang w:eastAsia="de-DE"/>
    </w:rPr>
  </w:style>
  <w:style w:type="paragraph" w:styleId="Heading5">
    <w:name w:val="heading 5"/>
    <w:basedOn w:val="Normal"/>
    <w:next w:val="Normal"/>
    <w:link w:val="Heading5Char"/>
    <w:uiPriority w:val="99"/>
    <w:qFormat/>
    <w:pPr>
      <w:spacing w:before="240" w:after="60" w:line="240" w:lineRule="auto"/>
      <w:jc w:val="both"/>
      <w:outlineLvl w:val="4"/>
    </w:pPr>
    <w:rPr>
      <w:rFonts w:ascii="Arial" w:eastAsiaTheme="majorEastAsia" w:hAnsi="Arial" w:cs="Arial"/>
    </w:rPr>
  </w:style>
  <w:style w:type="paragraph" w:styleId="Heading6">
    <w:name w:val="heading 6"/>
    <w:basedOn w:val="Normal"/>
    <w:next w:val="Normal"/>
    <w:link w:val="Heading6Char"/>
    <w:uiPriority w:val="99"/>
    <w:qFormat/>
    <w:pPr>
      <w:spacing w:before="240" w:after="60" w:line="240" w:lineRule="auto"/>
      <w:jc w:val="both"/>
      <w:outlineLvl w:val="5"/>
    </w:pPr>
    <w:rPr>
      <w:rFonts w:ascii="Arial" w:eastAsiaTheme="majorEastAsia" w:hAnsi="Arial" w:cs="Arial"/>
      <w:i/>
      <w:iCs/>
    </w:rPr>
  </w:style>
  <w:style w:type="paragraph" w:styleId="Heading7">
    <w:name w:val="heading 7"/>
    <w:basedOn w:val="Normal"/>
    <w:next w:val="Normal"/>
    <w:link w:val="Heading7Char"/>
    <w:uiPriority w:val="99"/>
    <w:qFormat/>
    <w:pPr>
      <w:spacing w:before="240" w:after="60" w:line="240" w:lineRule="auto"/>
      <w:jc w:val="both"/>
      <w:outlineLvl w:val="6"/>
    </w:pPr>
    <w:rPr>
      <w:rFonts w:ascii="Arial" w:eastAsiaTheme="majorEastAsia" w:hAnsi="Arial" w:cs="Arial"/>
      <w:szCs w:val="20"/>
    </w:rPr>
  </w:style>
  <w:style w:type="paragraph" w:styleId="Heading8">
    <w:name w:val="heading 8"/>
    <w:basedOn w:val="Normal"/>
    <w:next w:val="Normal"/>
    <w:link w:val="Heading8Char"/>
    <w:uiPriority w:val="99"/>
    <w:qFormat/>
    <w:pPr>
      <w:spacing w:before="240" w:after="60" w:line="240" w:lineRule="auto"/>
      <w:jc w:val="both"/>
      <w:outlineLvl w:val="7"/>
    </w:pPr>
    <w:rPr>
      <w:rFonts w:ascii="Arial" w:eastAsiaTheme="majorEastAsia" w:hAnsi="Arial" w:cs="Arial"/>
      <w:i/>
      <w:iCs/>
      <w:szCs w:val="20"/>
    </w:rPr>
  </w:style>
  <w:style w:type="paragraph" w:styleId="Heading9">
    <w:name w:val="heading 9"/>
    <w:basedOn w:val="Normal"/>
    <w:next w:val="Normal"/>
    <w:link w:val="Heading9Char"/>
    <w:uiPriority w:val="99"/>
    <w:qFormat/>
    <w:pPr>
      <w:spacing w:before="240" w:after="60" w:line="240" w:lineRule="auto"/>
      <w:jc w:val="both"/>
      <w:outlineLvl w:val="8"/>
    </w:pPr>
    <w:rPr>
      <w:rFonts w:ascii="Arial" w:eastAsiaTheme="maj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de-DE"/>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
    <w:rPr>
      <w:vertAlign w:val="superscript"/>
    </w:rPr>
  </w:style>
  <w:style w:type="paragraph" w:customStyle="1" w:styleId="Tiret0">
    <w:name w:val="Tiret 0"/>
    <w:basedOn w:val="Normal"/>
    <w:pPr>
      <w:numPr>
        <w:numId w:val="1"/>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uiPriority w:val="99"/>
    <w:rPr>
      <w:color w:val="0000FF"/>
      <w:u w:val="single"/>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lang w:eastAsia="de-D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Pr>
      <w:rFonts w:ascii="Arial" w:eastAsia="Times New Roman" w:hAnsi="Arial" w:cs="Arial"/>
      <w:b/>
      <w:bCs/>
      <w:kern w:val="32"/>
      <w:sz w:val="32"/>
      <w:szCs w:val="32"/>
      <w:lang w:eastAsia="en-GB"/>
    </w:rPr>
  </w:style>
  <w:style w:type="character" w:customStyle="1" w:styleId="Heading2Char">
    <w:name w:val="Heading 2 Char"/>
    <w:aliases w:val="Char Char, Char Char,Abschnitt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aliases w:val="Heading 3 Auto Char"/>
    <w:basedOn w:val="DefaultParagraphFont"/>
    <w:link w:val="Heading3"/>
    <w:rPr>
      <w:rFonts w:ascii="Arial" w:eastAsia="Times New Roman" w:hAnsi="Arial" w:cs="Arial"/>
      <w:b/>
      <w:bCs/>
      <w:i/>
      <w:sz w:val="26"/>
      <w:szCs w:val="26"/>
      <w:lang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4"/>
      <w:szCs w:val="28"/>
      <w:lang w:eastAsia="de-DE"/>
    </w:rPr>
  </w:style>
  <w:style w:type="character" w:customStyle="1" w:styleId="Heading5Char">
    <w:name w:val="Heading 5 Char"/>
    <w:basedOn w:val="DefaultParagraphFont"/>
    <w:link w:val="Heading5"/>
    <w:uiPriority w:val="99"/>
    <w:rPr>
      <w:rFonts w:ascii="Arial" w:eastAsiaTheme="majorEastAsia" w:hAnsi="Arial" w:cs="Arial"/>
    </w:rPr>
  </w:style>
  <w:style w:type="character" w:customStyle="1" w:styleId="Heading6Char">
    <w:name w:val="Heading 6 Char"/>
    <w:basedOn w:val="DefaultParagraphFont"/>
    <w:link w:val="Heading6"/>
    <w:uiPriority w:val="99"/>
    <w:rPr>
      <w:rFonts w:ascii="Arial" w:eastAsiaTheme="majorEastAsia" w:hAnsi="Arial" w:cs="Arial"/>
      <w:i/>
      <w:iCs/>
    </w:rPr>
  </w:style>
  <w:style w:type="character" w:customStyle="1" w:styleId="Heading7Char">
    <w:name w:val="Heading 7 Char"/>
    <w:basedOn w:val="DefaultParagraphFont"/>
    <w:link w:val="Heading7"/>
    <w:uiPriority w:val="99"/>
    <w:rPr>
      <w:rFonts w:ascii="Arial" w:eastAsiaTheme="majorEastAsia" w:hAnsi="Arial" w:cs="Arial"/>
      <w:szCs w:val="20"/>
    </w:rPr>
  </w:style>
  <w:style w:type="character" w:customStyle="1" w:styleId="Heading8Char">
    <w:name w:val="Heading 8 Char"/>
    <w:basedOn w:val="DefaultParagraphFont"/>
    <w:link w:val="Heading8"/>
    <w:uiPriority w:val="99"/>
    <w:rPr>
      <w:rFonts w:ascii="Arial" w:eastAsiaTheme="majorEastAsia" w:hAnsi="Arial" w:cs="Arial"/>
      <w:i/>
      <w:iCs/>
      <w:szCs w:val="20"/>
    </w:rPr>
  </w:style>
  <w:style w:type="character" w:customStyle="1" w:styleId="Heading9Char">
    <w:name w:val="Heading 9 Char"/>
    <w:basedOn w:val="DefaultParagraphFont"/>
    <w:link w:val="Heading9"/>
    <w:uiPriority w:val="99"/>
    <w:rPr>
      <w:rFonts w:ascii="Arial" w:eastAsiaTheme="majorEastAsia" w:hAnsi="Arial" w:cs="Arial"/>
      <w:i/>
      <w:iCs/>
      <w:sz w:val="18"/>
      <w:szCs w:val="18"/>
    </w:rPr>
  </w:style>
  <w:style w:type="paragraph" w:styleId="TOC1">
    <w:name w:val="toc 1"/>
    <w:basedOn w:val="Normal"/>
    <w:next w:val="Normal"/>
    <w:uiPriority w:val="39"/>
    <w:qFormat/>
    <w:pPr>
      <w:spacing w:before="120" w:after="120" w:line="240" w:lineRule="auto"/>
    </w:pPr>
    <w:rPr>
      <w:rFonts w:ascii="Times New Roman" w:eastAsia="Times New Roman" w:hAnsi="Times New Roman" w:cs="Times New Roman"/>
      <w:b/>
      <w:bCs/>
      <w:caps/>
      <w:sz w:val="20"/>
      <w:szCs w:val="20"/>
      <w:lang w:eastAsia="en-GB"/>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ListDash">
    <w:name w:val="List Dash"/>
    <w:basedOn w:val="Normal"/>
    <w:link w:val="ListDashChar"/>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lang w:eastAsia="de-DE"/>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lang w:eastAsia="de-DE"/>
    </w:rPr>
  </w:style>
  <w:style w:type="paragraph" w:styleId="TOC2">
    <w:name w:val="toc 2"/>
    <w:basedOn w:val="Normal"/>
    <w:next w:val="Normal"/>
    <w:autoRedefine/>
    <w:uiPriority w:val="39"/>
    <w:qFormat/>
    <w:pPr>
      <w:spacing w:after="0" w:line="240" w:lineRule="auto"/>
      <w:ind w:left="240"/>
    </w:pPr>
    <w:rPr>
      <w:rFonts w:ascii="Times New Roman" w:eastAsia="Times New Roman" w:hAnsi="Times New Roman" w:cs="Times New Roman"/>
      <w:smallCaps/>
      <w:sz w:val="20"/>
      <w:szCs w:val="20"/>
      <w:lang w:eastAsia="en-GB"/>
    </w:rPr>
  </w:style>
  <w:style w:type="paragraph" w:styleId="TOC3">
    <w:name w:val="toc 3"/>
    <w:basedOn w:val="Normal"/>
    <w:next w:val="Normal"/>
    <w:autoRedefine/>
    <w:qFormat/>
    <w:pPr>
      <w:spacing w:after="0" w:line="240" w:lineRule="auto"/>
      <w:ind w:left="480"/>
    </w:pPr>
    <w:rPr>
      <w:rFonts w:ascii="Times New Roman" w:eastAsia="Times New Roman" w:hAnsi="Times New Roman" w:cs="Times New Roman"/>
      <w:i/>
      <w:iCs/>
      <w:sz w:val="20"/>
      <w:szCs w:val="20"/>
      <w:lang w:eastAsia="en-GB"/>
    </w:rPr>
  </w:style>
  <w:style w:type="paragraph" w:styleId="TOC4">
    <w:name w:val="toc 4"/>
    <w:basedOn w:val="Normal"/>
    <w:next w:val="Normal"/>
    <w:autoRedefine/>
    <w:semiHidden/>
    <w:pPr>
      <w:spacing w:after="0" w:line="240" w:lineRule="auto"/>
      <w:ind w:left="720"/>
    </w:pPr>
    <w:rPr>
      <w:rFonts w:ascii="Times New Roman" w:eastAsia="Times New Roman" w:hAnsi="Times New Roman" w:cs="Times New Roman"/>
      <w:sz w:val="18"/>
      <w:szCs w:val="18"/>
      <w:lang w:eastAsia="en-GB"/>
    </w:rPr>
  </w:style>
  <w:style w:type="paragraph" w:styleId="TOC5">
    <w:name w:val="toc 5"/>
    <w:basedOn w:val="Normal"/>
    <w:next w:val="Normal"/>
    <w:autoRedefine/>
    <w:semiHidden/>
    <w:pPr>
      <w:spacing w:after="0" w:line="240" w:lineRule="auto"/>
      <w:ind w:left="960"/>
    </w:pPr>
    <w:rPr>
      <w:rFonts w:ascii="Times New Roman" w:eastAsia="Times New Roman" w:hAnsi="Times New Roman" w:cs="Times New Roman"/>
      <w:sz w:val="18"/>
      <w:szCs w:val="18"/>
      <w:lang w:eastAsia="en-GB"/>
    </w:rPr>
  </w:style>
  <w:style w:type="paragraph" w:styleId="TOC6">
    <w:name w:val="toc 6"/>
    <w:basedOn w:val="Normal"/>
    <w:next w:val="Normal"/>
    <w:autoRedefine/>
    <w:semiHidden/>
    <w:pPr>
      <w:spacing w:after="0" w:line="240" w:lineRule="auto"/>
      <w:ind w:left="1200"/>
    </w:pPr>
    <w:rPr>
      <w:rFonts w:ascii="Times New Roman" w:eastAsia="Times New Roman" w:hAnsi="Times New Roman" w:cs="Times New Roman"/>
      <w:sz w:val="18"/>
      <w:szCs w:val="18"/>
      <w:lang w:eastAsia="en-GB"/>
    </w:rPr>
  </w:style>
  <w:style w:type="paragraph" w:styleId="TOC7">
    <w:name w:val="toc 7"/>
    <w:basedOn w:val="Normal"/>
    <w:next w:val="Normal"/>
    <w:autoRedefine/>
    <w:semiHidden/>
    <w:pPr>
      <w:spacing w:after="0" w:line="240" w:lineRule="auto"/>
      <w:ind w:left="1440"/>
    </w:pPr>
    <w:rPr>
      <w:rFonts w:ascii="Times New Roman" w:eastAsia="Times New Roman" w:hAnsi="Times New Roman" w:cs="Times New Roman"/>
      <w:sz w:val="18"/>
      <w:szCs w:val="18"/>
      <w:lang w:eastAsia="en-GB"/>
    </w:rPr>
  </w:style>
  <w:style w:type="paragraph" w:styleId="TOC8">
    <w:name w:val="toc 8"/>
    <w:basedOn w:val="Normal"/>
    <w:next w:val="Normal"/>
    <w:autoRedefine/>
    <w:semiHidden/>
    <w:pPr>
      <w:spacing w:after="0" w:line="240" w:lineRule="auto"/>
      <w:ind w:left="1680"/>
    </w:pPr>
    <w:rPr>
      <w:rFonts w:ascii="Times New Roman" w:eastAsia="Times New Roman" w:hAnsi="Times New Roman" w:cs="Times New Roman"/>
      <w:sz w:val="18"/>
      <w:szCs w:val="18"/>
      <w:lang w:eastAsia="en-GB"/>
    </w:rPr>
  </w:style>
  <w:style w:type="paragraph" w:styleId="TOC9">
    <w:name w:val="toc 9"/>
    <w:basedOn w:val="Normal"/>
    <w:next w:val="Normal"/>
    <w:autoRedefine/>
    <w:semiHidden/>
    <w:pPr>
      <w:spacing w:after="0" w:line="240" w:lineRule="auto"/>
      <w:ind w:left="1920"/>
    </w:pPr>
    <w:rPr>
      <w:rFonts w:ascii="Times New Roman" w:eastAsia="Times New Roman" w:hAnsi="Times New Roman" w:cs="Times New Roman"/>
      <w:sz w:val="18"/>
      <w:szCs w:val="18"/>
      <w:lang w:eastAsia="en-GB"/>
    </w:rPr>
  </w:style>
  <w:style w:type="paragraph" w:styleId="ListBullet">
    <w:name w:val="List Bullet"/>
    <w:basedOn w:val="Normal"/>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pPr>
      <w:tabs>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customStyle="1" w:styleId="ListBullet1">
    <w:name w:val="List Bullet 1"/>
    <w:basedOn w:val="Text1"/>
    <w:pPr>
      <w:numPr>
        <w:numId w:val="6"/>
      </w:numPr>
      <w:spacing w:before="0" w:after="240"/>
    </w:pPr>
    <w:rPr>
      <w:szCs w:val="20"/>
      <w:lang w:eastAsia="en-US"/>
    </w:rPr>
  </w:style>
  <w:style w:type="paragraph" w:styleId="ListBullet2">
    <w:name w:val="List Bullet 2"/>
    <w:basedOn w:val="Normal"/>
    <w:pPr>
      <w:numPr>
        <w:numId w:val="7"/>
      </w:numPr>
      <w:spacing w:after="240" w:line="240" w:lineRule="auto"/>
      <w:jc w:val="both"/>
    </w:pPr>
    <w:rPr>
      <w:rFonts w:ascii="Times New Roman" w:eastAsia="Times New Roman" w:hAnsi="Times New Roman" w:cs="Times New Roman"/>
      <w:sz w:val="24"/>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4"/>
    </w:rPr>
  </w:style>
  <w:style w:type="character" w:styleId="Emphasis">
    <w:name w:val="Emphasis"/>
    <w:qFormat/>
    <w:rPr>
      <w:i/>
      <w:iCs/>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Number">
    <w:name w:val="List Number"/>
    <w:basedOn w:val="Normal"/>
    <w:pPr>
      <w:numPr>
        <w:numId w:val="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pPr>
      <w:numPr>
        <w:ilvl w:val="1"/>
        <w:numId w:val="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3">
    <w:name w:val="List Number (Level 3)"/>
    <w:basedOn w:val="Normal"/>
    <w:pPr>
      <w:numPr>
        <w:ilvl w:val="2"/>
        <w:numId w:val="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4">
    <w:name w:val="List Number (Level 4)"/>
    <w:basedOn w:val="Normal"/>
    <w:pPr>
      <w:numPr>
        <w:ilvl w:val="3"/>
        <w:numId w:val="9"/>
      </w:numPr>
      <w:spacing w:before="120" w:after="120" w:line="240" w:lineRule="auto"/>
      <w:jc w:val="both"/>
    </w:pPr>
    <w:rPr>
      <w:rFonts w:ascii="Times New Roman" w:eastAsia="Times New Roman" w:hAnsi="Times New Roman" w:cs="Times New Roman"/>
      <w:sz w:val="24"/>
      <w:szCs w:val="24"/>
      <w:lang w:eastAsia="de-DE"/>
    </w:rPr>
  </w:style>
  <w:style w:type="character" w:customStyle="1" w:styleId="ListDashChar">
    <w:name w:val="List Dash Char"/>
    <w:link w:val="ListDash"/>
    <w:rPr>
      <w:rFonts w:ascii="Times New Roman" w:eastAsia="Times New Roman" w:hAnsi="Times New Roman" w:cs="Times New Roman"/>
      <w:sz w:val="24"/>
      <w:szCs w:val="24"/>
      <w:lang w:eastAsia="de-DE"/>
    </w:rPr>
  </w:style>
  <w:style w:type="paragraph" w:customStyle="1" w:styleId="StyleManualHeading2Italic">
    <w:name w:val="Style Manual Heading 2 + Italic"/>
    <w:basedOn w:val="ManualHeading2"/>
    <w:autoRedefine/>
    <w:pPr>
      <w:spacing w:before="160" w:after="160"/>
      <w:ind w:left="851" w:hanging="851"/>
    </w:pPr>
    <w:rPr>
      <w:bCs/>
      <w:i/>
      <w:iCs/>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cs="Times New Roman"/>
      <w:sz w:val="24"/>
      <w:szCs w:val="24"/>
      <w:lang w:eastAsia="de-DE"/>
    </w:rPr>
  </w:style>
  <w:style w:type="paragraph" w:customStyle="1" w:styleId="NormalLeft">
    <w:name w:val="Normal Left"/>
    <w:basedOn w:val="Normal"/>
    <w:uiPriority w:val="99"/>
    <w:pPr>
      <w:spacing w:before="120" w:after="120" w:line="240" w:lineRule="auto"/>
    </w:pPr>
    <w:rPr>
      <w:rFonts w:ascii="Times New Roman" w:eastAsia="Times New Roman" w:hAnsi="Times New Roman" w:cs="Times New Roman"/>
      <w:sz w:val="24"/>
      <w:szCs w:val="24"/>
      <w:lang w:eastAsia="en-GB"/>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2">
    <w:name w:val="NumPar 2"/>
    <w:basedOn w:val="Normal"/>
    <w:next w:val="Normal"/>
    <w:pPr>
      <w:numPr>
        <w:ilvl w:val="1"/>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3">
    <w:name w:val="NumPar 3"/>
    <w:basedOn w:val="Normal"/>
    <w:next w:val="Normal"/>
    <w:pPr>
      <w:numPr>
        <w:ilvl w:val="2"/>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4">
    <w:name w:val="NumPar 4"/>
    <w:basedOn w:val="Normal"/>
    <w:next w:val="Normal"/>
    <w:pPr>
      <w:numPr>
        <w:ilvl w:val="3"/>
        <w:numId w:val="10"/>
      </w:numPr>
      <w:spacing w:before="120" w:after="120" w:line="240" w:lineRule="auto"/>
      <w:jc w:val="both"/>
    </w:pPr>
    <w:rPr>
      <w:rFonts w:ascii="Times New Roman" w:eastAsia="Times New Roman" w:hAnsi="Times New Roman" w:cs="Times New Roman"/>
      <w:sz w:val="24"/>
      <w:szCs w:val="24"/>
      <w:lang w:eastAsia="de-DE"/>
    </w:rPr>
  </w:style>
  <w:style w:type="character" w:styleId="CommentReference">
    <w:name w:val="annotation reference"/>
    <w:rPr>
      <w:sz w:val="16"/>
      <w:szCs w:val="16"/>
    </w:rPr>
  </w:style>
  <w:style w:type="paragraph" w:customStyle="1" w:styleId="Statut">
    <w:name w:val="Statut"/>
    <w:basedOn w:val="Normal"/>
    <w:next w:val="Typedudocument"/>
    <w:pPr>
      <w:spacing w:before="360" w:after="0" w:line="240" w:lineRule="auto"/>
      <w:jc w:val="center"/>
    </w:pPr>
    <w:rPr>
      <w:rFonts w:ascii="Times New Roman" w:eastAsia="Calibri"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CommentText">
    <w:name w:val="annotation text"/>
    <w:basedOn w:val="Normal"/>
    <w:link w:val="CommentTextChar"/>
    <w:unhideWhenUs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customStyle="1" w:styleId="Footnoter">
    <w:name w:val="Footnote r"/>
    <w:basedOn w:val="Normal"/>
    <w:pPr>
      <w:shd w:val="clear" w:color="auto" w:fill="F2F8FB"/>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hps">
    <w:name w:val="hps"/>
  </w:style>
  <w:style w:type="paragraph" w:customStyle="1" w:styleId="Tiret2">
    <w:name w:val="Tiret 2"/>
    <w:basedOn w:val="Normal"/>
    <w:pPr>
      <w:numPr>
        <w:numId w:val="11"/>
      </w:numPr>
      <w:spacing w:before="120" w:after="120" w:line="240" w:lineRule="auto"/>
      <w:jc w:val="both"/>
    </w:pPr>
    <w:rPr>
      <w:rFonts w:ascii="Times New Roman" w:eastAsia="Times New Roman" w:hAnsi="Times New Roman" w:cs="Times New Roman"/>
      <w:sz w:val="24"/>
      <w:lang w:eastAsia="en-GB"/>
    </w:rPr>
  </w:style>
  <w:style w:type="paragraph" w:styleId="ListNumber5">
    <w:name w:val="List Number 5"/>
    <w:basedOn w:val="Normal"/>
    <w:pPr>
      <w:numPr>
        <w:numId w:val="12"/>
      </w:numPr>
      <w:spacing w:after="0" w:line="240" w:lineRule="auto"/>
      <w:contextualSpacing/>
    </w:pPr>
    <w:rPr>
      <w:rFonts w:ascii="Times New Roman" w:eastAsia="Times New Roman" w:hAnsi="Times New Roman" w:cs="Times New Roman"/>
      <w:sz w:val="24"/>
      <w:szCs w:val="24"/>
      <w:lang w:eastAsia="en-GB"/>
    </w:rPr>
  </w:style>
  <w:style w:type="character" w:styleId="Strong">
    <w:name w:val="Strong"/>
    <w:basedOn w:val="DefaultParagraphFont"/>
    <w:qFormat/>
    <w:rPr>
      <w:b/>
      <w:bCs/>
    </w:rPr>
  </w:style>
  <w:style w:type="paragraph" w:styleId="ListBullet3">
    <w:name w:val="List Bullet 3"/>
    <w:basedOn w:val="Normal"/>
    <w:uiPriority w:val="99"/>
    <w:unhideWhenUsed/>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customStyle="1" w:styleId="CM4">
    <w:name w:val="CM4"/>
    <w:basedOn w:val="Normal"/>
    <w:next w:val="Normal"/>
    <w:uiPriority w:val="99"/>
    <w:pPr>
      <w:autoSpaceDE w:val="0"/>
      <w:autoSpaceDN w:val="0"/>
      <w:adjustRightInd w:val="0"/>
      <w:spacing w:after="0" w:line="240" w:lineRule="auto"/>
    </w:pPr>
    <w:rPr>
      <w:rFonts w:ascii="EUAlbertina" w:eastAsia="Times New Roman" w:hAnsi="EUAlbertina" w:cs="Times New Roman"/>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cs="Times New Roman"/>
      <w:b/>
      <w:bCs/>
      <w:sz w:val="24"/>
      <w:szCs w:val="24"/>
      <w:lang w:eastAsia="en-GB"/>
    </w:rPr>
  </w:style>
  <w:style w:type="character" w:customStyle="1" w:styleId="SubtleEmphasis1">
    <w:name w:val="Subtle Emphasis1"/>
    <w:rPr>
      <w:i/>
      <w:iCs/>
      <w:color w:val="808080"/>
    </w:rPr>
  </w:style>
  <w:style w:type="character" w:customStyle="1" w:styleId="IntenseEmphasis1">
    <w:name w:val="Intense Emphasis1"/>
    <w:rPr>
      <w:b/>
      <w:bCs/>
      <w:i/>
      <w:iCs/>
      <w:color w:val="4F81BD"/>
    </w:rPr>
  </w:style>
  <w:style w:type="character" w:customStyle="1" w:styleId="SubtleReference1">
    <w:name w:val="Subtle Reference1"/>
    <w:rPr>
      <w:smallCaps/>
      <w:color w:val="C0504D"/>
      <w:u w:val="single"/>
    </w:rPr>
  </w:style>
  <w:style w:type="character" w:customStyle="1" w:styleId="IntenseReference1">
    <w:name w:val="Intense Reference1"/>
    <w:rPr>
      <w:b/>
      <w:bCs/>
      <w:smallCaps/>
      <w:color w:val="C0504D"/>
      <w:spacing w:val="5"/>
      <w:u w:val="single"/>
    </w:rPr>
  </w:style>
  <w:style w:type="character" w:customStyle="1" w:styleId="BookTitle1">
    <w:name w:val="Book Title1"/>
    <w:rPr>
      <w:b/>
      <w:bCs/>
      <w:smallCaps/>
      <w:spacing w:val="5"/>
    </w:rPr>
  </w:style>
  <w:style w:type="paragraph" w:customStyle="1" w:styleId="TOCHeading1">
    <w:name w:val="TOC Heading1"/>
    <w:basedOn w:val="Heading1"/>
    <w:next w:val="Normal"/>
    <w:uiPriority w:val="39"/>
    <w:pPr>
      <w:keepNext w:val="0"/>
      <w:keepLines/>
      <w:spacing w:before="480" w:after="0"/>
      <w:jc w:val="both"/>
      <w:outlineLvl w:val="9"/>
    </w:pPr>
    <w:rPr>
      <w:rFonts w:ascii="Cambria" w:hAnsi="Cambria" w:cs="Times New Roman"/>
      <w:color w:val="365F91"/>
      <w:kern w:val="0"/>
      <w:sz w:val="28"/>
      <w:szCs w:val="28"/>
      <w:lang w:eastAsia="en-US"/>
    </w:rPr>
  </w:style>
  <w:style w:type="character" w:customStyle="1" w:styleId="SubtleEmphasis2">
    <w:name w:val="Subtle Emphasis2"/>
    <w:rPr>
      <w:i/>
      <w:iCs/>
      <w:color w:val="808080"/>
    </w:rPr>
  </w:style>
  <w:style w:type="character" w:customStyle="1" w:styleId="IntenseEmphasis2">
    <w:name w:val="Intense Emphasis2"/>
    <w:rPr>
      <w:b/>
      <w:bCs/>
      <w:i/>
      <w:iCs/>
      <w:color w:val="4F81BD"/>
    </w:rPr>
  </w:style>
  <w:style w:type="character" w:customStyle="1" w:styleId="SubtleReference2">
    <w:name w:val="Subtle Reference2"/>
    <w:rPr>
      <w:smallCaps/>
      <w:color w:val="C0504D"/>
      <w:u w:val="single"/>
    </w:rPr>
  </w:style>
  <w:style w:type="character" w:customStyle="1" w:styleId="IntenseReference2">
    <w:name w:val="Intense Reference2"/>
    <w:rPr>
      <w:b/>
      <w:bCs/>
      <w:smallCaps/>
      <w:color w:val="C0504D"/>
      <w:spacing w:val="5"/>
      <w:u w:val="single"/>
    </w:rPr>
  </w:style>
  <w:style w:type="character" w:customStyle="1" w:styleId="BookTitle2">
    <w:name w:val="Book Title2"/>
    <w:rPr>
      <w:b/>
      <w:bCs/>
      <w:smallCaps/>
      <w:spacing w:val="5"/>
    </w:rPr>
  </w:style>
  <w:style w:type="paragraph" w:customStyle="1" w:styleId="TOCHeading2">
    <w:name w:val="TOC Heading2"/>
    <w:basedOn w:val="Heading1"/>
    <w:next w:val="Normal"/>
    <w:uiPriority w:val="39"/>
    <w:pPr>
      <w:keepNext w:val="0"/>
      <w:keepLines/>
      <w:spacing w:before="480" w:after="0"/>
      <w:jc w:val="both"/>
      <w:outlineLvl w:val="9"/>
    </w:pPr>
    <w:rPr>
      <w:rFonts w:ascii="Cambria" w:hAnsi="Cambria" w:cs="Times New Roman"/>
      <w:color w:val="365F91"/>
      <w:kern w:val="0"/>
      <w:sz w:val="28"/>
      <w:szCs w:val="28"/>
      <w:lang w:eastAsia="en-US"/>
    </w:rPr>
  </w:style>
  <w:style w:type="paragraph" w:styleId="Caption">
    <w:name w:val="caption"/>
    <w:basedOn w:val="Normal"/>
    <w:next w:val="Normal"/>
    <w:semiHidden/>
    <w:unhideWhenUsed/>
    <w:qFormat/>
    <w:pPr>
      <w:spacing w:after="200" w:line="240" w:lineRule="auto"/>
    </w:pPr>
    <w:rPr>
      <w:rFonts w:ascii="Times New Roman" w:eastAsia="Times New Roman" w:hAnsi="Times New Roman" w:cs="Times New Roman"/>
      <w:b/>
      <w:bCs/>
      <w:color w:val="5B9BD5" w:themeColor="accent1"/>
      <w:sz w:val="18"/>
      <w:szCs w:val="18"/>
    </w:rPr>
  </w:style>
  <w:style w:type="paragraph" w:styleId="Title">
    <w:name w:val="Title"/>
    <w:basedOn w:val="Normal"/>
    <w:link w:val="TitleChar"/>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link w:val="SubtitleChar"/>
    <w:qFormat/>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5B9BD5" w:themeColor="accent1"/>
      <w:spacing w:val="15"/>
      <w:sz w:val="24"/>
      <w:szCs w:val="24"/>
    </w:rPr>
  </w:style>
  <w:style w:type="paragraph" w:customStyle="1" w:styleId="agbullets">
    <w:name w:val="ag_bullets"/>
    <w:basedOn w:val="Normal"/>
    <w:qFormat/>
    <w:pPr>
      <w:numPr>
        <w:numId w:val="14"/>
      </w:numPr>
      <w:spacing w:after="0" w:line="240" w:lineRule="auto"/>
    </w:pPr>
    <w:rPr>
      <w:rFonts w:ascii="Times New Roman" w:eastAsia="Times New Roman" w:hAnsi="Times New Roman" w:cs="Times New Roman"/>
      <w:szCs w:val="20"/>
    </w:rPr>
  </w:style>
  <w:style w:type="paragraph" w:customStyle="1" w:styleId="agtabbullets">
    <w:name w:val="ag_tab_bullets"/>
    <w:basedOn w:val="Normal"/>
    <w:qFormat/>
    <w:pPr>
      <w:numPr>
        <w:numId w:val="15"/>
      </w:numPr>
      <w:spacing w:after="0" w:line="240" w:lineRule="auto"/>
      <w:jc w:val="both"/>
    </w:pPr>
    <w:rPr>
      <w:rFonts w:ascii="Times New Roman" w:eastAsia="Times New Roman" w:hAnsi="Times New Roman" w:cs="Times New Roman"/>
      <w:sz w:val="18"/>
      <w:szCs w:val="20"/>
    </w:rPr>
  </w:style>
  <w:style w:type="paragraph" w:customStyle="1" w:styleId="agfootnote">
    <w:name w:val="ag_footnote"/>
    <w:basedOn w:val="Normal"/>
    <w:qFormat/>
    <w:pPr>
      <w:spacing w:after="120" w:line="240" w:lineRule="auto"/>
      <w:jc w:val="both"/>
    </w:pPr>
    <w:rPr>
      <w:rFonts w:ascii="Times New Roman" w:eastAsia="Times New Roman" w:hAnsi="Times New Roman" w:cs="Times New Roman"/>
      <w:sz w:val="16"/>
      <w:szCs w:val="20"/>
    </w:rPr>
  </w:style>
  <w:style w:type="numbering" w:customStyle="1" w:styleId="NoList1">
    <w:name w:val="No List1"/>
    <w:next w:val="NoList"/>
    <w:uiPriority w:val="99"/>
    <w:semiHidden/>
    <w:unhideWhenUsed/>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Bullet" w:uiPriority="0"/>
    <w:lsdException w:name="List Number" w:uiPriority="0"/>
    <w:lsdException w:name="List Bullet 2"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pPr>
      <w:keepNext/>
      <w:spacing w:before="240" w:after="120" w:line="240" w:lineRule="auto"/>
      <w:outlineLvl w:val="0"/>
    </w:pPr>
    <w:rPr>
      <w:rFonts w:ascii="Arial" w:eastAsia="Times New Roman" w:hAnsi="Arial" w:cs="Arial"/>
      <w:b/>
      <w:bCs/>
      <w:kern w:val="32"/>
      <w:sz w:val="32"/>
      <w:szCs w:val="32"/>
      <w:lang w:eastAsia="en-GB"/>
    </w:rPr>
  </w:style>
  <w:style w:type="paragraph" w:styleId="Heading2">
    <w:name w:val="heading 2"/>
    <w:aliases w:val="Char, Char,Abschnitt"/>
    <w:basedOn w:val="Normal"/>
    <w:next w:val="Normal"/>
    <w:link w:val="Heading2Char"/>
    <w:autoRedefine/>
    <w:qFormat/>
    <w:pPr>
      <w:keepNext/>
      <w:spacing w:before="240" w:after="120" w:line="240" w:lineRule="auto"/>
      <w:ind w:left="720" w:hanging="720"/>
      <w:outlineLvl w:val="1"/>
    </w:pPr>
    <w:rPr>
      <w:rFonts w:ascii="Arial" w:eastAsia="Times New Roman" w:hAnsi="Arial" w:cs="Arial"/>
      <w:b/>
      <w:bCs/>
      <w:i/>
      <w:iCs/>
      <w:sz w:val="28"/>
      <w:szCs w:val="28"/>
      <w:lang w:eastAsia="en-GB"/>
    </w:rPr>
  </w:style>
  <w:style w:type="paragraph" w:styleId="Heading3">
    <w:name w:val="heading 3"/>
    <w:aliases w:val="Heading 3 Auto"/>
    <w:basedOn w:val="Normal"/>
    <w:next w:val="Normal"/>
    <w:link w:val="Heading3Char"/>
    <w:autoRedefine/>
    <w:qFormat/>
    <w:pPr>
      <w:keepNext/>
      <w:numPr>
        <w:ilvl w:val="2"/>
      </w:numPr>
      <w:tabs>
        <w:tab w:val="num" w:pos="850"/>
      </w:tabs>
      <w:spacing w:before="120" w:after="120" w:line="240" w:lineRule="auto"/>
      <w:ind w:left="850" w:hanging="850"/>
      <w:jc w:val="both"/>
      <w:outlineLvl w:val="2"/>
    </w:pPr>
    <w:rPr>
      <w:rFonts w:ascii="Arial" w:eastAsia="Times New Roman" w:hAnsi="Arial" w:cs="Arial"/>
      <w:b/>
      <w:bCs/>
      <w:i/>
      <w:sz w:val="26"/>
      <w:szCs w:val="26"/>
      <w:lang w:eastAsia="en-GB"/>
    </w:rPr>
  </w:style>
  <w:style w:type="paragraph" w:styleId="Heading4">
    <w:name w:val="heading 4"/>
    <w:basedOn w:val="Normal"/>
    <w:next w:val="Normal"/>
    <w:link w:val="Heading4Char"/>
    <w:qFormat/>
    <w:pPr>
      <w:keepNext/>
      <w:numPr>
        <w:ilvl w:val="3"/>
      </w:numPr>
      <w:tabs>
        <w:tab w:val="num" w:pos="1030"/>
      </w:tabs>
      <w:spacing w:before="120" w:after="120" w:line="240" w:lineRule="auto"/>
      <w:ind w:left="1030" w:hanging="850"/>
      <w:jc w:val="both"/>
      <w:outlineLvl w:val="3"/>
    </w:pPr>
    <w:rPr>
      <w:rFonts w:ascii="Times New Roman" w:eastAsia="Times New Roman" w:hAnsi="Times New Roman" w:cs="Times New Roman"/>
      <w:b/>
      <w:bCs/>
      <w:sz w:val="24"/>
      <w:szCs w:val="28"/>
      <w:lang w:eastAsia="de-DE"/>
    </w:rPr>
  </w:style>
  <w:style w:type="paragraph" w:styleId="Heading5">
    <w:name w:val="heading 5"/>
    <w:basedOn w:val="Normal"/>
    <w:next w:val="Normal"/>
    <w:link w:val="Heading5Char"/>
    <w:uiPriority w:val="99"/>
    <w:qFormat/>
    <w:pPr>
      <w:spacing w:before="240" w:after="60" w:line="240" w:lineRule="auto"/>
      <w:jc w:val="both"/>
      <w:outlineLvl w:val="4"/>
    </w:pPr>
    <w:rPr>
      <w:rFonts w:ascii="Arial" w:eastAsiaTheme="majorEastAsia" w:hAnsi="Arial" w:cs="Arial"/>
    </w:rPr>
  </w:style>
  <w:style w:type="paragraph" w:styleId="Heading6">
    <w:name w:val="heading 6"/>
    <w:basedOn w:val="Normal"/>
    <w:next w:val="Normal"/>
    <w:link w:val="Heading6Char"/>
    <w:uiPriority w:val="99"/>
    <w:qFormat/>
    <w:pPr>
      <w:spacing w:before="240" w:after="60" w:line="240" w:lineRule="auto"/>
      <w:jc w:val="both"/>
      <w:outlineLvl w:val="5"/>
    </w:pPr>
    <w:rPr>
      <w:rFonts w:ascii="Arial" w:eastAsiaTheme="majorEastAsia" w:hAnsi="Arial" w:cs="Arial"/>
      <w:i/>
      <w:iCs/>
    </w:rPr>
  </w:style>
  <w:style w:type="paragraph" w:styleId="Heading7">
    <w:name w:val="heading 7"/>
    <w:basedOn w:val="Normal"/>
    <w:next w:val="Normal"/>
    <w:link w:val="Heading7Char"/>
    <w:uiPriority w:val="99"/>
    <w:qFormat/>
    <w:pPr>
      <w:spacing w:before="240" w:after="60" w:line="240" w:lineRule="auto"/>
      <w:jc w:val="both"/>
      <w:outlineLvl w:val="6"/>
    </w:pPr>
    <w:rPr>
      <w:rFonts w:ascii="Arial" w:eastAsiaTheme="majorEastAsia" w:hAnsi="Arial" w:cs="Arial"/>
      <w:szCs w:val="20"/>
    </w:rPr>
  </w:style>
  <w:style w:type="paragraph" w:styleId="Heading8">
    <w:name w:val="heading 8"/>
    <w:basedOn w:val="Normal"/>
    <w:next w:val="Normal"/>
    <w:link w:val="Heading8Char"/>
    <w:uiPriority w:val="99"/>
    <w:qFormat/>
    <w:pPr>
      <w:spacing w:before="240" w:after="60" w:line="240" w:lineRule="auto"/>
      <w:jc w:val="both"/>
      <w:outlineLvl w:val="7"/>
    </w:pPr>
    <w:rPr>
      <w:rFonts w:ascii="Arial" w:eastAsiaTheme="majorEastAsia" w:hAnsi="Arial" w:cs="Arial"/>
      <w:i/>
      <w:iCs/>
      <w:szCs w:val="20"/>
    </w:rPr>
  </w:style>
  <w:style w:type="paragraph" w:styleId="Heading9">
    <w:name w:val="heading 9"/>
    <w:basedOn w:val="Normal"/>
    <w:next w:val="Normal"/>
    <w:link w:val="Heading9Char"/>
    <w:uiPriority w:val="99"/>
    <w:qFormat/>
    <w:pPr>
      <w:spacing w:before="240" w:after="60" w:line="240" w:lineRule="auto"/>
      <w:jc w:val="both"/>
      <w:outlineLvl w:val="8"/>
    </w:pPr>
    <w:rPr>
      <w:rFonts w:ascii="Arial" w:eastAsiaTheme="maj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de-DE"/>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
    <w:rPr>
      <w:vertAlign w:val="superscript"/>
    </w:rPr>
  </w:style>
  <w:style w:type="paragraph" w:customStyle="1" w:styleId="Tiret0">
    <w:name w:val="Tiret 0"/>
    <w:basedOn w:val="Normal"/>
    <w:pPr>
      <w:numPr>
        <w:numId w:val="1"/>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uiPriority w:val="99"/>
    <w:rPr>
      <w:color w:val="0000FF"/>
      <w:u w:val="single"/>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lang w:eastAsia="de-D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Pr>
      <w:rFonts w:ascii="Arial" w:eastAsia="Times New Roman" w:hAnsi="Arial" w:cs="Arial"/>
      <w:b/>
      <w:bCs/>
      <w:kern w:val="32"/>
      <w:sz w:val="32"/>
      <w:szCs w:val="32"/>
      <w:lang w:eastAsia="en-GB"/>
    </w:rPr>
  </w:style>
  <w:style w:type="character" w:customStyle="1" w:styleId="Heading2Char">
    <w:name w:val="Heading 2 Char"/>
    <w:aliases w:val="Char Char, Char Char,Abschnitt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aliases w:val="Heading 3 Auto Char"/>
    <w:basedOn w:val="DefaultParagraphFont"/>
    <w:link w:val="Heading3"/>
    <w:rPr>
      <w:rFonts w:ascii="Arial" w:eastAsia="Times New Roman" w:hAnsi="Arial" w:cs="Arial"/>
      <w:b/>
      <w:bCs/>
      <w:i/>
      <w:sz w:val="26"/>
      <w:szCs w:val="26"/>
      <w:lang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4"/>
      <w:szCs w:val="28"/>
      <w:lang w:eastAsia="de-DE"/>
    </w:rPr>
  </w:style>
  <w:style w:type="character" w:customStyle="1" w:styleId="Heading5Char">
    <w:name w:val="Heading 5 Char"/>
    <w:basedOn w:val="DefaultParagraphFont"/>
    <w:link w:val="Heading5"/>
    <w:uiPriority w:val="99"/>
    <w:rPr>
      <w:rFonts w:ascii="Arial" w:eastAsiaTheme="majorEastAsia" w:hAnsi="Arial" w:cs="Arial"/>
    </w:rPr>
  </w:style>
  <w:style w:type="character" w:customStyle="1" w:styleId="Heading6Char">
    <w:name w:val="Heading 6 Char"/>
    <w:basedOn w:val="DefaultParagraphFont"/>
    <w:link w:val="Heading6"/>
    <w:uiPriority w:val="99"/>
    <w:rPr>
      <w:rFonts w:ascii="Arial" w:eastAsiaTheme="majorEastAsia" w:hAnsi="Arial" w:cs="Arial"/>
      <w:i/>
      <w:iCs/>
    </w:rPr>
  </w:style>
  <w:style w:type="character" w:customStyle="1" w:styleId="Heading7Char">
    <w:name w:val="Heading 7 Char"/>
    <w:basedOn w:val="DefaultParagraphFont"/>
    <w:link w:val="Heading7"/>
    <w:uiPriority w:val="99"/>
    <w:rPr>
      <w:rFonts w:ascii="Arial" w:eastAsiaTheme="majorEastAsia" w:hAnsi="Arial" w:cs="Arial"/>
      <w:szCs w:val="20"/>
    </w:rPr>
  </w:style>
  <w:style w:type="character" w:customStyle="1" w:styleId="Heading8Char">
    <w:name w:val="Heading 8 Char"/>
    <w:basedOn w:val="DefaultParagraphFont"/>
    <w:link w:val="Heading8"/>
    <w:uiPriority w:val="99"/>
    <w:rPr>
      <w:rFonts w:ascii="Arial" w:eastAsiaTheme="majorEastAsia" w:hAnsi="Arial" w:cs="Arial"/>
      <w:i/>
      <w:iCs/>
      <w:szCs w:val="20"/>
    </w:rPr>
  </w:style>
  <w:style w:type="character" w:customStyle="1" w:styleId="Heading9Char">
    <w:name w:val="Heading 9 Char"/>
    <w:basedOn w:val="DefaultParagraphFont"/>
    <w:link w:val="Heading9"/>
    <w:uiPriority w:val="99"/>
    <w:rPr>
      <w:rFonts w:ascii="Arial" w:eastAsiaTheme="majorEastAsia" w:hAnsi="Arial" w:cs="Arial"/>
      <w:i/>
      <w:iCs/>
      <w:sz w:val="18"/>
      <w:szCs w:val="18"/>
    </w:rPr>
  </w:style>
  <w:style w:type="paragraph" w:styleId="TOC1">
    <w:name w:val="toc 1"/>
    <w:basedOn w:val="Normal"/>
    <w:next w:val="Normal"/>
    <w:uiPriority w:val="39"/>
    <w:qFormat/>
    <w:pPr>
      <w:spacing w:before="120" w:after="120" w:line="240" w:lineRule="auto"/>
    </w:pPr>
    <w:rPr>
      <w:rFonts w:ascii="Times New Roman" w:eastAsia="Times New Roman" w:hAnsi="Times New Roman" w:cs="Times New Roman"/>
      <w:b/>
      <w:bCs/>
      <w:caps/>
      <w:sz w:val="20"/>
      <w:szCs w:val="20"/>
      <w:lang w:eastAsia="en-GB"/>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ListDash">
    <w:name w:val="List Dash"/>
    <w:basedOn w:val="Normal"/>
    <w:link w:val="ListDashChar"/>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lang w:eastAsia="de-DE"/>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lang w:eastAsia="de-DE"/>
    </w:rPr>
  </w:style>
  <w:style w:type="paragraph" w:styleId="TOC2">
    <w:name w:val="toc 2"/>
    <w:basedOn w:val="Normal"/>
    <w:next w:val="Normal"/>
    <w:autoRedefine/>
    <w:uiPriority w:val="39"/>
    <w:qFormat/>
    <w:pPr>
      <w:spacing w:after="0" w:line="240" w:lineRule="auto"/>
      <w:ind w:left="240"/>
    </w:pPr>
    <w:rPr>
      <w:rFonts w:ascii="Times New Roman" w:eastAsia="Times New Roman" w:hAnsi="Times New Roman" w:cs="Times New Roman"/>
      <w:smallCaps/>
      <w:sz w:val="20"/>
      <w:szCs w:val="20"/>
      <w:lang w:eastAsia="en-GB"/>
    </w:rPr>
  </w:style>
  <w:style w:type="paragraph" w:styleId="TOC3">
    <w:name w:val="toc 3"/>
    <w:basedOn w:val="Normal"/>
    <w:next w:val="Normal"/>
    <w:autoRedefine/>
    <w:qFormat/>
    <w:pPr>
      <w:spacing w:after="0" w:line="240" w:lineRule="auto"/>
      <w:ind w:left="480"/>
    </w:pPr>
    <w:rPr>
      <w:rFonts w:ascii="Times New Roman" w:eastAsia="Times New Roman" w:hAnsi="Times New Roman" w:cs="Times New Roman"/>
      <w:i/>
      <w:iCs/>
      <w:sz w:val="20"/>
      <w:szCs w:val="20"/>
      <w:lang w:eastAsia="en-GB"/>
    </w:rPr>
  </w:style>
  <w:style w:type="paragraph" w:styleId="TOC4">
    <w:name w:val="toc 4"/>
    <w:basedOn w:val="Normal"/>
    <w:next w:val="Normal"/>
    <w:autoRedefine/>
    <w:semiHidden/>
    <w:pPr>
      <w:spacing w:after="0" w:line="240" w:lineRule="auto"/>
      <w:ind w:left="720"/>
    </w:pPr>
    <w:rPr>
      <w:rFonts w:ascii="Times New Roman" w:eastAsia="Times New Roman" w:hAnsi="Times New Roman" w:cs="Times New Roman"/>
      <w:sz w:val="18"/>
      <w:szCs w:val="18"/>
      <w:lang w:eastAsia="en-GB"/>
    </w:rPr>
  </w:style>
  <w:style w:type="paragraph" w:styleId="TOC5">
    <w:name w:val="toc 5"/>
    <w:basedOn w:val="Normal"/>
    <w:next w:val="Normal"/>
    <w:autoRedefine/>
    <w:semiHidden/>
    <w:pPr>
      <w:spacing w:after="0" w:line="240" w:lineRule="auto"/>
      <w:ind w:left="960"/>
    </w:pPr>
    <w:rPr>
      <w:rFonts w:ascii="Times New Roman" w:eastAsia="Times New Roman" w:hAnsi="Times New Roman" w:cs="Times New Roman"/>
      <w:sz w:val="18"/>
      <w:szCs w:val="18"/>
      <w:lang w:eastAsia="en-GB"/>
    </w:rPr>
  </w:style>
  <w:style w:type="paragraph" w:styleId="TOC6">
    <w:name w:val="toc 6"/>
    <w:basedOn w:val="Normal"/>
    <w:next w:val="Normal"/>
    <w:autoRedefine/>
    <w:semiHidden/>
    <w:pPr>
      <w:spacing w:after="0" w:line="240" w:lineRule="auto"/>
      <w:ind w:left="1200"/>
    </w:pPr>
    <w:rPr>
      <w:rFonts w:ascii="Times New Roman" w:eastAsia="Times New Roman" w:hAnsi="Times New Roman" w:cs="Times New Roman"/>
      <w:sz w:val="18"/>
      <w:szCs w:val="18"/>
      <w:lang w:eastAsia="en-GB"/>
    </w:rPr>
  </w:style>
  <w:style w:type="paragraph" w:styleId="TOC7">
    <w:name w:val="toc 7"/>
    <w:basedOn w:val="Normal"/>
    <w:next w:val="Normal"/>
    <w:autoRedefine/>
    <w:semiHidden/>
    <w:pPr>
      <w:spacing w:after="0" w:line="240" w:lineRule="auto"/>
      <w:ind w:left="1440"/>
    </w:pPr>
    <w:rPr>
      <w:rFonts w:ascii="Times New Roman" w:eastAsia="Times New Roman" w:hAnsi="Times New Roman" w:cs="Times New Roman"/>
      <w:sz w:val="18"/>
      <w:szCs w:val="18"/>
      <w:lang w:eastAsia="en-GB"/>
    </w:rPr>
  </w:style>
  <w:style w:type="paragraph" w:styleId="TOC8">
    <w:name w:val="toc 8"/>
    <w:basedOn w:val="Normal"/>
    <w:next w:val="Normal"/>
    <w:autoRedefine/>
    <w:semiHidden/>
    <w:pPr>
      <w:spacing w:after="0" w:line="240" w:lineRule="auto"/>
      <w:ind w:left="1680"/>
    </w:pPr>
    <w:rPr>
      <w:rFonts w:ascii="Times New Roman" w:eastAsia="Times New Roman" w:hAnsi="Times New Roman" w:cs="Times New Roman"/>
      <w:sz w:val="18"/>
      <w:szCs w:val="18"/>
      <w:lang w:eastAsia="en-GB"/>
    </w:rPr>
  </w:style>
  <w:style w:type="paragraph" w:styleId="TOC9">
    <w:name w:val="toc 9"/>
    <w:basedOn w:val="Normal"/>
    <w:next w:val="Normal"/>
    <w:autoRedefine/>
    <w:semiHidden/>
    <w:pPr>
      <w:spacing w:after="0" w:line="240" w:lineRule="auto"/>
      <w:ind w:left="1920"/>
    </w:pPr>
    <w:rPr>
      <w:rFonts w:ascii="Times New Roman" w:eastAsia="Times New Roman" w:hAnsi="Times New Roman" w:cs="Times New Roman"/>
      <w:sz w:val="18"/>
      <w:szCs w:val="18"/>
      <w:lang w:eastAsia="en-GB"/>
    </w:rPr>
  </w:style>
  <w:style w:type="paragraph" w:styleId="ListBullet">
    <w:name w:val="List Bullet"/>
    <w:basedOn w:val="Normal"/>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pPr>
      <w:tabs>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customStyle="1" w:styleId="ListBullet1">
    <w:name w:val="List Bullet 1"/>
    <w:basedOn w:val="Text1"/>
    <w:pPr>
      <w:numPr>
        <w:numId w:val="6"/>
      </w:numPr>
      <w:spacing w:before="0" w:after="240"/>
    </w:pPr>
    <w:rPr>
      <w:szCs w:val="20"/>
      <w:lang w:eastAsia="en-US"/>
    </w:rPr>
  </w:style>
  <w:style w:type="paragraph" w:styleId="ListBullet2">
    <w:name w:val="List Bullet 2"/>
    <w:basedOn w:val="Normal"/>
    <w:pPr>
      <w:numPr>
        <w:numId w:val="7"/>
      </w:numPr>
      <w:spacing w:after="240" w:line="240" w:lineRule="auto"/>
      <w:jc w:val="both"/>
    </w:pPr>
    <w:rPr>
      <w:rFonts w:ascii="Times New Roman" w:eastAsia="Times New Roman" w:hAnsi="Times New Roman" w:cs="Times New Roman"/>
      <w:sz w:val="24"/>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4"/>
    </w:rPr>
  </w:style>
  <w:style w:type="character" w:styleId="Emphasis">
    <w:name w:val="Emphasis"/>
    <w:qFormat/>
    <w:rPr>
      <w:i/>
      <w:iCs/>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Number">
    <w:name w:val="List Number"/>
    <w:basedOn w:val="Normal"/>
    <w:pPr>
      <w:numPr>
        <w:numId w:val="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pPr>
      <w:numPr>
        <w:ilvl w:val="1"/>
        <w:numId w:val="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3">
    <w:name w:val="List Number (Level 3)"/>
    <w:basedOn w:val="Normal"/>
    <w:pPr>
      <w:numPr>
        <w:ilvl w:val="2"/>
        <w:numId w:val="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4">
    <w:name w:val="List Number (Level 4)"/>
    <w:basedOn w:val="Normal"/>
    <w:pPr>
      <w:numPr>
        <w:ilvl w:val="3"/>
        <w:numId w:val="9"/>
      </w:numPr>
      <w:spacing w:before="120" w:after="120" w:line="240" w:lineRule="auto"/>
      <w:jc w:val="both"/>
    </w:pPr>
    <w:rPr>
      <w:rFonts w:ascii="Times New Roman" w:eastAsia="Times New Roman" w:hAnsi="Times New Roman" w:cs="Times New Roman"/>
      <w:sz w:val="24"/>
      <w:szCs w:val="24"/>
      <w:lang w:eastAsia="de-DE"/>
    </w:rPr>
  </w:style>
  <w:style w:type="character" w:customStyle="1" w:styleId="ListDashChar">
    <w:name w:val="List Dash Char"/>
    <w:link w:val="ListDash"/>
    <w:rPr>
      <w:rFonts w:ascii="Times New Roman" w:eastAsia="Times New Roman" w:hAnsi="Times New Roman" w:cs="Times New Roman"/>
      <w:sz w:val="24"/>
      <w:szCs w:val="24"/>
      <w:lang w:eastAsia="de-DE"/>
    </w:rPr>
  </w:style>
  <w:style w:type="paragraph" w:customStyle="1" w:styleId="StyleManualHeading2Italic">
    <w:name w:val="Style Manual Heading 2 + Italic"/>
    <w:basedOn w:val="ManualHeading2"/>
    <w:autoRedefine/>
    <w:pPr>
      <w:spacing w:before="160" w:after="160"/>
      <w:ind w:left="851" w:hanging="851"/>
    </w:pPr>
    <w:rPr>
      <w:bCs/>
      <w:i/>
      <w:iCs/>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cs="Times New Roman"/>
      <w:sz w:val="24"/>
      <w:szCs w:val="24"/>
      <w:lang w:eastAsia="de-DE"/>
    </w:rPr>
  </w:style>
  <w:style w:type="paragraph" w:customStyle="1" w:styleId="NormalLeft">
    <w:name w:val="Normal Left"/>
    <w:basedOn w:val="Normal"/>
    <w:uiPriority w:val="99"/>
    <w:pPr>
      <w:spacing w:before="120" w:after="120" w:line="240" w:lineRule="auto"/>
    </w:pPr>
    <w:rPr>
      <w:rFonts w:ascii="Times New Roman" w:eastAsia="Times New Roman" w:hAnsi="Times New Roman" w:cs="Times New Roman"/>
      <w:sz w:val="24"/>
      <w:szCs w:val="24"/>
      <w:lang w:eastAsia="en-GB"/>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2">
    <w:name w:val="NumPar 2"/>
    <w:basedOn w:val="Normal"/>
    <w:next w:val="Normal"/>
    <w:pPr>
      <w:numPr>
        <w:ilvl w:val="1"/>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3">
    <w:name w:val="NumPar 3"/>
    <w:basedOn w:val="Normal"/>
    <w:next w:val="Normal"/>
    <w:pPr>
      <w:numPr>
        <w:ilvl w:val="2"/>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4">
    <w:name w:val="NumPar 4"/>
    <w:basedOn w:val="Normal"/>
    <w:next w:val="Normal"/>
    <w:pPr>
      <w:numPr>
        <w:ilvl w:val="3"/>
        <w:numId w:val="10"/>
      </w:numPr>
      <w:spacing w:before="120" w:after="120" w:line="240" w:lineRule="auto"/>
      <w:jc w:val="both"/>
    </w:pPr>
    <w:rPr>
      <w:rFonts w:ascii="Times New Roman" w:eastAsia="Times New Roman" w:hAnsi="Times New Roman" w:cs="Times New Roman"/>
      <w:sz w:val="24"/>
      <w:szCs w:val="24"/>
      <w:lang w:eastAsia="de-DE"/>
    </w:rPr>
  </w:style>
  <w:style w:type="character" w:styleId="CommentReference">
    <w:name w:val="annotation reference"/>
    <w:rPr>
      <w:sz w:val="16"/>
      <w:szCs w:val="16"/>
    </w:rPr>
  </w:style>
  <w:style w:type="paragraph" w:customStyle="1" w:styleId="Statut">
    <w:name w:val="Statut"/>
    <w:basedOn w:val="Normal"/>
    <w:next w:val="Typedudocument"/>
    <w:pPr>
      <w:spacing w:before="360" w:after="0" w:line="240" w:lineRule="auto"/>
      <w:jc w:val="center"/>
    </w:pPr>
    <w:rPr>
      <w:rFonts w:ascii="Times New Roman" w:eastAsia="Calibri"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CommentText">
    <w:name w:val="annotation text"/>
    <w:basedOn w:val="Normal"/>
    <w:link w:val="CommentTextChar"/>
    <w:unhideWhenUs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customStyle="1" w:styleId="Footnoter">
    <w:name w:val="Footnote r"/>
    <w:basedOn w:val="Normal"/>
    <w:pPr>
      <w:shd w:val="clear" w:color="auto" w:fill="F2F8FB"/>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hps">
    <w:name w:val="hps"/>
  </w:style>
  <w:style w:type="paragraph" w:customStyle="1" w:styleId="Tiret2">
    <w:name w:val="Tiret 2"/>
    <w:basedOn w:val="Normal"/>
    <w:pPr>
      <w:numPr>
        <w:numId w:val="11"/>
      </w:numPr>
      <w:spacing w:before="120" w:after="120" w:line="240" w:lineRule="auto"/>
      <w:jc w:val="both"/>
    </w:pPr>
    <w:rPr>
      <w:rFonts w:ascii="Times New Roman" w:eastAsia="Times New Roman" w:hAnsi="Times New Roman" w:cs="Times New Roman"/>
      <w:sz w:val="24"/>
      <w:lang w:eastAsia="en-GB"/>
    </w:rPr>
  </w:style>
  <w:style w:type="paragraph" w:styleId="ListNumber5">
    <w:name w:val="List Number 5"/>
    <w:basedOn w:val="Normal"/>
    <w:pPr>
      <w:numPr>
        <w:numId w:val="12"/>
      </w:numPr>
      <w:spacing w:after="0" w:line="240" w:lineRule="auto"/>
      <w:contextualSpacing/>
    </w:pPr>
    <w:rPr>
      <w:rFonts w:ascii="Times New Roman" w:eastAsia="Times New Roman" w:hAnsi="Times New Roman" w:cs="Times New Roman"/>
      <w:sz w:val="24"/>
      <w:szCs w:val="24"/>
      <w:lang w:eastAsia="en-GB"/>
    </w:rPr>
  </w:style>
  <w:style w:type="character" w:styleId="Strong">
    <w:name w:val="Strong"/>
    <w:basedOn w:val="DefaultParagraphFont"/>
    <w:qFormat/>
    <w:rPr>
      <w:b/>
      <w:bCs/>
    </w:rPr>
  </w:style>
  <w:style w:type="paragraph" w:styleId="ListBullet3">
    <w:name w:val="List Bullet 3"/>
    <w:basedOn w:val="Normal"/>
    <w:uiPriority w:val="99"/>
    <w:unhideWhenUsed/>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customStyle="1" w:styleId="CM4">
    <w:name w:val="CM4"/>
    <w:basedOn w:val="Normal"/>
    <w:next w:val="Normal"/>
    <w:uiPriority w:val="99"/>
    <w:pPr>
      <w:autoSpaceDE w:val="0"/>
      <w:autoSpaceDN w:val="0"/>
      <w:adjustRightInd w:val="0"/>
      <w:spacing w:after="0" w:line="240" w:lineRule="auto"/>
    </w:pPr>
    <w:rPr>
      <w:rFonts w:ascii="EUAlbertina" w:eastAsia="Times New Roman" w:hAnsi="EUAlbertina" w:cs="Times New Roman"/>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cs="Times New Roman"/>
      <w:b/>
      <w:bCs/>
      <w:sz w:val="24"/>
      <w:szCs w:val="24"/>
      <w:lang w:eastAsia="en-GB"/>
    </w:rPr>
  </w:style>
  <w:style w:type="character" w:customStyle="1" w:styleId="SubtleEmphasis1">
    <w:name w:val="Subtle Emphasis1"/>
    <w:rPr>
      <w:i/>
      <w:iCs/>
      <w:color w:val="808080"/>
    </w:rPr>
  </w:style>
  <w:style w:type="character" w:customStyle="1" w:styleId="IntenseEmphasis1">
    <w:name w:val="Intense Emphasis1"/>
    <w:rPr>
      <w:b/>
      <w:bCs/>
      <w:i/>
      <w:iCs/>
      <w:color w:val="4F81BD"/>
    </w:rPr>
  </w:style>
  <w:style w:type="character" w:customStyle="1" w:styleId="SubtleReference1">
    <w:name w:val="Subtle Reference1"/>
    <w:rPr>
      <w:smallCaps/>
      <w:color w:val="C0504D"/>
      <w:u w:val="single"/>
    </w:rPr>
  </w:style>
  <w:style w:type="character" w:customStyle="1" w:styleId="IntenseReference1">
    <w:name w:val="Intense Reference1"/>
    <w:rPr>
      <w:b/>
      <w:bCs/>
      <w:smallCaps/>
      <w:color w:val="C0504D"/>
      <w:spacing w:val="5"/>
      <w:u w:val="single"/>
    </w:rPr>
  </w:style>
  <w:style w:type="character" w:customStyle="1" w:styleId="BookTitle1">
    <w:name w:val="Book Title1"/>
    <w:rPr>
      <w:b/>
      <w:bCs/>
      <w:smallCaps/>
      <w:spacing w:val="5"/>
    </w:rPr>
  </w:style>
  <w:style w:type="paragraph" w:customStyle="1" w:styleId="TOCHeading1">
    <w:name w:val="TOC Heading1"/>
    <w:basedOn w:val="Heading1"/>
    <w:next w:val="Normal"/>
    <w:uiPriority w:val="39"/>
    <w:pPr>
      <w:keepNext w:val="0"/>
      <w:keepLines/>
      <w:spacing w:before="480" w:after="0"/>
      <w:jc w:val="both"/>
      <w:outlineLvl w:val="9"/>
    </w:pPr>
    <w:rPr>
      <w:rFonts w:ascii="Cambria" w:hAnsi="Cambria" w:cs="Times New Roman"/>
      <w:color w:val="365F91"/>
      <w:kern w:val="0"/>
      <w:sz w:val="28"/>
      <w:szCs w:val="28"/>
      <w:lang w:eastAsia="en-US"/>
    </w:rPr>
  </w:style>
  <w:style w:type="character" w:customStyle="1" w:styleId="SubtleEmphasis2">
    <w:name w:val="Subtle Emphasis2"/>
    <w:rPr>
      <w:i/>
      <w:iCs/>
      <w:color w:val="808080"/>
    </w:rPr>
  </w:style>
  <w:style w:type="character" w:customStyle="1" w:styleId="IntenseEmphasis2">
    <w:name w:val="Intense Emphasis2"/>
    <w:rPr>
      <w:b/>
      <w:bCs/>
      <w:i/>
      <w:iCs/>
      <w:color w:val="4F81BD"/>
    </w:rPr>
  </w:style>
  <w:style w:type="character" w:customStyle="1" w:styleId="SubtleReference2">
    <w:name w:val="Subtle Reference2"/>
    <w:rPr>
      <w:smallCaps/>
      <w:color w:val="C0504D"/>
      <w:u w:val="single"/>
    </w:rPr>
  </w:style>
  <w:style w:type="character" w:customStyle="1" w:styleId="IntenseReference2">
    <w:name w:val="Intense Reference2"/>
    <w:rPr>
      <w:b/>
      <w:bCs/>
      <w:smallCaps/>
      <w:color w:val="C0504D"/>
      <w:spacing w:val="5"/>
      <w:u w:val="single"/>
    </w:rPr>
  </w:style>
  <w:style w:type="character" w:customStyle="1" w:styleId="BookTitle2">
    <w:name w:val="Book Title2"/>
    <w:rPr>
      <w:b/>
      <w:bCs/>
      <w:smallCaps/>
      <w:spacing w:val="5"/>
    </w:rPr>
  </w:style>
  <w:style w:type="paragraph" w:customStyle="1" w:styleId="TOCHeading2">
    <w:name w:val="TOC Heading2"/>
    <w:basedOn w:val="Heading1"/>
    <w:next w:val="Normal"/>
    <w:uiPriority w:val="39"/>
    <w:pPr>
      <w:keepNext w:val="0"/>
      <w:keepLines/>
      <w:spacing w:before="480" w:after="0"/>
      <w:jc w:val="both"/>
      <w:outlineLvl w:val="9"/>
    </w:pPr>
    <w:rPr>
      <w:rFonts w:ascii="Cambria" w:hAnsi="Cambria" w:cs="Times New Roman"/>
      <w:color w:val="365F91"/>
      <w:kern w:val="0"/>
      <w:sz w:val="28"/>
      <w:szCs w:val="28"/>
      <w:lang w:eastAsia="en-US"/>
    </w:rPr>
  </w:style>
  <w:style w:type="paragraph" w:styleId="Caption">
    <w:name w:val="caption"/>
    <w:basedOn w:val="Normal"/>
    <w:next w:val="Normal"/>
    <w:semiHidden/>
    <w:unhideWhenUsed/>
    <w:qFormat/>
    <w:pPr>
      <w:spacing w:after="200" w:line="240" w:lineRule="auto"/>
    </w:pPr>
    <w:rPr>
      <w:rFonts w:ascii="Times New Roman" w:eastAsia="Times New Roman" w:hAnsi="Times New Roman" w:cs="Times New Roman"/>
      <w:b/>
      <w:bCs/>
      <w:color w:val="5B9BD5" w:themeColor="accent1"/>
      <w:sz w:val="18"/>
      <w:szCs w:val="18"/>
    </w:rPr>
  </w:style>
  <w:style w:type="paragraph" w:styleId="Title">
    <w:name w:val="Title"/>
    <w:basedOn w:val="Normal"/>
    <w:link w:val="TitleChar"/>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link w:val="SubtitleChar"/>
    <w:qFormat/>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5B9BD5" w:themeColor="accent1"/>
      <w:spacing w:val="15"/>
      <w:sz w:val="24"/>
      <w:szCs w:val="24"/>
    </w:rPr>
  </w:style>
  <w:style w:type="paragraph" w:customStyle="1" w:styleId="agbullets">
    <w:name w:val="ag_bullets"/>
    <w:basedOn w:val="Normal"/>
    <w:qFormat/>
    <w:pPr>
      <w:numPr>
        <w:numId w:val="14"/>
      </w:numPr>
      <w:spacing w:after="0" w:line="240" w:lineRule="auto"/>
    </w:pPr>
    <w:rPr>
      <w:rFonts w:ascii="Times New Roman" w:eastAsia="Times New Roman" w:hAnsi="Times New Roman" w:cs="Times New Roman"/>
      <w:szCs w:val="20"/>
    </w:rPr>
  </w:style>
  <w:style w:type="paragraph" w:customStyle="1" w:styleId="agtabbullets">
    <w:name w:val="ag_tab_bullets"/>
    <w:basedOn w:val="Normal"/>
    <w:qFormat/>
    <w:pPr>
      <w:numPr>
        <w:numId w:val="15"/>
      </w:numPr>
      <w:spacing w:after="0" w:line="240" w:lineRule="auto"/>
      <w:jc w:val="both"/>
    </w:pPr>
    <w:rPr>
      <w:rFonts w:ascii="Times New Roman" w:eastAsia="Times New Roman" w:hAnsi="Times New Roman" w:cs="Times New Roman"/>
      <w:sz w:val="18"/>
      <w:szCs w:val="20"/>
    </w:rPr>
  </w:style>
  <w:style w:type="paragraph" w:customStyle="1" w:styleId="agfootnote">
    <w:name w:val="ag_footnote"/>
    <w:basedOn w:val="Normal"/>
    <w:qFormat/>
    <w:pPr>
      <w:spacing w:after="120" w:line="240" w:lineRule="auto"/>
      <w:jc w:val="both"/>
    </w:pPr>
    <w:rPr>
      <w:rFonts w:ascii="Times New Roman" w:eastAsia="Times New Roman" w:hAnsi="Times New Roman" w:cs="Times New Roman"/>
      <w:sz w:val="16"/>
      <w:szCs w:val="20"/>
    </w:rPr>
  </w:style>
  <w:style w:type="numbering" w:customStyle="1" w:styleId="NoList1">
    <w:name w:val="No List1"/>
    <w:next w:val="NoList"/>
    <w:uiPriority w:val="99"/>
    <w:semiHidden/>
    <w:unhideWhenUsed/>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eur-lex.europa.eu/budget/www/index-da.htm" TargetMode="Externa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2217</Words>
  <Characters>12219</Characters>
  <Application>Microsoft Office Word</Application>
  <DocSecurity>0</DocSecurity>
  <Lines>555</Lines>
  <Paragraphs>335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2020-04-02T07:32:00Z</dcterms:created>
  <dcterms:modified xsi:type="dcterms:W3CDTF">2020-04-03T16:32:00Z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7.0.1, Build 20190916</vt:lpwstr>
  </property>
  <property fmtid="{D5CDD505-2E9C-101B-9397-08002B2CF9AE}" pid="8" name="Created using">
    <vt:lpwstr>LW 7.0, Build 20190717</vt:lpwstr>
  </property>
</Properties>
</file>