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E2BE898-615C-4E89-957F-C1B4C3C6683F" style="width:451.25pt;height:365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Európai Parlament és a Tanács 2019. november 27-én úgy határozott, hogy a Bizottság javaslatának megfelelően 778,1 millió EUR összegben igénybe veszi a Rugalmassági Eszközt a 3. fejezet (</w:t>
      </w:r>
      <w:r>
        <w:rPr>
          <w:i/>
          <w:noProof/>
        </w:rPr>
        <w:t>Biztonság és uniós polgárság</w:t>
      </w:r>
      <w:r>
        <w:rPr>
          <w:noProof/>
        </w:rPr>
        <w:t>) céljaira ((EU) 2020/265 határozat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>).</w:t>
      </w:r>
    </w:p>
    <w:p>
      <w:pPr>
        <w:rPr>
          <w:noProof/>
        </w:rPr>
      </w:pPr>
      <w:r>
        <w:rPr>
          <w:noProof/>
        </w:rPr>
        <w:t>A Bizottság 2020. március 27-én benyújtotta az 1/2020. számú költségvetés-módosítási tervezetet</w:t>
      </w:r>
      <w:r>
        <w:rPr>
          <w:rStyle w:val="FootnoteReference"/>
          <w:noProof/>
        </w:rPr>
        <w:footnoteReference w:id="2"/>
      </w:r>
      <w:r>
        <w:rPr>
          <w:noProof/>
        </w:rPr>
        <w:t>. Ez többek között magában foglalta a 3. fejezetben a kötelezettségvállalási előirányzatok összesen 423,3 millió EUR összegű emelését a Görögországban megnövekedett migrációs nyomás miatt felmerült szükségletek fedezésére, a COVID-19-járvánnyal összefüggésben szükséges azonnali intézkedések (a rescEU keretében az orvostechnikai felszerelések vadonatúj készlete) finanszírozására, valamint az Európai Ügyészség költségvetésének növelésére. A Bizottság az 1/2020. számú költségvetés-módosítási tervezetben azt javasolta, hogy a kötelezettségvállalásokra vonatkozó összesített tartalék 2018-ból rendelkezésre álló összegéből használjanak fel 350,0 millió EUR-t az emelés migrációhoz kapcsolódó részének fedezésére. A Bizottság javasolta továbbá, hogy az emelés fennmaradó részét (73,3 millió EUR) a Rugalmassági Eszközből igénybe vett összeg megfelelő kiigazítása révén finanszírozzák, és terjesszék ki az (EU) 2020/265 határozat célját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bCs/>
          <w:noProof/>
        </w:rPr>
      </w:pPr>
      <w:r>
        <w:rPr>
          <w:noProof/>
        </w:rPr>
        <w:t>A Bizottság a mai napon benyújtja a 2/2020. számú költségvetés-módosítási tervezetet</w:t>
      </w:r>
      <w:r>
        <w:rPr>
          <w:rStyle w:val="FootnoteReference"/>
          <w:noProof/>
        </w:rPr>
        <w:footnoteReference w:id="4"/>
      </w:r>
      <w:r>
        <w:rPr>
          <w:noProof/>
        </w:rPr>
        <w:t>, amely a 3. fejezet kötelezettségvállalási előirányzatainak további, 3 000,0 millió EUR összegű emelését tartalmazza, hogy fedezze az Unión belüli szükséghelyzeti támogatásnyújtás eszköze annak érdekében történő újbóli működésbe léptetését, hogy segítse a tagállamokat a COVID-19-járvány következményeinek kezelésében, valamint tovább erősítse az uniós polgári védelmi mechanizmust/rescEU-t az alapvető erőforrások Európa-szerte történő szélesebb körű felhalmozásának és elosztásuk összehangolásának megkönnyítése céljából. Tekintettel arra, hogy a 3. fejezeten belül nincs lehetőség átcsoportosításra, és összhangban a szintén ma benyújtott, a többéves pénzügyi keretről szóló rendelet módosítására irányuló azon javaslattal, amely megszünteti az ezen eszköz alkalmazási körére vonatkozó korlátozásokat</w:t>
      </w:r>
      <w:r>
        <w:rPr>
          <w:rStyle w:val="FootnoteReference"/>
          <w:noProof/>
        </w:rPr>
        <w:footnoteReference w:id="5"/>
      </w:r>
      <w:r>
        <w:rPr>
          <w:noProof/>
        </w:rPr>
        <w:t>, a Bizottság ezen emelés fedezésére a 2/2020. számú költségvetés-módosítási tervezetben javasolja a kötelezettségvállalásokra vonatkozó összesített tartalék igénybevételét az e speciális eszköz keretében rendelkezésre álló 2 042,4 millió EUR-s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teljes összeg tekintetében. </w:t>
      </w:r>
    </w:p>
    <w:p>
      <w:pPr>
        <w:rPr>
          <w:noProof/>
        </w:rPr>
      </w:pPr>
      <w:r>
        <w:rPr>
          <w:noProof/>
        </w:rPr>
        <w:t>A Rugalmassági Eszköz igénybevételére vonatkozó határozatjavaslat ezenfelül módosítja a 2019. november 27-i (EU) 2020/265 határozatot, és felváltja az 1/2020. számú költségvetés-módosítási tervezettel együtt előterjesztett módosítást. Ez az új javaslat ezért a 3. fejezet kötelezettségvállalási előirányzatainak az 1/2020. és 2/2020. számú költségvetés-módosítási tervezetben szereplő összesített emelésére vonatkozik, az igénybe veendő teljes összeget 1 094,4 millió EUR-ra</w:t>
      </w:r>
      <w:r>
        <w:rPr>
          <w:rStyle w:val="FootnoteReference"/>
          <w:bCs/>
          <w:noProof/>
        </w:rPr>
        <w:footnoteReference w:id="7"/>
      </w:r>
      <w:r>
        <w:rPr>
          <w:noProof/>
        </w:rPr>
        <w:t xml:space="preserve"> emeli, valamint kimeríti az ezen eszköz keretében 2020-ra rendelkezésre álló összeget.</w:t>
      </w:r>
    </w:p>
    <w:p>
      <w:pPr>
        <w:rPr>
          <w:noProof/>
        </w:rPr>
      </w:pPr>
      <w:r>
        <w:rPr>
          <w:noProof/>
        </w:rPr>
        <w:lastRenderedPageBreak/>
        <w:t>Mivel a kötelezettségvállalásokra vonatkozó összesített tartaléknak a 2/2020. számú költségvetés-módosítási tervezetben való felhasználása és a Rugalmassági Eszköz igénybevételére vonatkozó határozatjavaslat nem elegendő az Unión belüli szükséghelyzeti támogatásnyújtás eszköze finanszírozási szükségleteinek fedezésére, a Bizottság a 2/2020. számú költségvetés-módosítási tervezettel együtt külön javaslatot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tesz a rendkívüli tartalék 2020-ra vonatkozó 714,6 millió EUR összegű igénybevételére.</w:t>
      </w:r>
    </w:p>
    <w:p>
      <w:pPr>
        <w:rPr>
          <w:noProof/>
        </w:rPr>
      </w:pPr>
      <w:r>
        <w:rPr>
          <w:noProof/>
        </w:rPr>
        <w:t>A Rugalmassági Eszköz naprakésszé tett igénybevételének megfelelő indikatív kifizetési előirányzatokat az alábbi táblázat tartalmazza:</w:t>
      </w:r>
    </w:p>
    <w:p>
      <w:pPr>
        <w:ind w:left="5040" w:firstLine="720"/>
        <w:jc w:val="left"/>
        <w:rPr>
          <w:noProof/>
        </w:rPr>
      </w:pPr>
      <w:r>
        <w:rPr>
          <w:i/>
          <w:iCs/>
          <w:noProof/>
          <w:sz w:val="16"/>
          <w:szCs w:val="16"/>
        </w:rPr>
        <w:t>(millió EUR-ban, folyó árakon)</w:t>
      </w: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04"/>
      </w:tblGrid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Év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 Rugalmassági Eszköz 2020-as igénybevételéhez kapcsolódó kifizetési előirányzatok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2020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574,6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2021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413,7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2022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66,2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2023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39,9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Összesen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1 094,4</w:t>
            </w:r>
          </w:p>
        </w:tc>
      </w:tr>
    </w:tbl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Javaslat</w:t>
      </w:r>
    </w:p>
    <w:p>
      <w:pPr>
        <w:pStyle w:val="Typedudocument"/>
        <w:rPr>
          <w:noProof/>
        </w:rPr>
      </w:pPr>
      <w:r>
        <w:rPr>
          <w:noProof/>
        </w:rPr>
        <w:t>AZ EURÓPAI PARLAMENT ÉS A TANÁCS HATÁROZATA</w:t>
      </w:r>
    </w:p>
    <w:p>
      <w:pPr>
        <w:pStyle w:val="Titreobjet"/>
        <w:rPr>
          <w:noProof/>
        </w:rPr>
      </w:pPr>
      <w:r>
        <w:rPr>
          <w:noProof/>
        </w:rPr>
        <w:t>az (EU) 2020/265 határozatnak a Rugalmassági Eszközből 2020-ban igénybe vett, a migrációra, a menekültáradatra és a biztonsági fenyegetésekre, a COVID-19-járvánnyal összefüggő azonnali intézkedésekre, valamint az Európai Ügyészség megerősítésére fordítandó összegek kiigazítása tekintetében történő módosításáról</w:t>
      </w:r>
    </w:p>
    <w:p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szerződésre,</w:t>
      </w:r>
    </w:p>
    <w:p>
      <w:pPr>
        <w:rPr>
          <w:noProof/>
        </w:rPr>
      </w:pPr>
      <w:r>
        <w:rPr>
          <w:noProof/>
        </w:rPr>
        <w:t>tekintettel az Európai Parlament, a Tanács és a Bizottság közötti, a költségvetési fegyelemről, a költségvetési ügyekben való együttműködésről és a hatékony és eredményes pénzgazdálkodásról szóló, 2013. december 2-i intézményközi megállapodásra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és különösen annak 12. pontjára,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Rugalmassági Eszköz arra szolgál, hogy az adott pénzügyi évben fedezze azon pontosan meghatározott kiadásokat, amelyeket az Unió általános költségvetése egy vagy több más fejezetének felső határán belül nem lehetne finanszírozni.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1311/2013/EU, Euratom tanácsi rendelet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11. cikke értelmében a Rugalmassági Eszköz céljára rendelkezésre álló éves összeg felső határa (2011-es árakon) 600 000 000 EUR, amelyet adott esetben az említett cikk (1) bekezdésének második albekezdésével összhangban rendelkezésre bocsátott, megszűnt összegek növelnek.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Az Európai Parlament és a Tanács 2019. november 27-én elfogadta a Rugalmassági Eszköz igénybevételére vonatkozó (EU) 2020/265 határozatot</w:t>
      </w:r>
      <w:r>
        <w:rPr>
          <w:rStyle w:val="FootnoteReference"/>
          <w:noProof/>
        </w:rPr>
        <w:footnoteReference w:id="11"/>
      </w:r>
      <w:r>
        <w:rPr>
          <w:noProof/>
        </w:rPr>
        <w:t>, hogy a 2020-as pénzügyi évre 778 074 489 EUR összegű kötelezettségvállalási előirányzatot biztosítson a 3. fejezetben (</w:t>
      </w:r>
      <w:r>
        <w:rPr>
          <w:i/>
          <w:noProof/>
        </w:rPr>
        <w:t>Biztonság és uniós polgárság</w:t>
      </w:r>
      <w:r>
        <w:rPr>
          <w:noProof/>
        </w:rPr>
        <w:t>) a migráció, a menekültügy és a biztonság területén hozott intézkedések finanszírozására.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Az 1/2020. számú költségvetés-módosítási tervezet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többek között a 3. fejezet kötelezettségvállalási előirányzatainak 423 300 000 EUR összegű emelését tartalmazza a Görögországban megnövekedett migrációs nyomásból eredő szükségletek kielégítése, a COVID-19-járvánnyal összefüggésben szükséges azonnali intézkedések finanszírozása, valamint az Európai Ügyészség költségvetése növelésének fedezése érdekében. Ebből az átfogó emelésből 350 000 000 EUR-t az 1311/2013/EU, Euratom tanácsi rendelet 14. cikkében meghatározott, kötelezettségvállalásokra vonatkozó összesített tartalék, 73 300 000 EUR-t pedig a </w:t>
      </w:r>
      <w:r>
        <w:rPr>
          <w:noProof/>
        </w:rPr>
        <w:lastRenderedPageBreak/>
        <w:t xml:space="preserve">Rugalmassági Eszköz 2020-ra vonatkozó további igénybevétele fedez. Ki kell igazítani az indikatív kifizetési profilt is.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 2/2020. számú költségvetés-módosítási tervezet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a 3. fejezet kötelezettségvállalási előirányzatainak további, 3 000 000 000 EUR összegű emelését tartalmazza, hogy fedezze az Unión belüli szükséghelyzeti támogatásnyújtás eszköze annak érdekében történő újbóli működésbe léptetését, hogy segítse a tagállamokat a COVID-19-járvány következményeinek kezelésében, valamint tovább erősítse az uniós polgári védelmi mechanizmust/rescEU-t az alapvető erőforrások Európa-szerte történő szélesebb körű felhalmozásának és elosztásuk összehangolásának megkönnyítése céljából. Ebből az emelésből 2 042 402 163 EUR-t az 1311/2013/EU, Euratom tanácsi rendelet 14. cikkében meghatározott, kötelezettségvállalásokra vonatkozó összesített tartalék, 243 039 699 EUR-t pedig a Rugalmassági Eszköz 2020-ra vonatkozó további igénybevétele fedez. Ki kell igazítani az indikatív kifizetési profilt is.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Az (EU) 2020/265 határozatot ezért ennek megfelelően módosítani kell.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Ennek a határozatnak a 2020. évi költségvetés módosításával egy napon kell hatályba lépnie, mivel a Rugalmassági Eszköz teszi lehetővé néhány intézkedésnek a többéves pénzügyi keretben 2020-ra vonatkozóan meghatározott felső határt meghaladó finanszírozását,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>
        <w:tc>
          <w:tcPr>
            <w:tcW w:w="0" w:type="auto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>
            <w:pPr>
              <w:spacing w:after="0" w:line="312" w:lineRule="atLeast"/>
              <w:rPr>
                <w:rFonts w:ascii="&amp;quot" w:eastAsia="Times New Roman" w:hAnsi="&amp;quot"/>
                <w:noProof/>
                <w:color w:val="444444"/>
                <w:szCs w:val="24"/>
              </w:rPr>
            </w:pPr>
          </w:p>
        </w:tc>
      </w:tr>
    </w:tbl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(EU) 2020/265 határozat 1. cikke (1) bekezdésének első albekezdése a következőképpen módosul: a „778 074 489 EUR” szövegrész helyébe az „1 094 414 188 EUR” szövegrész lép.</w:t>
      </w:r>
    </w:p>
    <w:p>
      <w:pPr>
        <w:rPr>
          <w:noProof/>
        </w:rPr>
      </w:pPr>
      <w:r>
        <w:rPr>
          <w:noProof/>
        </w:rPr>
        <w:t>Az (1) bekezdés második albekezdésének helyébe a következő szöveg lép: „Az első albekezdésben említett összegeket a migráció, a menekültáradat és a biztonsági fenyegetések jelenlegi kihívásainak, valamint a COVID-19-járvány miatt az Európai Unióban kialakult egészségügyi válságnak és az Európai Ügyészség megnövekedett szükségleteinek a kezelésére szolgáló intézkedések finanszírozásának céljára kell felhasználni.”</w:t>
      </w:r>
    </w:p>
    <w:p>
      <w:pPr>
        <w:rPr>
          <w:noProof/>
        </w:rPr>
      </w:pPr>
      <w:r>
        <w:rPr>
          <w:noProof/>
        </w:rPr>
        <w:t>A (2) bekezdés első albekezdésének a)–d) pontja helyébe a következő szöveg lép:</w:t>
      </w:r>
    </w:p>
    <w:p>
      <w:pPr>
        <w:pStyle w:val="QuotedText"/>
        <w:rPr>
          <w:noProof/>
        </w:rPr>
      </w:pPr>
      <w:r>
        <w:rPr>
          <w:noProof/>
        </w:rPr>
        <w:t>„a)</w:t>
      </w:r>
      <w:r>
        <w:rPr>
          <w:noProof/>
        </w:rPr>
        <w:tab/>
        <w:t>574 652 355 EUR 2020-ban;</w:t>
      </w:r>
    </w:p>
    <w:p>
      <w:pPr>
        <w:pStyle w:val="QuotedText"/>
        <w:rPr>
          <w:noProof/>
        </w:rPr>
      </w:pPr>
      <w:r>
        <w:rPr>
          <w:noProof/>
        </w:rPr>
        <w:t>b)</w:t>
      </w:r>
      <w:r>
        <w:rPr>
          <w:noProof/>
        </w:rPr>
        <w:tab/>
        <w:t>413 658 806 EUR 2021-ben;</w:t>
      </w:r>
    </w:p>
    <w:p>
      <w:pPr>
        <w:pStyle w:val="QuotedText"/>
        <w:rPr>
          <w:noProof/>
        </w:rPr>
      </w:pPr>
      <w:r>
        <w:rPr>
          <w:noProof/>
        </w:rPr>
        <w:t>c)</w:t>
      </w:r>
      <w:r>
        <w:rPr>
          <w:noProof/>
        </w:rPr>
        <w:tab/>
        <w:t>66 154 477 EUR 2022-ben;</w:t>
      </w:r>
    </w:p>
    <w:p>
      <w:pPr>
        <w:pStyle w:val="QuotedText"/>
        <w:rPr>
          <w:noProof/>
        </w:rPr>
      </w:pPr>
      <w:r>
        <w:rPr>
          <w:noProof/>
        </w:rPr>
        <w:t>d)</w:t>
      </w:r>
      <w:r>
        <w:rPr>
          <w:noProof/>
        </w:rPr>
        <w:tab/>
        <w:t>39 948 550 EUR 2023-ban.”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keepNext/>
        <w:keepLines/>
        <w:rPr>
          <w:noProof/>
        </w:rPr>
      </w:pPr>
      <w:r>
        <w:rPr>
          <w:noProof/>
        </w:rPr>
        <w:t xml:space="preserve">Ez a határozat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kihirdetésének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58., 2020.2.27., 51.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COM(2020) 145, 2020.3.27.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COM(2020) 140, 2020.3.27.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COM(2020) 170, 2020.4.2.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COM(2020) 174, 2020.4.2.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Ez az összeg figyelembe veszi a Bizottság által ma elfogadott „Technikai kiigazítás a speciális eszközök tekintetében” című dokumentumban (COM(2020) 173, 2020.4.2.) 2020-ra rendelkezésre bocsátott, 2019-ből fennmaradó mozgásteret (1 316,9 millió EUR).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Ez az összeg figyelembe veszi az Európai Globalizációs Alkalmazkodási Alapból 2019-ben megszűnt 175 millió EUR-t, amelyet a Bizottság által ma elfogadott „Technikai kiigazítás a speciális eszközök tekintetében” című dokumentumban (COM(2020) 173, 2020.4.2.) hozzáadtak a Rugalmassági Eszközhöz.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COM(2020) 172, 2020.4.2.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HL C 373., 2013.12.20., 1. o.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A Tanács 1311/2013/EU, Euratom rendelete (2013. december 2.) a 2014–2020-as időszakra vonatkozó többéves pénzügyi keretről (HL L 347., 2013.12.20., 884. o.).</w:t>
      </w:r>
    </w:p>
  </w:footnote>
  <w:footnote w:id="11">
    <w:p>
      <w:pPr>
        <w:pStyle w:val="doc-ti"/>
        <w:spacing w:before="0" w:beforeAutospacing="0" w:after="0" w:afterAutospacing="0"/>
        <w:ind w:left="709" w:hanging="709"/>
        <w:jc w:val="both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Az Európai Parlament és a Tanács (EU) 2020/265 határozata (2019. november 27.) a Rugalmassági Eszköznek a migráció, a menekültáradat és a biztonsági fenyegetések jelenlegi kihívásainak kezelésére szolgáló azonnali költségvetési intézkedések finanszírozása céljából történő igénybevételéről (HL L 58., 2020.2.27., 51. o.).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COM(2020) 145, 2020.3.27.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COM(2020) 170, 2020.4.2.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3EEB6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4F4D2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3895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C4A54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5C9A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03E2A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A721C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BE49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4-03 18:33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E2BE898-615C-4E89-957F-C1B4C3C6683F"/>
    <w:docVar w:name="LW_COVERPAGE_TYPE" w:val="1"/>
    <w:docVar w:name="LW_CROSSREFERENCE" w:val="&lt;UNUSED&gt;"/>
    <w:docVar w:name="LW_DocType" w:val="COM"/>
    <w:docVar w:name="LW_EMISSION" w:val="2020.4.2."/>
    <w:docVar w:name="LW_EMISSION_ISODATE" w:val="2020-04-02"/>
    <w:docVar w:name="LW_EMISSION_LOCATION" w:val="BRX"/>
    <w:docVar w:name="LW_EMISSION_PREFIX" w:val="Brüsszel, "/>
    <w:docVar w:name="LW_EMISSION_SUFFIX" w:val=" 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(EU) 2020/265 határozatnak a Rugalmassági Eszközb\u337?l 2020-ban igénybe vett, a migrációra, a menekültáradatra és a biztonsági fenyegetésekre, a COVID-19-járvánnyal összefügg\u337? azonnali intézkedésekre, valamint az Európai Ügyészség meger\u337?sítésére fordítandó összegek kiigazítása tekintetében történ\u337? módosításáról"/>
    <w:docVar w:name="LW_TYPE.DOC.CP" w:val="AZ EURÓPAI PARLAMENT ÉS 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pname">
    <w:name w:val="ep_name"/>
    <w:basedOn w:val="DefaultParagraphFont"/>
  </w:style>
  <w:style w:type="character" w:customStyle="1" w:styleId="epicon">
    <w:name w:val="ep_icon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pname">
    <w:name w:val="ep_name"/>
    <w:basedOn w:val="DefaultParagraphFont"/>
  </w:style>
  <w:style w:type="character" w:customStyle="1" w:styleId="epicon">
    <w:name w:val="ep_icon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356929-CAD8-45B9-A7D4-E58E7346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1053</Words>
  <Characters>7511</Characters>
  <Application>Microsoft Office Word</Application>
  <DocSecurity>0</DocSecurity>
  <Lines>136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2019-06-14T14:15:00Z</cp:lastPrinted>
  <dcterms:created xsi:type="dcterms:W3CDTF">2020-04-02T11:51:00Z</dcterms:created>
  <dcterms:modified xsi:type="dcterms:W3CDTF">2020-04-03T16:33:00Z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