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620280F-51A1-4AD3-843C-41E4376E933B" style="width:450.45pt;height:380.1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dniu 27 listopada 2019 r., zgodnie z wnioskiem Komisji (decyzja (UE) 2020/265</w:t>
      </w:r>
      <w:r>
        <w:rPr>
          <w:rStyle w:val="FootnoteReference"/>
          <w:bCs/>
          <w:noProof/>
        </w:rPr>
        <w:footnoteReference w:id="1"/>
      </w:r>
      <w:r>
        <w:rPr>
          <w:noProof/>
        </w:rPr>
        <w:t>), Parlament Europejski i Rada podjęły decyzję o uruchomieniu z instrumentu elastyczności kwoty 778,1 mln EUR z przeznaczeniem na dział 3 „Bezpieczeństwo i obywatelstwo”.</w:t>
      </w:r>
    </w:p>
    <w:p>
      <w:pPr>
        <w:rPr>
          <w:noProof/>
        </w:rPr>
      </w:pPr>
      <w:r>
        <w:rPr>
          <w:noProof/>
        </w:rPr>
        <w:t>W dniu 27 marca 2020 r. Komisja przedstawiła projekt budżetu korygującego (PBK) nr 1/2020</w:t>
      </w:r>
      <w:r>
        <w:rPr>
          <w:rStyle w:val="FootnoteReference"/>
          <w:noProof/>
        </w:rPr>
        <w:footnoteReference w:id="2"/>
      </w:r>
      <w:r>
        <w:rPr>
          <w:noProof/>
        </w:rPr>
        <w:t>. Obejmował on m.in. zwiększenie środków na zobowiązania w dziale 3 o łączną kwotę 423,3 mln EUR w celu zaspokojenia potrzeb wynikających ze zwiększonej presji migracyjnej w Grecji, sfinansowania natychmiastowych środków wymaganych w związku z pandemią COVID-19 (utworzenie po raz pierwszy w historii zapasów sprzętu medycznego w ramach rescEU) oraz zwiększenia budżetu Prokuratury Europejskiej. Komisja zaproponowała w PBK nr 1/2020, aby do sfinansowania części zwiększenia środków związanej z migracją wykorzystać 350,0 mln EUR, które jest dostępne z 2018 r. w ramach łącznego marginesu na zobowiązania. Komisja zaproponowała również sfinansowanie pozostałej części zwiększenia środków (73,3 mln EUR) za pomocą odpowiedniego dostosowania kwoty uruchamianej w ramach instrumentu elastyczności oraz rozszerzenie celu decyzji (UE) 2020/265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rPr>
          <w:bCs/>
          <w:noProof/>
        </w:rPr>
      </w:pPr>
      <w:r>
        <w:rPr>
          <w:noProof/>
        </w:rPr>
        <w:t>Komisja przedstawia dzisiaj projekt budżetu korygującego nr 2/2020</w:t>
      </w:r>
      <w:r>
        <w:rPr>
          <w:rStyle w:val="FootnoteReference"/>
          <w:noProof/>
        </w:rPr>
        <w:footnoteReference w:id="4"/>
      </w:r>
      <w:r>
        <w:rPr>
          <w:noProof/>
        </w:rPr>
        <w:t>, który obejmuje dodatkowe zwiększenie środków na zobowiązania w dziale 3 o kwotę 3 000,0 mln EUR w celu sfinansowania ponownego uruchomienia Instrumentu na rzecz wsparcia w sytuacjach nadzwyczajnych na terenie Unii („ESI”), aby pomóc państwom członkowskim łagodzić skutki pandemii COVID-19 i zasilić dodatkowymi środkami Unijny Mechanizm Ochrony Ludności/rescEU w celu ułatwienia gromadzenia zapasów na większą skalę oraz koordynacji dystrybucji niezbędnych zasobów w całej Europie. Biorąc pod uwagę brak możliwości przegrupowania środków w ramach działu 3 i zgodnie z wnioskiem, przedstawionym również w dniu dzisiejszym, dotyczącym zmiany rozporządzenia w sprawie WRF znoszącej ograniczenia w zakresie stosowania tego instrumentu</w:t>
      </w:r>
      <w:r>
        <w:rPr>
          <w:rStyle w:val="FootnoteReference"/>
          <w:noProof/>
        </w:rPr>
        <w:footnoteReference w:id="5"/>
      </w:r>
      <w:r>
        <w:rPr>
          <w:noProof/>
        </w:rPr>
        <w:t>, Komisja proponuje w PBK nr 2/2020, aby do sfinansowania tego zwiększenia wykorzystać łączny margines na zobowiązania w pełnej kwocie dostępnej w ramach tego instrumentu szczególnego, tj. 2 042,4 mln EUR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Niniejszy wniosek dotyczący decyzji w sprawie uruchomienia instrumentu elastyczności zmienia ponadto decyzję (UE) 2020/265 z dnia 27 listopada 2019 r. i zastępuje zmianę przedstawioną razem z PBK nr 1/2020. Niniejszy nowy wniosek obejmuje zatem łączne zwiększenie środków na zobowiązania w dziale 3, które jest przedmiotem PBK nr 1 i nr 2/2020, zwiększa wysokość łącznej kwoty, która ma być uruchomiona, do 1 094,4 mln EUR</w:t>
      </w:r>
      <w:r>
        <w:rPr>
          <w:rStyle w:val="FootnoteReference"/>
          <w:bCs/>
          <w:noProof/>
        </w:rPr>
        <w:footnoteReference w:id="7"/>
      </w:r>
      <w:r>
        <w:rPr>
          <w:noProof/>
        </w:rPr>
        <w:t xml:space="preserve"> i wyczerpuje kwotę dostępną w ramach tego instrumentu na 2020 r.</w:t>
      </w:r>
    </w:p>
    <w:p>
      <w:pPr>
        <w:rPr>
          <w:noProof/>
        </w:rPr>
      </w:pPr>
      <w:r>
        <w:rPr>
          <w:noProof/>
        </w:rPr>
        <w:t xml:space="preserve">Ponieważ wykorzystanie łącznego marginesu na zobowiązania w PBK nr 2/2020 i niniejszy wniosek dotyczący decyzji w sprawie uruchomienia instrumentu elastyczności są niewystarczające do zaspokojenia potrzeb w zakresie finansowania ESI, Komisja przedstawia </w:t>
      </w:r>
      <w:r>
        <w:rPr>
          <w:noProof/>
        </w:rPr>
        <w:lastRenderedPageBreak/>
        <w:t>również dodatkowy wniosek</w:t>
      </w:r>
      <w:r>
        <w:rPr>
          <w:rStyle w:val="FootnoteReference"/>
          <w:noProof/>
        </w:rPr>
        <w:footnoteReference w:id="8"/>
      </w:r>
      <w:r>
        <w:rPr>
          <w:noProof/>
        </w:rPr>
        <w:t>, towarzyszący PBK nr 2/2020, w którym proponuje uruchomienie kwoty 714,6 mln EUR z marginesu na nieprzewidziane wydatki na 2020 r.</w:t>
      </w:r>
    </w:p>
    <w:p>
      <w:pPr>
        <w:rPr>
          <w:noProof/>
        </w:rPr>
      </w:pPr>
      <w:r>
        <w:rPr>
          <w:noProof/>
        </w:rPr>
        <w:t>Orientacyjne środki na płatności odpowiadające zaktualizowanej kwocie uruchamianej z instrumentu elastyczności przedstawiono w poniższej tabeli:</w:t>
      </w:r>
    </w:p>
    <w:p>
      <w:pPr>
        <w:ind w:left="5040" w:firstLine="720"/>
        <w:jc w:val="left"/>
        <w:rPr>
          <w:noProof/>
        </w:rPr>
      </w:pPr>
      <w:r>
        <w:rPr>
          <w:i/>
          <w:iCs/>
          <w:noProof/>
          <w:sz w:val="16"/>
          <w:szCs w:val="16"/>
        </w:rPr>
        <w:t>(w milionach EUR, według cen bieżących)</w:t>
      </w:r>
    </w:p>
    <w:tbl>
      <w:tblPr>
        <w:tblW w:w="7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04"/>
      </w:tblGrid>
      <w:tr>
        <w:trPr>
          <w:jc w:val="center"/>
        </w:trPr>
        <w:tc>
          <w:tcPr>
            <w:tcW w:w="1560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Rok</w:t>
            </w:r>
          </w:p>
        </w:tc>
        <w:tc>
          <w:tcPr>
            <w:tcW w:w="5604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Środki na płatności związane z uruchomieniem instrumentu elastyczności w 2020 r.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2020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574,6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2021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413,7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2022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66,2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2023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39,9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Ogółem</w:t>
            </w:r>
          </w:p>
        </w:tc>
        <w:tc>
          <w:tcPr>
            <w:tcW w:w="5604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1 094,4</w:t>
            </w:r>
          </w:p>
        </w:tc>
      </w:tr>
    </w:tbl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PARLAMENTU EUROPEJSKIEGO I RADY</w:t>
      </w:r>
    </w:p>
    <w:p>
      <w:pPr>
        <w:pStyle w:val="Titreobjet"/>
        <w:rPr>
          <w:noProof/>
        </w:rPr>
      </w:pPr>
      <w:r>
        <w:rPr>
          <w:noProof/>
        </w:rPr>
        <w:t>zmieniająca decyzję (UE) 2020/265 w odniesieniu do dostosowań kwot uruchamianych z instrumentu elastyczności na 2020 r. do wykorzystania na działania w związku z migracją, napływem uchodźców i zagrożeniami bezpieczeństwa, na działania natychmiastowe w związku z pandemią COVID-19 oraz na zwiększenie środków na Prokuraturę Europejską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</w:t>
      </w:r>
    </w:p>
    <w:p>
      <w:pPr>
        <w:rPr>
          <w:noProof/>
        </w:rPr>
      </w:pPr>
      <w:r>
        <w:rPr>
          <w:noProof/>
        </w:rPr>
        <w:t>uwzględniając Porozumienie międzyinstytucjonalne z dnia 2 grudnia 2013 r. pomiędzy Parlamentem Europejskim, Radą i Komisją w sprawie dyscypliny budżetowej, współpracy w kwestiach budżetowych i należytego zarządzania finansami</w:t>
      </w:r>
      <w:r>
        <w:rPr>
          <w:rStyle w:val="FootnoteReference"/>
          <w:noProof/>
        </w:rPr>
        <w:footnoteReference w:id="9"/>
      </w:r>
      <w:r>
        <w:rPr>
          <w:noProof/>
        </w:rPr>
        <w:t>, w szczególności jego pkt 12,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Instrument elastyczności ma umożliwiać finansowanie precyzyjnie określonych wydatków, które nie mogą zostać pokryte w ramach pułapów dostępnych dla co najmniej jednego działu budżetu ogólnego Unii.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Zgodnie z art. 11 rozporządzenia Rady (UE, Euratom) nr 1311/2013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pułap rocznej kwoty dostępnej na instrument elastyczności wynosi 600 000 000 EUR (w cenach z 2011 r.); kwotę tę powiększa się w stosownych przypadkach o niewykorzystane kwoty udostępnione zgodnie z ust. 1 akapit drugi tego artykułu.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W dniu 27 listopada 2019 r. Parlament Europejski i Rada przyjęły decyzję (UE) 2020/265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w sprawie uruchomienia instrumentu elastyczności, aby udostępnić środki na zobowiązania w dziale 3 („Bezpieczeństwo i obywatelstwo”) w kwocie 778 074 489 EUR na rok budżetowy 2020 w celu sfinansowania działań w dziedzinie migracji, uchodźców i bezpieczeństwa.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Projekt budżetu korygującego (PBK) nr 1/2020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obejmuje zwiększenie środków na zobowiązania w dziale 3 o 423 300 000 EUR w celu zaspokojenia potrzeb wynikających ze zwiększonej presji migracyjnej w Grecji, sfinansowania natychmiastowych środków w związku z pandemią COVID-19 oraz zwiększenia budżetu Prokuratury Europejskiej. Z tej łącznej kwoty zwiększenia środków 350 000 000 EUR jest finansowane z łącznego marginesu na zobowiązania określonego w art. 14 rozporządzenia Rady (UE, Euratom) nr 1311/2013, </w:t>
      </w:r>
      <w:r>
        <w:rPr>
          <w:noProof/>
        </w:rPr>
        <w:lastRenderedPageBreak/>
        <w:t xml:space="preserve">a 73 300 000 EUR z dodatkowego uruchomienia instrumentu elastyczności na 2020 r. Konieczne jest również dostosowanie orientacyjnego profilu płatności. 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Projekt budżetu korygującego nr 2/2020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obejmuje dodatkowe zwiększenie środków na zobowiązania w dziale 3 o 3 000 000 000 EUR w celu sfinansowania ponownego uruchomienia Instrumentu na rzecz wsparcia w sytuacjach nadzwyczajnych („ESI”) na terenie Unii, aby zwiększyć pomoc dla państw członkowskich w łagodzeniu skutków pandemii COVID-19 i zasilić dodatkowymi środkami Unijny Mechanizm Ochrony Ludności/rescEU w celu ułatwienia gromadzenia zapasów na większą skalę oraz koordynacji dystrybucji niezbędnych zasobów w całej Europie. Z tej kwoty zwiększenia środków 2 042 402 163 EUR jest finansowane z łącznego marginesu na zobowiązania określonego w art. 14 rozporządzenia Rady (UE, Euratom) nr 1311/2013, a 243 039 699 EUR z dodatkowego uruchomienia instrumentu elastyczności na 2020 r. Konieczne jest również dostosowanie orientacyjnego profilu płatności.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Należy zatem odpowiednio zmienić decyzję (UE) 2020/265.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Niniejsza decyzja powinna wejść w życie w tym samym dniu co korekta budżetu na 2020 r., ponieważ instrument elastyczności umożliwia sfinansowanie niektórych działań wykraczających poza pułap określony w wieloletnich ramach finansowych dla budżetu na 2020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>
        <w:tc>
          <w:tcPr>
            <w:tcW w:w="0" w:type="auto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>
            <w:pPr>
              <w:spacing w:after="0" w:line="312" w:lineRule="atLeast"/>
              <w:rPr>
                <w:rFonts w:ascii="&amp;quot" w:eastAsia="Times New Roman" w:hAnsi="&amp;quot"/>
                <w:noProof/>
                <w:color w:val="444444"/>
                <w:szCs w:val="24"/>
              </w:rPr>
            </w:pPr>
          </w:p>
        </w:tc>
      </w:tr>
    </w:tbl>
    <w:p>
      <w:pPr>
        <w:pStyle w:val="Formuledadoption"/>
        <w:rPr>
          <w:noProof/>
        </w:rPr>
      </w:pPr>
      <w:r>
        <w:rPr>
          <w:noProof/>
        </w:rPr>
        <w:t xml:space="preserve">PRZYJMUJĄ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W art. 1 ust. 1 akapit pierwszy decyzji (UE) 2020/265 wprowadza się następujące zmiany: kwotę „778 074 489 EUR” zastępuje się kwotą „1 094 414 188 EUR”;</w:t>
      </w:r>
    </w:p>
    <w:p>
      <w:pPr>
        <w:rPr>
          <w:noProof/>
        </w:rPr>
      </w:pPr>
      <w:r>
        <w:rPr>
          <w:noProof/>
        </w:rPr>
        <w:t>ust. 1 akapit drugi otrzymuje brzmienie: „Kwota, o której mowa w akapicie pierwszym, zostanie wykorzystana na finansowanie działań służących do rozwiązywania bieżących problemów związanych z migracją, napływem uchodźców i zagrożeniami bezpieczeństwa oraz na zwalczanie obecnego kryzysu w dziedzinie zdrowia publicznego w Unii Europejskiej wywołanego pandemią COVID-19, a także na zaspokojenie zwiększonych potrzeb Prokuratury Europejskiej.”;</w:t>
      </w:r>
    </w:p>
    <w:p>
      <w:pPr>
        <w:rPr>
          <w:noProof/>
        </w:rPr>
      </w:pPr>
      <w:r>
        <w:rPr>
          <w:noProof/>
        </w:rPr>
        <w:t>w ust. 2 akapit pierwszy, lit. a)–d) otrzymują brzmienie:</w:t>
      </w:r>
    </w:p>
    <w:p>
      <w:pPr>
        <w:pStyle w:val="QuotedText"/>
        <w:rPr>
          <w:noProof/>
        </w:rPr>
      </w:pPr>
      <w:r>
        <w:rPr>
          <w:noProof/>
        </w:rPr>
        <w:t>„a)</w:t>
      </w:r>
      <w:r>
        <w:rPr>
          <w:noProof/>
        </w:rPr>
        <w:tab/>
        <w:t>574 652 355 EUR w 2020 r.;</w:t>
      </w:r>
    </w:p>
    <w:p>
      <w:pPr>
        <w:pStyle w:val="QuotedText"/>
        <w:rPr>
          <w:noProof/>
        </w:rPr>
      </w:pPr>
      <w:r>
        <w:rPr>
          <w:noProof/>
        </w:rPr>
        <w:t>b)</w:t>
      </w:r>
      <w:r>
        <w:rPr>
          <w:noProof/>
        </w:rPr>
        <w:tab/>
        <w:t>413 658 806 EUR w 2021 r.;</w:t>
      </w:r>
    </w:p>
    <w:p>
      <w:pPr>
        <w:pStyle w:val="QuotedText"/>
        <w:rPr>
          <w:noProof/>
        </w:rPr>
      </w:pPr>
      <w:r>
        <w:rPr>
          <w:noProof/>
        </w:rPr>
        <w:t>c)</w:t>
      </w:r>
      <w:r>
        <w:rPr>
          <w:noProof/>
        </w:rPr>
        <w:tab/>
        <w:t>66 154 477 EUR w 2022 r.;</w:t>
      </w:r>
    </w:p>
    <w:p>
      <w:pPr>
        <w:pStyle w:val="QuotedText"/>
        <w:rPr>
          <w:noProof/>
        </w:rPr>
      </w:pPr>
      <w:r>
        <w:rPr>
          <w:noProof/>
        </w:rPr>
        <w:t>d)</w:t>
      </w:r>
      <w:r>
        <w:rPr>
          <w:noProof/>
        </w:rPr>
        <w:tab/>
        <w:t>39 948 550 EUR w 2023 r.”.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Artykuł 2</w:t>
      </w:r>
    </w:p>
    <w:p>
      <w:pPr>
        <w:keepNext/>
        <w:keepLines/>
        <w:rPr>
          <w:noProof/>
        </w:rPr>
      </w:pPr>
      <w:r>
        <w:rPr>
          <w:noProof/>
        </w:rPr>
        <w:t>Niniejsza decyzja wchodzi w życie z dniem jej opublikowania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58 z 27.2.2020, s. 51.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COM(2020) 145 z 27.3.2020.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COM(2020) 140 z 27.3.2020.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COM(2020) 170 z 2.4.2020.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COM(2020) 174 z 2.4.2020.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Kwota ta uwzględnia pozostały margines z 2019 r. (1 316,9 mln EUR) udostępniony na 2020 r. w ramach „Dostosowania technicznego w odniesieniu do instrumentu szczególnego” przyjętego dzisiaj przez Komisję (COM(2020) 173 z 2.4.2020).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Kwota ta uwzględnia kwotę 175 mln EUR, która wygasła w ramach Europejskiego Funduszu Dostosowania do Globalizacji w 2019 r. i została dodana do instrumentu elastyczności w ramach „Dostosowania technicznego w odniesieniu do instrumentu szczególnego” przyjętego dzisiaj przez Komisję (COM(2020) 173 z 2.4.2020).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COM(2020) 172 z 2.4.2020.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Dz.U. C 373 z 20.12.2013, s. 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Rozporządzenie Rady (UE, Euratom) nr 1311/2013 z dnia 2 grudnia 2013 r. określające wieloletnie ramy finansowe na lata 2014–2020 (Dz.U. L 347 z 20.12.2013, s. 884).</w:t>
      </w:r>
    </w:p>
  </w:footnote>
  <w:footnote w:id="11">
    <w:p>
      <w:pPr>
        <w:pStyle w:val="doc-ti"/>
        <w:spacing w:before="0" w:beforeAutospacing="0" w:after="0" w:afterAutospacing="0"/>
        <w:ind w:left="709" w:hanging="709"/>
        <w:jc w:val="both"/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Decyzja Parlamentu Europejskiego i Rady (UE) 2020/265 z dnia 27 listopada 2019 r. w sprawie uruchomienia instrumentu elastyczności na sfinansowanie natychmiastowych działań budżetowych służących do rozwiązywania bieżących problemów związanych z migracją, napływem uchodźców i zagrożeniami bezpieczeństwa (Dz.U. L 058 z 27.2.2020, s. 51).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COM(2020) 145 z 27.3.2020.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COM(2020) 170 z 2.4.2020.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3EEB6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4F4D2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3895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C4A54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5C9A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03E2A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A721C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BE49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4-03 18:34:0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620280F-51A1-4AD3-843C-41E4376E933B"/>
    <w:docVar w:name="LW_COVERPAGE_TYPE" w:val="1"/>
    <w:docVar w:name="LW_CROSSREFERENCE" w:val="&lt;UNUSED&gt;"/>
    <w:docVar w:name="LW_DocType" w:val="COM"/>
    <w:docVar w:name="LW_EMISSION" w:val="2.4.2020"/>
    <w:docVar w:name="LW_EMISSION_ISODATE" w:val="2020-04-02"/>
    <w:docVar w:name="LW_EMISSION_LOCATION" w:val="BRX"/>
    <w:docVar w:name="LW_EMISSION_PREFIX" w:val="Bruksela, dnia "/>
    <w:docVar w:name="LW_EMISSION_SUFFIX" w:val=" r."/>
    <w:docVar w:name="LW_ID_DOCMODEL" w:val="SJ-026"/>
    <w:docVar w:name="LW_ID_DOCSIGNATURE" w:val="SJ-026"/>
    <w:docVar w:name="LW_ID_DOCSTRUCTURE" w:val="COM/PL/ORG"/>
    <w:docVar w:name="LW_ID_DOCTYPE" w:val="SJ-026"/>
    <w:docVar w:name="LW_ID_EXP.MOTIFS.NEW" w:val="EM_PL_"/>
    <w:docVar w:name="LW_ID_STATUT" w:val="SJ-026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1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zmieniaj\u261?ca decyzj\u281? (UE) 2020/265 w odniesieniu do dostosowa\u324? kwot uruchamianych z instrumentu elastyczno\u347?ci na 2020 r. do wykorzystania na dzia\u322?ania w zwi\u261?zku z migracj\u261?, nap\u322?ywem uchod\u378?ców i zagro\u380?eniami bezpiecze\u324?stwa, na dzia\u322?ania natychmiastowe w zwi\u261?zku z pandemi\u261? COVID-19 oraz na zwi\u281?kszenie \u347?rodków na Prokuratur\u281? Europejsk\u261?"/>
    <w:docVar w:name="LW_TYPE.DOC.CP" w:val="DECYZJ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pname">
    <w:name w:val="ep_name"/>
    <w:basedOn w:val="DefaultParagraphFont"/>
  </w:style>
  <w:style w:type="character" w:customStyle="1" w:styleId="epicon">
    <w:name w:val="ep_icon"/>
    <w:basedOn w:val="DefaultParagraphFont"/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pname">
    <w:name w:val="ep_name"/>
    <w:basedOn w:val="DefaultParagraphFont"/>
  </w:style>
  <w:style w:type="character" w:customStyle="1" w:styleId="epicon">
    <w:name w:val="ep_icon"/>
    <w:basedOn w:val="DefaultParagraphFont"/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F3EE34-260B-4AE2-BEE8-ACB83A1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1123</Words>
  <Characters>6888</Characters>
  <Application>Microsoft Office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2019-06-14T14:15:00Z</cp:lastPrinted>
  <dcterms:created xsi:type="dcterms:W3CDTF">2020-04-02T20:33:00Z</dcterms:created>
  <dcterms:modified xsi:type="dcterms:W3CDTF">2020-04-03T16:34:00Z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