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63E88F57-24A2-4E90-AC02-B9D548E87270" style="width:450.4pt;height:320.6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1417" w:bottom="1134" w:left="1417" w:header="709" w:footer="709" w:gutter="0"/>
          <w:pgNumType w:start="1"/>
          <w:cols w:space="720"/>
          <w:docGrid w:linePitch="299"/>
        </w:sect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  <w:bookmarkStart w:id="1" w:name="_GoBack"/>
      <w:bookmarkEnd w:id="1"/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sdt>
      <w:sdtPr>
        <w:rPr>
          <w:rFonts w:ascii="Calibri" w:eastAsia="Calibri" w:hAnsi="Calibri"/>
          <w:b w:val="0"/>
          <w:noProof/>
          <w:sz w:val="22"/>
          <w:szCs w:val="22"/>
        </w:rPr>
        <w:id w:val="670845034"/>
        <w:docPartObj>
          <w:docPartGallery w:val="Table of Contents"/>
          <w:docPartUnique/>
        </w:docPartObj>
      </w:sdtPr>
      <w:sdtEndPr>
        <w:rPr>
          <w:bCs/>
        </w:rPr>
      </w:sdtEndPr>
      <w:sdtContent>
        <w:p>
          <w:pPr>
            <w:pStyle w:val="TOCHeading"/>
            <w:rPr>
              <w:noProof/>
            </w:rPr>
          </w:pPr>
          <w:r>
            <w:rPr>
              <w:noProof/>
            </w:rPr>
            <w:t>Tartalomjegyzék</w:t>
          </w:r>
        </w:p>
        <w:p>
          <w:pPr>
            <w:rPr>
              <w:noProof/>
            </w:rPr>
          </w:pPr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36712084" w:history="1">
            <w:r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Az EMGA 2020. évi költségvetési eljárása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712085" w:history="1">
            <w:r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Az EMGA-hoz rendelt címzett 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712086" w:history="1">
            <w:r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Az EMGA 2020. évi költségvetésének ideiglenes végrehajtására vonatkozó észrevételek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5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6712087" w:history="1">
            <w:r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Piaci intézkedések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6712088" w:history="1">
            <w:r>
              <w:rPr>
                <w:rStyle w:val="Hyperlink"/>
                <w:noProof/>
              </w:rPr>
              <w:t>3.1.1.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Olívaolaj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6712089" w:history="1">
            <w:r>
              <w:rPr>
                <w:rStyle w:val="Hyperlink"/>
                <w:noProof/>
              </w:rPr>
              <w:t>3.1.2.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Ösztönzés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6712090" w:history="1">
            <w:r>
              <w:rPr>
                <w:rStyle w:val="Hyperlink"/>
                <w:noProof/>
              </w:rPr>
              <w:t>3.1.3.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Gyümölcs- és zöldségfélék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6712091" w:history="1">
            <w:r>
              <w:rPr>
                <w:rStyle w:val="Hyperlink"/>
                <w:noProof/>
              </w:rPr>
              <w:t>3.1.4.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Szőlészeti-borászati termékek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5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6712092" w:history="1">
            <w:r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Közvetlen kifizetések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6712093" w:history="1">
            <w:r>
              <w:rPr>
                <w:rStyle w:val="Hyperlink"/>
                <w:noProof/>
              </w:rPr>
              <w:t>3.2.1.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Termeléstől független közvetlen kifizetések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6712094" w:history="1">
            <w:r>
              <w:rPr>
                <w:rStyle w:val="Hyperlink"/>
                <w:noProof/>
              </w:rPr>
              <w:t>3.2.2.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>
              <w:rPr>
                <w:rStyle w:val="Hyperlink"/>
                <w:noProof/>
              </w:rPr>
              <w:t>Egyéb közvetlen kifizetések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712095" w:history="1">
            <w:r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Az EMGA-hoz rendelt címzett bevételek végrehajtása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712096" w:history="1">
            <w:r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Következtetések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9"/>
        <w:gridCol w:w="7316"/>
      </w:tblGrid>
      <w:tr>
        <w:tc>
          <w:tcPr>
            <w:tcW w:w="1908" w:type="dxa"/>
            <w:hideMark/>
          </w:tcPr>
          <w:p>
            <w:pPr>
              <w:spacing w:before="120" w:after="120"/>
              <w:ind w:right="612"/>
              <w:rPr>
                <w:rFonts w:ascii="Times New Roman" w:hAnsi="Times New Roman"/>
                <w:smallCaps/>
                <w:noProof/>
              </w:rPr>
            </w:pPr>
            <w:r>
              <w:rPr>
                <w:rFonts w:ascii="Times New Roman" w:hAnsi="Times New Roman"/>
                <w:smallCaps/>
                <w:noProof/>
              </w:rPr>
              <w:t>1. melléklet:</w:t>
            </w:r>
          </w:p>
          <w:p>
            <w:pPr>
              <w:spacing w:before="120" w:after="120"/>
              <w:ind w:right="612"/>
              <w:rPr>
                <w:rFonts w:ascii="Times New Roman" w:hAnsi="Times New Roman"/>
                <w:smallCaps/>
                <w:noProof/>
                <w:sz w:val="24"/>
                <w:szCs w:val="24"/>
              </w:rPr>
            </w:pPr>
          </w:p>
        </w:tc>
        <w:tc>
          <w:tcPr>
            <w:tcW w:w="7320" w:type="dxa"/>
            <w:hideMark/>
          </w:tcPr>
          <w:p>
            <w:pPr>
              <w:spacing w:before="120" w:after="120"/>
              <w:rPr>
                <w:rFonts w:ascii="Times New Roman" w:hAnsi="Times New Roman"/>
                <w:small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noProof/>
              </w:rPr>
              <w:t>Az EMGA-előirányzatok ideiglenes felhasználása 2020. január 31-ig</w:t>
            </w:r>
          </w:p>
        </w:tc>
      </w:tr>
    </w:tbl>
    <w:p>
      <w:pPr>
        <w:spacing w:after="0"/>
        <w:rPr>
          <w:noProof/>
        </w:rPr>
      </w:pPr>
    </w:p>
    <w:p>
      <w:pPr>
        <w:spacing w:after="0"/>
        <w:rPr>
          <w:noProof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/>
          <w:pgMar w:top="1134" w:right="1418" w:bottom="1134" w:left="1440" w:header="595" w:footer="567" w:gutter="0"/>
          <w:pgNumType w:start="1"/>
          <w:cols w:space="720"/>
        </w:sectPr>
      </w:pPr>
    </w:p>
    <w:p>
      <w:pPr>
        <w:pStyle w:val="Heading1"/>
        <w:numPr>
          <w:ilvl w:val="0"/>
          <w:numId w:val="4"/>
        </w:numPr>
        <w:rPr>
          <w:noProof/>
        </w:rPr>
      </w:pPr>
      <w:bookmarkStart w:id="2" w:name="_Toc36712084"/>
      <w:r>
        <w:rPr>
          <w:noProof/>
        </w:rPr>
        <w:t>Az EMGA 2020. évi költségvetési eljárása</w:t>
      </w:r>
      <w:bookmarkEnd w:id="2"/>
    </w:p>
    <w:p>
      <w:pPr>
        <w:pStyle w:val="Text1"/>
        <w:rPr>
          <w:noProof/>
        </w:rPr>
      </w:pPr>
      <w:r>
        <w:rPr>
          <w:noProof/>
        </w:rPr>
        <w:t>2019. november 27-én az Európai Parlament elfogadta az Európai Unió 2020. évi általános költségvetését. A költségvetésben az Európai Mezőgazdasági Garanciaalap (EMGA) számára a közvetlen kifizetések és a piaci intézkedések céljára elkülönített kötelezettségvállalási és kifizetési előirányzatok összege 43 410 millió EUR-t, illetve 43 380 millió EUR-t tett ki.</w:t>
      </w:r>
    </w:p>
    <w:p>
      <w:pPr>
        <w:pStyle w:val="Text1"/>
        <w:rPr>
          <w:noProof/>
        </w:rPr>
      </w:pPr>
      <w:r>
        <w:rPr>
          <w:noProof/>
        </w:rPr>
        <w:t>Az előirányzatok említett két típusához kapcsolódó összegek közötti eltérés annak tudható be, hogy bizonyos, közvetlenül a Bizottság által végrehajtott intézkedések esetében differenciált előirányzatok alkalmazandóak. Ezek főként a mezőgazdasági termékek promóciójára irányuló, valamint a szakpolitikai stratégiával és koordinációval összefüggő intézkedésekhez kapcsolódnak.</w:t>
      </w:r>
    </w:p>
    <w:p>
      <w:pPr>
        <w:pStyle w:val="Heading1"/>
        <w:rPr>
          <w:noProof/>
        </w:rPr>
      </w:pPr>
      <w:bookmarkStart w:id="3" w:name="_Toc36712085"/>
      <w:r>
        <w:rPr>
          <w:noProof/>
        </w:rPr>
        <w:t>Az EMGA-hoz rendelt címzett bevételek</w:t>
      </w:r>
      <w:bookmarkEnd w:id="3"/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Az 1306/2013/EU rendelet 43. cikkében foglalt rendelkezések alapján a számlaelszámolási és a megfelelőségi vizsgálatra vonatkozó határozatok szerinti pénzügyi kiigazításokból és szabálytalanságokból eredő bevételek az EMGA-kiadások finanszírozására fordítandó címzett bevételek.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említett rendelkezések értelmében a címzett bevételek az EMGA-ból fedezett bármely kiadáshoz kapcsolódó finanszírozási igények kielégítésére felhasználhatók. A bevételeknek az adott költségvetési évben fel nem használt része automatikusan átvezetésre kerül a következő költségvetési évre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120" w:after="0" w:line="240" w:lineRule="auto"/>
        <w:ind w:left="851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2020. évi EMGA-költségvetés a következőket tartalmazza: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piaci intézkedésekhez és a közvetlen kifizetésekhez kapcsolódó finanszírozási igények Bizottság általi legfrissebb becslését;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költségvetési év során várhatóan befolyó címzett bevételek becslését;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valamint az előző költségvetési évből rendelkezésre álló címzett bevételek egyenlegének átvezetését.</w:t>
      </w:r>
    </w:p>
    <w:p>
      <w:pPr>
        <w:spacing w:before="120" w:after="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Bizottság az EMGA 2020. évi költségvetési előirányzataira vonatkozó javaslatában figyelembe vette a várható összes címzett bevételt, és a 2020. évi költségvetésben előirányzatként a becsült szükségletek és a címzett bevételek becsült összege közötti különbözettel megegyező összeget igényelt. A költségvetési hatóság elfogadta a várható címzett bevételek figyelembevételével összeállított EMGA-költségvetést.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2020. évi költségvetés kidolgozásakor a Bizottság a rendelkezésre álló címzett bevételek összegét 1 071 millió EUR-ra becsülte. Ez a következőkből tevődik össze: </w:t>
      </w:r>
    </w:p>
    <w:p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2020. költségvetési év során várhatóan befolyó címzett bevételek, amelyek becsült összege 719 millió EUR (592 millió EUR a megfelelőségi vizsgálatokból eredő pénzügyi kiigazításokból, és 127 millió EUR a szabálytalanságokból);</w:t>
      </w:r>
    </w:p>
    <w:p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címzett bevételek 2019-ről átvezetendő összege, amely a becslés szerint 352 millió EUR.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Bizottság az 1 071 millió EUR-ra becsült bevételt a következő programok céljaira irányozta elő: </w:t>
      </w:r>
    </w:p>
    <w:p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150 millió EUR-t a gyümölcs- és zöldségágazatban működő termelői szervezetek működési alapjaira, és</w:t>
      </w:r>
    </w:p>
    <w:p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921 millió EUR-t az alaptámogatási rendszerre.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e programokhoz kapcsolódó elfogadott előirányzatok és címzett bevételek együttes összege a következő:</w:t>
      </w:r>
    </w:p>
    <w:p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849 millió EUR a gyümölcs- és zöldségágazatban működő termelői szervezetek működési alapjaira, és</w:t>
      </w:r>
    </w:p>
    <w:p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17 038 millió EUR az alaptámogatási rendszerre.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2020. évi költségvetés ideiglenes végrehajtását bemutató mellékletben a gyümölcs- és zöldségágazatra és a termeléstől független közvetlen kifizetésekre vonatkozó költségvetési előirányzatok jogcímcsoportonként megadott számadatai nem veszik figyelembe a fent említett címzett bevételeket. E számadatok a szóban forgó jogcímcsoportok tekintetében elfogadott előirányzatoknak felelnek meg, amelyek összege 700,5 millió EUR-t, illetve 34 574 millió EUR-t tesz ki.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Az e jogcímcsoportokhoz rendelt címzett bevételeket beszámítva a 2020. évi költségvetésben szereplő teljes tervezett előirányzat összege a gyümölcs- és zöldségágazat esetében 850,5 millió EUR, a termeléstől független közvetlen kifizetések esetében pedig 35 495 millió EUR. </w:t>
      </w:r>
    </w:p>
    <w:p>
      <w:pPr>
        <w:pStyle w:val="Heading1"/>
        <w:rPr>
          <w:noProof/>
          <w:szCs w:val="24"/>
        </w:rPr>
      </w:pPr>
      <w:bookmarkStart w:id="4" w:name="_Toc36712086"/>
      <w:r>
        <w:rPr>
          <w:noProof/>
          <w:szCs w:val="24"/>
        </w:rPr>
        <w:t>Az EMGA 2020. évi költségvetésének ideiglenes végrehajtására vonatkozó észrevételek</w:t>
      </w:r>
      <w:bookmarkEnd w:id="4"/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 jelentés melléklete bemutatja, hogy milyen szintet ért el a költségvetés ideiglenes végrehajtása a 2019. október 16-tól 2020. január 31-ig terjedő időszakban. E célból a végrehajtás szintjét összeveti az 1306/2013/EU rendelet 28. cikkének rendelkezései alapján kialakított korai előrejelző rendszer szerinti kiadási profillal.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pStyle w:val="Heading2"/>
        <w:rPr>
          <w:noProof/>
        </w:rPr>
      </w:pPr>
      <w:bookmarkStart w:id="5" w:name="_Toc36712087"/>
      <w:r>
        <w:rPr>
          <w:noProof/>
        </w:rPr>
        <w:t>Piaci intézkedések</w:t>
      </w:r>
      <w:bookmarkEnd w:id="5"/>
    </w:p>
    <w:p>
      <w:pPr>
        <w:pStyle w:val="Text1"/>
        <w:rPr>
          <w:noProof/>
        </w:rPr>
      </w:pPr>
      <w:r>
        <w:rPr>
          <w:noProof/>
        </w:rPr>
        <w:t>A mezőgazdasági piacokon végrehajtott intervenció céljára felhasznált előirányzatok összege 164 millió EUR-val kevesebb volt a felhasználási profil alapján várt összegnél. Ez főként a mezőgazdasági termékek promóciójához kapcsolódó költségvetési jogcímcsoport előirányzatainak a tervezettnél alacsonyabb szintű felhasználásával magyarázható (lásd a 3.1.2. pontot).</w:t>
      </w:r>
    </w:p>
    <w:p>
      <w:pPr>
        <w:pStyle w:val="Heading3"/>
        <w:rPr>
          <w:noProof/>
        </w:rPr>
      </w:pPr>
      <w:bookmarkStart w:id="6" w:name="_Toc36712088"/>
      <w:r>
        <w:rPr>
          <w:noProof/>
        </w:rPr>
        <w:t>Olívaolaj</w:t>
      </w:r>
      <w:bookmarkEnd w:id="6"/>
    </w:p>
    <w:p>
      <w:pPr>
        <w:pStyle w:val="Text1"/>
        <w:rPr>
          <w:noProof/>
        </w:rPr>
      </w:pPr>
      <w:r>
        <w:rPr>
          <w:noProof/>
        </w:rPr>
        <w:t>A minőség javítására irányuló programokkal összefüggésben teljesített kiadások összege közel 4 millió EUR-val alacsonyabb volt a kiadási profil alapján január végére várt összegnél.</w:t>
      </w:r>
    </w:p>
    <w:p>
      <w:pPr>
        <w:pStyle w:val="Text1"/>
        <w:rPr>
          <w:noProof/>
        </w:rPr>
      </w:pPr>
      <w:r>
        <w:rPr>
          <w:noProof/>
        </w:rPr>
        <w:t>A Bizottság azonban arra számít, hogy a költségvetésben szereplő összeg az év végére felhasználásra kerül.</w:t>
      </w:r>
    </w:p>
    <w:p>
      <w:pPr>
        <w:pStyle w:val="Heading3"/>
        <w:rPr>
          <w:noProof/>
        </w:rPr>
      </w:pPr>
      <w:bookmarkStart w:id="7" w:name="_Toc36712089"/>
      <w:r>
        <w:rPr>
          <w:noProof/>
        </w:rPr>
        <w:t>Ösztönzés</w:t>
      </w:r>
      <w:bookmarkEnd w:id="7"/>
    </w:p>
    <w:p>
      <w:pPr>
        <w:pStyle w:val="Text1"/>
        <w:rPr>
          <w:noProof/>
        </w:rPr>
      </w:pPr>
      <w:r>
        <w:rPr>
          <w:noProof/>
        </w:rPr>
        <w:t>Mivel az úgynevezett „összetett” programokra vonatkozó költségvetési előirányzatokkal kapcsolatos, eredetileg januárra tervezett kötelezettségvállalásokra még nem került sor, a költségvetés végrehajtása jelenleg –108 millió EUR-s átmeneti eltérést mutat a kiadási profilhoz képest.</w:t>
      </w:r>
    </w:p>
    <w:p>
      <w:pPr>
        <w:pStyle w:val="Heading3"/>
        <w:rPr>
          <w:noProof/>
        </w:rPr>
      </w:pPr>
      <w:bookmarkStart w:id="8" w:name="_Toc36712090"/>
      <w:r>
        <w:rPr>
          <w:noProof/>
        </w:rPr>
        <w:t>Gyümölcs- és zöldségfélék</w:t>
      </w:r>
      <w:bookmarkEnd w:id="8"/>
    </w:p>
    <w:p>
      <w:pPr>
        <w:pStyle w:val="Text1"/>
        <w:rPr>
          <w:noProof/>
        </w:rPr>
      </w:pPr>
      <w:r>
        <w:rPr>
          <w:noProof/>
        </w:rPr>
        <w:t>Ebben az ágazatban jól halad a költségvetés végrehajtása: a bejelentett kiadások megközelítőleg 7 millió EUR-val meghaladják a profilnak megfelelő összeget.</w:t>
      </w:r>
    </w:p>
    <w:p>
      <w:pPr>
        <w:pStyle w:val="Heading3"/>
        <w:rPr>
          <w:noProof/>
        </w:rPr>
      </w:pPr>
      <w:bookmarkStart w:id="9" w:name="_Toc36712091"/>
      <w:r>
        <w:rPr>
          <w:noProof/>
        </w:rPr>
        <w:t>Szőlészeti-borászati termékek</w:t>
      </w:r>
      <w:bookmarkEnd w:id="9"/>
    </w:p>
    <w:p>
      <w:pPr>
        <w:pStyle w:val="Text1"/>
        <w:rPr>
          <w:noProof/>
        </w:rPr>
      </w:pPr>
      <w:r>
        <w:rPr>
          <w:noProof/>
        </w:rPr>
        <w:t>E költségvetési jogcímcsoport esetében a bejelentett kiadások –57 millió EUR-val maradnak el a kiadási profil szintjétől.</w:t>
      </w:r>
    </w:p>
    <w:p>
      <w:pPr>
        <w:pStyle w:val="Text1"/>
        <w:rPr>
          <w:noProof/>
        </w:rPr>
      </w:pPr>
      <w:r>
        <w:rPr>
          <w:noProof/>
        </w:rPr>
        <w:t>A Bizottság ezt az eltérést ideiglenesnek tekinti, és arra számít, hogy a költségvetésben szereplő összeg az év végére felhasználásra kerül.</w:t>
      </w:r>
    </w:p>
    <w:p>
      <w:pPr>
        <w:pStyle w:val="Text1"/>
        <w:rPr>
          <w:noProof/>
        </w:rPr>
      </w:pPr>
    </w:p>
    <w:p>
      <w:pPr>
        <w:pStyle w:val="Heading2"/>
        <w:rPr>
          <w:noProof/>
          <w:szCs w:val="24"/>
        </w:rPr>
      </w:pPr>
      <w:bookmarkStart w:id="10" w:name="_Toc36712092"/>
      <w:r>
        <w:rPr>
          <w:noProof/>
          <w:szCs w:val="24"/>
        </w:rPr>
        <w:t>Közvetlen kifizetések</w:t>
      </w:r>
      <w:bookmarkEnd w:id="10"/>
      <w:r>
        <w:rPr>
          <w:noProof/>
          <w:szCs w:val="24"/>
        </w:rPr>
        <w:t xml:space="preserve">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közvetlen kifizetések teljesítésére felhasznált előirányzatok összege megfelelt a felhasználási profilnak, közel 358 millió EUR-val meghaladva azt.</w:t>
      </w:r>
    </w:p>
    <w:p>
      <w:pPr>
        <w:pStyle w:val="Heading3"/>
        <w:rPr>
          <w:noProof/>
        </w:rPr>
      </w:pPr>
      <w:bookmarkStart w:id="11" w:name="_Toc36712093"/>
      <w:r>
        <w:rPr>
          <w:noProof/>
        </w:rPr>
        <w:t>Termeléstől független közvetlen kifizetések</w:t>
      </w:r>
      <w:bookmarkEnd w:id="11"/>
    </w:p>
    <w:p>
      <w:pPr>
        <w:pStyle w:val="Text1"/>
        <w:rPr>
          <w:noProof/>
        </w:rPr>
      </w:pPr>
      <w:r>
        <w:rPr>
          <w:noProof/>
        </w:rPr>
        <w:t xml:space="preserve">A bejelentett kiadások 277 millió EUR-val (0,8 százalékponttal) meghaladják a profil szintjét. </w:t>
      </w:r>
    </w:p>
    <w:p>
      <w:pPr>
        <w:pStyle w:val="Text1"/>
        <w:rPr>
          <w:noProof/>
        </w:rPr>
      </w:pPr>
      <w:r>
        <w:rPr>
          <w:noProof/>
        </w:rPr>
        <w:t>Az alaptámogatási rendszerre és az egységes területalapú támogatási rendszerre fordított kiadások valamivel magasabbak voltak a felhasználási profil alapján várt összegnél, míg az éghajlat és a környezet szempontjából előnyös mezőgazdasági gyakorlatokra nyújtott támogatás esetében kismértékben a várt szint alatt maradtak.</w:t>
      </w:r>
    </w:p>
    <w:p>
      <w:pPr>
        <w:pStyle w:val="Heading3"/>
        <w:rPr>
          <w:noProof/>
        </w:rPr>
      </w:pPr>
      <w:bookmarkStart w:id="12" w:name="_Toc36712094"/>
      <w:r>
        <w:rPr>
          <w:noProof/>
        </w:rPr>
        <w:t>Egyéb közvetlen kifizetések</w:t>
      </w:r>
      <w:bookmarkEnd w:id="12"/>
    </w:p>
    <w:p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bejelentett kiadások 81 millió EUR-val (1,4 százalékponttal) meghaladják a profil szintjét: a termeléstől függő önkéntes támogatási rendszer és a mezőgazdasági kistermelői rendszer kiadásai némileg magasabbak voltak a felhasználási profil alapján kiszámított összegnél.</w:t>
      </w:r>
    </w:p>
    <w:p>
      <w:pPr>
        <w:pStyle w:val="Heading1"/>
        <w:rPr>
          <w:noProof/>
          <w:szCs w:val="24"/>
        </w:rPr>
      </w:pPr>
      <w:bookmarkStart w:id="13" w:name="_Toc36712095"/>
      <w:r>
        <w:rPr>
          <w:noProof/>
          <w:szCs w:val="24"/>
        </w:rPr>
        <w:t>Az EMGA-hoz rendelt címzett bevételek végrehajtása</w:t>
      </w:r>
      <w:bookmarkEnd w:id="13"/>
    </w:p>
    <w:p>
      <w:pPr>
        <w:spacing w:before="90" w:after="120" w:line="240" w:lineRule="auto"/>
        <w:ind w:left="851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melléklet táblázata szerint 2020 januárjának végéig 64,5 millió EUR összegű címzett bevétel folyt be. Nevezetesen: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számlaelszámolási és a megfelelőségi vizsgálatokra vonatkozó határozatok szerinti korrekciókból származó bevételek összege 1,4 millió EUR-t tett ki, és a költségvetési év végéig várhatóan további jelentős összegek is befolynak majd;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szabálytalanságok nyomán keletkező bevételek összege 62,5 millió EUR-t tett ki, amelyet a költségvetési év végéig várhatóan további összegek növelnek, továbbá </w:t>
      </w:r>
    </w:p>
    <w:p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tejilletékből származó fennmaradó bevétel 0,6 millió EUR volt.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Végezetül a címzett bevételek 2019-ről 2020-ra átvezetett összege 348 millió EUR-t tett ki, amely a 2020. évi költségvetés elfogadásakor tervezett összegnél közel 4 millió EUR-val kevesebb. </w:t>
      </w:r>
    </w:p>
    <w:p>
      <w:pPr>
        <w:pStyle w:val="Text1"/>
        <w:rPr>
          <w:noProof/>
        </w:rPr>
      </w:pPr>
      <w:r>
        <w:rPr>
          <w:noProof/>
        </w:rPr>
        <w:t>Következésképpen az EMGA-kiadások fedezésére rendelkezésre álló címzett bevételek teljes összege 2020. január 31-én 412,7 millió EUR volt, amelyet a költségvetési év során várhatóan befolyó további összegek egészítenek majd ki.</w:t>
      </w:r>
    </w:p>
    <w:p>
      <w:pPr>
        <w:pStyle w:val="Heading1"/>
        <w:rPr>
          <w:noProof/>
        </w:rPr>
      </w:pPr>
      <w:bookmarkStart w:id="14" w:name="_Toc36712096"/>
      <w:r>
        <w:rPr>
          <w:noProof/>
        </w:rPr>
        <w:t>Következtetések</w:t>
      </w:r>
      <w:bookmarkEnd w:id="14"/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Az EMGA 2020. évi költségvetési előirányzatainak ideiglenes végrehajtása a 2020. január 31-ig terjedő időszak vonatkozásában azt mutatja, hogy a tagállamok részére teljesített havi visszatérítések 183,9 millió EUR összeggel meghaladják a várt felhasználási szintet. </w:t>
      </w:r>
    </w:p>
    <w:p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Jelenleg 412,7 millió EUR címzett bevétel áll rendelkezésre, amelyet a költségvetési év során várhatóan befolyó további összegek egészítenek majd ki. </w:t>
      </w:r>
    </w:p>
    <w:p>
      <w:pPr>
        <w:spacing w:before="120" w:after="120" w:line="240" w:lineRule="auto"/>
        <w:ind w:left="850"/>
        <w:jc w:val="both"/>
        <w:rPr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Bizottság jelenleg úgy ítéli meg, hogy az elfogadott előirányzatok, valamint a költségvetési év végéig elérhetővé váló címzett bevételek összege együtt elegendők lesznek az összes kiadás fedezésére.</w:t>
      </w:r>
    </w:p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/>
      <w:pgMar w:top="1134" w:right="1418" w:bottom="1134" w:left="1440" w:header="59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03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spacing w:after="60"/>
        <w:ind w:left="851" w:hanging="851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Az Unió általános költségvetésére alkalmazandó pénzügyi szabályokról szóló (EU, Euratom) 2018/1046 európai parlamenti és tanácsi rendelet 12. cikke (4) bekezdésének b) pontja értelmében a belső címzett bevételeknek megfelelő előirányzatokat kizárólag a következő pénzügyi évre lehet átvinni.</w:t>
      </w:r>
      <w:r>
        <w:t xml:space="preserve"> </w:t>
      </w:r>
      <w:r>
        <w:rPr>
          <w:rFonts w:ascii="Times New Roman" w:hAnsi="Times New Roman"/>
        </w:rPr>
        <w:t xml:space="preserve">Ezért a hatékony és eredményes költségvetési gazdálkodás érdekében ezek a címzett bevételek általában elsőként, az érintett költségvetési jogcímcsoport elfogadott előirányzatainak felhasználását megelőzően kerülnek felhasználásra.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243"/>
    <w:multiLevelType w:val="hybridMultilevel"/>
    <w:tmpl w:val="F10CF124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2E871E7"/>
    <w:multiLevelType w:val="hybridMultilevel"/>
    <w:tmpl w:val="FE3E400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1043F95"/>
    <w:multiLevelType w:val="hybridMultilevel"/>
    <w:tmpl w:val="EC6A6122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3F47367"/>
    <w:multiLevelType w:val="singleLevel"/>
    <w:tmpl w:val="B4E8C9F0"/>
    <w:name w:val="LegalNumbering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5EA2AD9"/>
    <w:multiLevelType w:val="hybridMultilevel"/>
    <w:tmpl w:val="FB28C2BA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4A12FA4"/>
    <w:multiLevelType w:val="multilevel"/>
    <w:tmpl w:val="428ECF3E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4E147BA"/>
    <w:multiLevelType w:val="hybridMultilevel"/>
    <w:tmpl w:val="C4FC6E94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6C827C2A"/>
    <w:multiLevelType w:val="hybridMultilevel"/>
    <w:tmpl w:val="253E2B00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6E6B4B85"/>
    <w:multiLevelType w:val="hybridMultilevel"/>
    <w:tmpl w:val="E67CE6C8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1632DBE"/>
    <w:multiLevelType w:val="hybridMultilevel"/>
    <w:tmpl w:val="253CB540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63E88F57-24A2-4E90-AC02-B9D548E87270"/>
    <w:docVar w:name="LW_COVERPAGE_TYPE" w:val="1"/>
    <w:docVar w:name="LW_CROSSREFERENCE" w:val="&lt;UNUSED&gt;"/>
    <w:docVar w:name="LW_DocType" w:val="NORMAL"/>
    <w:docVar w:name="LW_EMISSION" w:val="2020.4.3."/>
    <w:docVar w:name="LW_EMISSION_ISODATE" w:val="2020-04-03"/>
    <w:docVar w:name="LW_EMISSION_LOCATION" w:val="BRX"/>
    <w:docVar w:name="LW_EMISSION_PREFIX" w:val="Brüsszel, "/>
    <w:docVar w:name="LW_EMISSION_SUFFIX" w:val=" "/>
    <w:docVar w:name="LW_ID_DOCTYPE_NONLW" w:val="CP-006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 az EMGA-ból fedezett kiadásokról _x000b__x000b_Korai el\u337?rejelz\u337? rendszer, 2020/1-3. "/>
    <w:docVar w:name="LW_TYPE.DOC.CP" w:val="A BIZOTTSÁG JELENTÉSE AZ EURÓPAI PARLAMENTNEK ÉS A TANÁCS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unhideWhenUsed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unhideWhenUsed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semiHidden/>
    <w:unhideWhenUsed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semiHidden/>
    <w:rPr>
      <w:rFonts w:ascii="Times New Roman" w:eastAsia="Times New Roman" w:hAnsi="Times New Roman"/>
      <w:bCs/>
      <w:sz w:val="24"/>
      <w:szCs w:val="28"/>
      <w:lang w:eastAsia="en-US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ret1">
    <w:name w:val="Tiret 1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Text2">
    <w:name w:val="Text 2"/>
    <w:basedOn w:val="Normal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pPr>
      <w:ind w:left="44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unhideWhenUsed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unhideWhenUsed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semiHidden/>
    <w:unhideWhenUsed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semiHidden/>
    <w:rPr>
      <w:rFonts w:ascii="Times New Roman" w:eastAsia="Times New Roman" w:hAnsi="Times New Roman"/>
      <w:bCs/>
      <w:sz w:val="24"/>
      <w:szCs w:val="28"/>
      <w:lang w:eastAsia="en-US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ret1">
    <w:name w:val="Tiret 1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Text2">
    <w:name w:val="Text 2"/>
    <w:basedOn w:val="Normal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pPr>
      <w:ind w:left="44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9F91-2922-40AF-8F9A-B2D4F48D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1217</Words>
  <Characters>8594</Characters>
  <Application>Microsoft Office Word</Application>
  <DocSecurity>0</DocSecurity>
  <Lines>182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2019-03-08T13:41:00Z</cp:lastPrinted>
  <dcterms:created xsi:type="dcterms:W3CDTF">2020-03-12T10:43:00Z</dcterms:created>
  <dcterms:modified xsi:type="dcterms:W3CDTF">2020-04-03T12:49:00Z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evel of sensitivity">
    <vt:lpwstr>Standard treatment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6.0.1, Build 20180503</vt:lpwstr>
  </property>
  <property fmtid="{D5CDD505-2E9C-101B-9397-08002B2CF9AE}" pid="9" name="CPTemplateID">
    <vt:lpwstr>CP-006</vt:lpwstr>
  </property>
</Properties>
</file>