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56F3C34-ACDF-4B10-8622-4BFB98C11A78" style="width:450.45pt;height:365.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u w:color="000000"/>
          <w:bdr w:val="nil"/>
        </w:rPr>
        <w:t>•</w:t>
      </w:r>
      <w:r>
        <w:rPr>
          <w:noProof/>
          <w:u w:color="000000"/>
          <w:bdr w:val="nil"/>
        </w:rPr>
        <w:tab/>
      </w:r>
      <w:r>
        <w:rPr>
          <w:noProof/>
        </w:rPr>
        <w:t>Forslagets begrundelse og formål</w:t>
      </w:r>
    </w:p>
    <w:p>
      <w:pPr>
        <w:keepNext/>
        <w:tabs>
          <w:tab w:val="left" w:pos="0"/>
        </w:tabs>
        <w:outlineLvl w:val="1"/>
        <w:rPr>
          <w:rFonts w:eastAsia="Calibri"/>
          <w:noProof/>
        </w:rPr>
      </w:pPr>
      <w:r>
        <w:rPr>
          <w:noProof/>
        </w:rPr>
        <w:t>De direkte og indirekte virkninger af covid-19-udbruddet bliver stadig tydeligere i samtlige medlemsstater. Den nuværende situation er uden fortilfælde og kræver, at der træffes ekstraordinære foranstaltninger, som er tilpasset situationen under disse omstændigheder.</w:t>
      </w:r>
    </w:p>
    <w:p>
      <w:pPr>
        <w:keepNext/>
        <w:tabs>
          <w:tab w:val="left" w:pos="0"/>
        </w:tabs>
        <w:outlineLvl w:val="1"/>
        <w:rPr>
          <w:rFonts w:eastAsia="Calibri"/>
          <w:noProof/>
        </w:rPr>
      </w:pPr>
      <w:r>
        <w:rPr>
          <w:noProof/>
        </w:rPr>
        <w:t>Med det første investeringsinitiativ som reaktion på coronavirus (Coronavirus Response Investment Initiative (CRII)), som var en pakke af foranstaltninger foreslået af Kommissionen den 13. marts 2020, blev der indført en række vigtige ændringer, der giver mulighed for en mere effektiv indsats i den nuværende situation.</w:t>
      </w:r>
    </w:p>
    <w:p>
      <w:pPr>
        <w:keepNext/>
        <w:tabs>
          <w:tab w:val="left" w:pos="0"/>
        </w:tabs>
        <w:outlineLvl w:val="1"/>
        <w:rPr>
          <w:rFonts w:eastAsia="Calibri"/>
          <w:noProof/>
        </w:rPr>
      </w:pPr>
      <w:r>
        <w:rPr>
          <w:noProof/>
        </w:rPr>
        <w:t xml:space="preserve">Dette initiativ var rettet mod at fremme investeringer ved at mobilisere disponible likviditetsreserver i de europæiske struktur- og investeringsfonde (ESI-fondene) med det formål at bekæmpe krisen omgående, efterfulgt af supplerende foranstaltninger som foreslået under det andet investeringsinitiativ som reaktion på coronavirus (Coronavirus Response Investment Initiative Plus). Ikke desto mindre er der behov for yderligere foranstaltninger, også inden for andre politikområder, navnlig for at beskytte de mest udsatte. </w:t>
      </w:r>
    </w:p>
    <w:p>
      <w:pPr>
        <w:keepNext/>
        <w:tabs>
          <w:tab w:val="left" w:pos="0"/>
        </w:tabs>
        <w:outlineLvl w:val="1"/>
        <w:rPr>
          <w:rFonts w:eastAsia="Calibri"/>
          <w:noProof/>
        </w:rPr>
      </w:pPr>
      <w:r>
        <w:rPr>
          <w:noProof/>
        </w:rPr>
        <w:t xml:space="preserve">Coronavirus-krisen udgør desuden en hidtil uset udfordring for så vidt angår operationer og leveringer rettet mod de socialt dårligst stillede, støttet via Den Europæiske Fond for Bistand til de Socialt Dårligst Stillede (FEAD). </w:t>
      </w:r>
    </w:p>
    <w:p>
      <w:pPr>
        <w:keepNext/>
        <w:tabs>
          <w:tab w:val="left" w:pos="0"/>
        </w:tabs>
        <w:outlineLvl w:val="1"/>
        <w:rPr>
          <w:rFonts w:eastAsia="Calibri"/>
          <w:noProof/>
        </w:rPr>
      </w:pPr>
      <w:r>
        <w:rPr>
          <w:noProof/>
        </w:rPr>
        <w:t xml:space="preserve">Vigtigst af alt udgør krisen en særlig risiko for de socialt dårligst stillede, som er blandt de mest sårbare i vores samfund. Derfor haster det med at træffe særlige foranstaltninger for at beskytte dem mod at blive ofre for denne sygdom, og sikre, at FEAD-bistanden fortsat når ud til dem, f.eks. ved at stille det nødvendige beskyttelsesudstyr mod sygdommen til rådighed. I forbindelse med uddelingen af fødevarer og elementær materiel bistand samt støtte til social inklusion bliver adgangen til logistiske og menneskelige ressourcer stadig mere begrænset, navnlig på grund af karantænen og det presserende behov for at indføre social distancering for at dæmme op for spredningen af virusset. Mange af de frivillige, som udgør rygraden i fonden, kan ikke længere mobiliseres, da de ofte tilhører grupper med højere risiko for alvorlig sygdom forårsaget af covid-19. Ikke desto mindre er der behov for at sikre, at støtten stadig når ud til de socialt dårligst stillede, f.eks. ved hjælp af nye leveringsmetoder, der garanterer sikkerheden for alle de personer, der er involveret i gennemførelsen af FEAD, og for de socialt dårligst stillede. </w:t>
      </w:r>
    </w:p>
    <w:p>
      <w:pPr>
        <w:keepNext/>
        <w:tabs>
          <w:tab w:val="left" w:pos="0"/>
        </w:tabs>
        <w:outlineLvl w:val="1"/>
        <w:rPr>
          <w:rFonts w:eastAsia="Calibri"/>
          <w:noProof/>
        </w:rPr>
      </w:pPr>
      <w:r>
        <w:rPr>
          <w:noProof/>
        </w:rPr>
        <w:t xml:space="preserve">FEAD-forordningen skal derfor gøre det muligt for forvaltningsmyndigheder, partnerorganisationer og andre aktører, der er involveret i gennemførelsen af fonden, at reagere hurtigt på nye behov hos de målgrupper, der er udsat for yderligere problemer som følge af denne krise. </w:t>
      </w:r>
    </w:p>
    <w:p>
      <w:pPr>
        <w:keepNext/>
        <w:tabs>
          <w:tab w:val="left" w:pos="0"/>
        </w:tabs>
        <w:outlineLvl w:val="1"/>
        <w:rPr>
          <w:rFonts w:eastAsia="Calibri"/>
          <w:noProof/>
        </w:rPr>
      </w:pPr>
      <w:r>
        <w:rPr>
          <w:noProof/>
        </w:rPr>
        <w:t>Kommissionen foreslår derfor at ændre FEAD-forordningen for at imødegå de udfordringer, som offentlige myndigheder og partnerorganisationer står over for i forbindelse med gennemførelsen af FEAD under covid-19-udbruddet.</w:t>
      </w:r>
    </w:p>
    <w:p>
      <w:pPr>
        <w:keepNext/>
        <w:tabs>
          <w:tab w:val="left" w:pos="0"/>
        </w:tabs>
        <w:outlineLvl w:val="1"/>
        <w:rPr>
          <w:noProof/>
        </w:rPr>
      </w:pPr>
      <w:r>
        <w:rPr>
          <w:noProof/>
        </w:rPr>
        <w:t xml:space="preserve">I overensstemmelse med de foreslåede ændringer af ESI-fondene foreslås det at indføre særlige bestemmelser, som giver medlemsstaterne mulighed for hurtigt at iværksætte de nødvendige foranstaltninger for at imødegå denne nødsituation. I lighed med det, der blev foreslået for ESI-fondene, foreslås det, at udgifterne til FEAD-foranstaltninger, der fremmer kriseberedskabet i forbindelse med covid-19-udbruddet, gøres støtteberettigede fra den 1. februar 2020. På samme måde foreslås det, at der ved ændring af visse elementer i det </w:t>
      </w:r>
      <w:r>
        <w:rPr>
          <w:noProof/>
        </w:rPr>
        <w:lastRenderedPageBreak/>
        <w:t>operationelle program til håndtering af covid-19-udbruddet ikke skal være krav om godkendelse ved en afgørelse fra Kommissionen. Desuden giver forslaget myndighederne mulighed for at levere fødevarehjælp/elementær materiel bistand ved hjælp af elektroniske vouchere, da det reducerer risikoen for smitte under leveringen af fødevarer/elementær materiel bistand.</w:t>
      </w:r>
    </w:p>
    <w:p>
      <w:pPr>
        <w:keepNext/>
        <w:tabs>
          <w:tab w:val="left" w:pos="0"/>
        </w:tabs>
        <w:outlineLvl w:val="1"/>
        <w:rPr>
          <w:rFonts w:eastAsia="Calibri"/>
          <w:noProof/>
        </w:rPr>
      </w:pPr>
      <w:r>
        <w:rPr>
          <w:noProof/>
        </w:rPr>
        <w:t xml:space="preserve">Ud over disse ændringer foreslås det også at give mulighed for fleksibilitet med hensyn til overholdelsen af visse retlige krav i løbet af denne hidtil usete periode. Undtagelsesvis foreslås det for indeværende år at forlænge fristen for indsendelse af den årlige gennemførelsesrapport, og det præciseres, at medlemsstaterne kan tilpasse kontrol- og revisionsprocedurerne under udbruddet. Det foreslås også at indføre specifikke bestemmelser vedrørende støtteberettigelse for omkostninger, der afholdes af støttemodtagere, i tilfælde af, at leveringen af fødevarer/elementær materiel bistand eller social bistand forsinkes, eller operationer suspenderes eller ikke gennemføres fuldt ud. </w:t>
      </w:r>
    </w:p>
    <w:p>
      <w:pPr>
        <w:pStyle w:val="Body"/>
        <w:keepNext/>
        <w:rPr>
          <w:noProof/>
          <w:lang w:val="da-DK"/>
        </w:rPr>
      </w:pPr>
      <w:r>
        <w:rPr>
          <w:noProof/>
          <w:lang w:val="da-DK"/>
        </w:rPr>
        <w:t>For at sikre, at al støtte fra fonden kan mobiliseres med henblik på at minimere virkningerne af folkesundhedskrisen for de socialt dårligst stillede, er det nødvendigt som en midlertidig og ekstraordinær foranstaltning at tillade en midlertidig medfinansiering fra EU-budgettet på 100 %, uden at dette berører de regler, der finder anvendelse under almindelige omstændigheder.</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Sammenhæng med de gældende regler på samme område</w:t>
      </w:r>
    </w:p>
    <w:p>
      <w:pPr>
        <w:pBdr>
          <w:top w:val="nil"/>
          <w:left w:val="nil"/>
          <w:bottom w:val="nil"/>
          <w:right w:val="nil"/>
          <w:between w:val="nil"/>
          <w:bar w:val="nil"/>
        </w:pBdr>
        <w:spacing w:after="240"/>
        <w:rPr>
          <w:rFonts w:eastAsia="Calibri"/>
          <w:noProof/>
        </w:rPr>
      </w:pPr>
      <w:r>
        <w:rPr>
          <w:noProof/>
        </w:rPr>
        <w:t>Dette forslag er i overensstemmelse med de gældende regler på samme område, navnlig med de bestemmelser, som Kommissionen har foreslået for ESI-fondene som reaktion på covid-19-udbruddet inden for rammerne af CRII og CRII plus.</w:t>
      </w:r>
    </w:p>
    <w:p>
      <w:pPr>
        <w:pStyle w:val="ManualHeading2"/>
        <w:rPr>
          <w:rFonts w:eastAsia="Arial Unicode MS"/>
          <w:noProof/>
        </w:rPr>
      </w:pPr>
      <w:r>
        <w:rPr>
          <w:noProof/>
          <w:u w:color="000000"/>
          <w:bdr w:val="nil"/>
        </w:rPr>
        <w:t>•</w:t>
      </w:r>
      <w:r>
        <w:rPr>
          <w:noProof/>
          <w:u w:color="000000"/>
          <w:bdr w:val="nil"/>
        </w:rPr>
        <w:tab/>
      </w:r>
      <w:r>
        <w:rPr>
          <w:noProof/>
        </w:rPr>
        <w:t>Sammenhæng med Unionens politik på andre områder</w:t>
      </w:r>
    </w:p>
    <w:p>
      <w:pPr>
        <w:pStyle w:val="Body"/>
        <w:keepNext/>
        <w:rPr>
          <w:noProof/>
          <w:lang w:val="da-DK"/>
        </w:rPr>
      </w:pPr>
      <w:r>
        <w:rPr>
          <w:noProof/>
          <w:lang w:val="da-DK"/>
        </w:rPr>
        <w:t xml:space="preserve">Forslaget er i overensstemmelse med andre forslag og initiativer, som Europa-Kommissionen har vedtaget, navnlig de forslag, som Kommissionen har vedtaget for ESI-fondene som reaktion på covid-19-udbruddet. Det indgår også i en anden lovgivningspakke vedtaget af Kommissionen, som omfatter forslag til ændring af forordningen om fælles bestemmelser. </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u w:color="000000"/>
          <w:bdr w:val="nil"/>
        </w:rPr>
        <w:t>•</w:t>
      </w:r>
      <w:r>
        <w:rPr>
          <w:noProof/>
          <w:u w:color="000000"/>
          <w:bdr w:val="nil"/>
        </w:rPr>
        <w:tab/>
        <w:t>Retsgrundlag</w:t>
      </w:r>
    </w:p>
    <w:p>
      <w:pPr>
        <w:pStyle w:val="Body"/>
        <w:keepNext/>
        <w:rPr>
          <w:noProof/>
          <w:lang w:val="da-DK"/>
        </w:rPr>
      </w:pPr>
      <w:r>
        <w:rPr>
          <w:noProof/>
          <w:lang w:val="da-DK"/>
        </w:rPr>
        <w:t>Retsgrundlaget for dette forslag er artikel 175, stk. 3, i traktaten om Den Europæiske Unions funktionsmåde. Det giver midlertidigt mulighed for en medfinansieringssats på 100 % samt klarhed over støtteberettigelsen af udgifter, der er berørt af de foranstaltninger, som er iværksat som reaktion på sundhedskrisen. Endelig letter det en række krav til medlemsstaterne, hvor disse krav giver anledning til administrative byrder, som ville kunne forsinke gennemførelsen af de foranstaltninger, der træffes for at imødegå krisen. Disse ekstraordinære ændringer berører ikke de regler, der finder anvendelse under normale omstændigheder.</w:t>
      </w:r>
      <w:r>
        <w:rPr>
          <w:noProof/>
          <w:highlight w:val="yellow"/>
          <w:lang w:val="da-DK"/>
        </w:rPr>
        <w:t xml:space="preserve"> </w:t>
      </w:r>
    </w:p>
    <w:p>
      <w:pPr>
        <w:pStyle w:val="ManualHeading2"/>
        <w:rPr>
          <w:rFonts w:eastAsia="Arial Unicode MS"/>
          <w:noProof/>
          <w:u w:color="000000"/>
          <w:bdr w:val="nil"/>
        </w:rPr>
      </w:pPr>
      <w:r>
        <w:rPr>
          <w:noProof/>
          <w:u w:color="000000"/>
          <w:bdr w:val="nil"/>
        </w:rPr>
        <w:t>•</w:t>
      </w:r>
      <w:r>
        <w:rPr>
          <w:noProof/>
          <w:u w:color="000000"/>
          <w:bdr w:val="nil"/>
        </w:rPr>
        <w:tab/>
        <w:t xml:space="preserve">Nærhedsprincippet (for områder, der ikke er omfattet af enekompetence) </w:t>
      </w:r>
    </w:p>
    <w:p>
      <w:pPr>
        <w:pBdr>
          <w:top w:val="nil"/>
          <w:left w:val="nil"/>
          <w:bottom w:val="nil"/>
          <w:right w:val="nil"/>
          <w:between w:val="nil"/>
          <w:bar w:val="nil"/>
        </w:pBdr>
        <w:spacing w:after="240"/>
        <w:rPr>
          <w:rFonts w:eastAsia="Calibri"/>
          <w:noProof/>
        </w:rPr>
      </w:pPr>
      <w:r>
        <w:rPr>
          <w:noProof/>
        </w:rPr>
        <w:t xml:space="preserve">Forslaget er i overensstemmelse med nærhedsprincippet. </w:t>
      </w:r>
    </w:p>
    <w:p>
      <w:pPr>
        <w:pStyle w:val="ManualHeading2"/>
        <w:rPr>
          <w:rFonts w:eastAsia="Arial Unicode MS"/>
          <w:noProof/>
          <w:u w:color="000000"/>
          <w:bdr w:val="nil"/>
        </w:rPr>
      </w:pPr>
      <w:r>
        <w:rPr>
          <w:noProof/>
          <w:u w:color="000000"/>
          <w:bdr w:val="nil"/>
        </w:rPr>
        <w:t>•</w:t>
      </w:r>
      <w:r>
        <w:rPr>
          <w:noProof/>
          <w:u w:color="000000"/>
          <w:bdr w:val="nil"/>
        </w:rPr>
        <w:tab/>
        <w:t>Proportionalitetsprincippet</w:t>
      </w:r>
    </w:p>
    <w:p>
      <w:pPr>
        <w:rPr>
          <w:rFonts w:eastAsia="Calibri"/>
          <w:noProof/>
        </w:rPr>
      </w:pPr>
      <w:r>
        <w:rPr>
          <w:noProof/>
        </w:rPr>
        <w:t xml:space="preserve">Forslaget er i overensstemmelse med proportionalitetsprincippet og omfatter ikke bestemmelser, som ikke er nødvendige for at nå traktatens mål. Det er begrænset til de </w:t>
      </w:r>
      <w:r>
        <w:rPr>
          <w:noProof/>
        </w:rPr>
        <w:lastRenderedPageBreak/>
        <w:t>ændringer, der betragtes som nødvendige for at løse de problemer, medlemsstaterne står over for under covid-19-krisen i forbindelse med gennemførelsen af FEAD.</w:t>
      </w:r>
    </w:p>
    <w:p>
      <w:pPr>
        <w:pStyle w:val="ManualHeading2"/>
        <w:rPr>
          <w:rFonts w:eastAsia="Arial Unicode MS"/>
          <w:noProof/>
          <w:u w:color="000000"/>
          <w:bdr w:val="nil"/>
        </w:rPr>
      </w:pPr>
      <w:r>
        <w:rPr>
          <w:noProof/>
          <w:u w:color="000000"/>
          <w:bdr w:val="nil"/>
        </w:rPr>
        <w:t>•</w:t>
      </w:r>
      <w:r>
        <w:rPr>
          <w:noProof/>
          <w:u w:color="000000"/>
          <w:bdr w:val="nil"/>
        </w:rPr>
        <w:tab/>
        <w:t>Valg af retsakt</w:t>
      </w:r>
    </w:p>
    <w:p>
      <w:pPr>
        <w:pBdr>
          <w:top w:val="nil"/>
          <w:left w:val="nil"/>
          <w:bottom w:val="nil"/>
          <w:right w:val="nil"/>
          <w:between w:val="nil"/>
          <w:bar w:val="nil"/>
        </w:pBdr>
        <w:spacing w:after="240"/>
        <w:rPr>
          <w:rFonts w:eastAsia="Calibri"/>
          <w:noProof/>
        </w:rPr>
      </w:pPr>
      <w:r>
        <w:rPr>
          <w:noProof/>
        </w:rPr>
        <w:t>Foreslået retsakt: ændring af den gældende forordning.</w:t>
      </w:r>
    </w:p>
    <w:p>
      <w:pPr>
        <w:pBdr>
          <w:top w:val="nil"/>
          <w:left w:val="nil"/>
          <w:bottom w:val="nil"/>
          <w:right w:val="nil"/>
          <w:between w:val="nil"/>
          <w:bar w:val="nil"/>
        </w:pBdr>
        <w:spacing w:after="240"/>
        <w:rPr>
          <w:rFonts w:eastAsia="Arial Unicode MS"/>
          <w:noProof/>
        </w:rPr>
      </w:pPr>
      <w:r>
        <w:rPr>
          <w:noProof/>
        </w:rPr>
        <w:t>Kommissionen har undersøgt det råderum, som den retlige ramme giver, og finder det nødvendigt at foreslå ændringer til forordning (EU) nr. 223/2014.</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u w:color="000000"/>
          <w:bdr w:val="nil"/>
        </w:rPr>
        <w:t>•</w:t>
      </w:r>
      <w:r>
        <w:rPr>
          <w:noProof/>
          <w:u w:color="000000"/>
          <w:bdr w:val="nil"/>
        </w:rPr>
        <w:tab/>
        <w:t>Efterfølgende evalueringer/kvalitetskontrol af gældende lovgivning</w:t>
      </w:r>
    </w:p>
    <w:p>
      <w:pPr>
        <w:pBdr>
          <w:top w:val="nil"/>
          <w:left w:val="nil"/>
          <w:bottom w:val="nil"/>
          <w:right w:val="nil"/>
          <w:between w:val="nil"/>
          <w:bar w:val="nil"/>
        </w:pBdr>
        <w:spacing w:after="240"/>
        <w:rPr>
          <w:rFonts w:eastAsia="Arial Unicode MS"/>
          <w:noProof/>
        </w:rPr>
      </w:pPr>
      <w:r>
        <w:rPr>
          <w:noProof/>
        </w:rPr>
        <w:t>I betragtning af de særlige omstændigheder i forbindelse med dette forslag blev der ikke foretaget efterfølgende evalueringer/kvalitetskontrol af gældende lovgivning.</w:t>
      </w:r>
    </w:p>
    <w:p>
      <w:pPr>
        <w:pStyle w:val="ManualHeading2"/>
        <w:rPr>
          <w:rFonts w:eastAsia="Arial Unicode MS"/>
          <w:noProof/>
          <w:u w:color="000000"/>
          <w:bdr w:val="nil"/>
        </w:rPr>
      </w:pPr>
      <w:r>
        <w:rPr>
          <w:noProof/>
          <w:u w:color="000000"/>
          <w:bdr w:val="nil"/>
        </w:rPr>
        <w:t>•</w:t>
      </w:r>
      <w:r>
        <w:rPr>
          <w:noProof/>
          <w:u w:color="000000"/>
          <w:bdr w:val="nil"/>
        </w:rPr>
        <w:tab/>
        <w:t>Høringer af interesserede parter</w:t>
      </w:r>
    </w:p>
    <w:p>
      <w:pPr>
        <w:pBdr>
          <w:top w:val="nil"/>
          <w:left w:val="nil"/>
          <w:bottom w:val="nil"/>
          <w:right w:val="nil"/>
          <w:between w:val="nil"/>
          <w:bar w:val="nil"/>
        </w:pBdr>
        <w:spacing w:after="240"/>
        <w:rPr>
          <w:rFonts w:eastAsia="Arial Unicode MS"/>
          <w:noProof/>
        </w:rPr>
      </w:pPr>
      <w:r>
        <w:rPr>
          <w:noProof/>
        </w:rPr>
        <w:t>I betragtning af de særlige omstændigheder i forbindelse med dette forslag blev der ikke foretaget nogen høring af eksterne interesseparter.</w:t>
      </w:r>
    </w:p>
    <w:p>
      <w:pPr>
        <w:pStyle w:val="ManualHeading2"/>
        <w:rPr>
          <w:rFonts w:eastAsia="Arial Unicode MS"/>
          <w:noProof/>
          <w:u w:color="000000"/>
          <w:bdr w:val="nil"/>
        </w:rPr>
      </w:pPr>
      <w:r>
        <w:rPr>
          <w:noProof/>
          <w:u w:color="000000"/>
          <w:bdr w:val="nil"/>
        </w:rPr>
        <w:t>•</w:t>
      </w:r>
      <w:r>
        <w:rPr>
          <w:noProof/>
          <w:u w:color="000000"/>
          <w:bdr w:val="nil"/>
        </w:rPr>
        <w:tab/>
        <w:t>Indhentning og brug af ekspertbistand</w:t>
      </w:r>
    </w:p>
    <w:p>
      <w:pPr>
        <w:pBdr>
          <w:top w:val="nil"/>
          <w:left w:val="nil"/>
          <w:bottom w:val="nil"/>
          <w:right w:val="nil"/>
          <w:between w:val="nil"/>
          <w:bar w:val="nil"/>
        </w:pBdr>
        <w:spacing w:after="240"/>
        <w:rPr>
          <w:rFonts w:eastAsia="Arial Unicode MS"/>
          <w:noProof/>
        </w:rPr>
      </w:pPr>
      <w:r>
        <w:rPr>
          <w:noProof/>
        </w:rPr>
        <w:t>Der har ikke været behov for ekstern ekspertbistand.</w:t>
      </w:r>
    </w:p>
    <w:p>
      <w:pPr>
        <w:pStyle w:val="ManualHeading2"/>
        <w:rPr>
          <w:rFonts w:eastAsia="Arial Unicode MS"/>
          <w:noProof/>
          <w:u w:color="000000"/>
          <w:bdr w:val="nil"/>
        </w:rPr>
      </w:pPr>
      <w:r>
        <w:rPr>
          <w:noProof/>
          <w:u w:color="000000"/>
          <w:bdr w:val="nil"/>
        </w:rPr>
        <w:t>•</w:t>
      </w:r>
      <w:r>
        <w:rPr>
          <w:noProof/>
          <w:u w:color="000000"/>
          <w:bdr w:val="nil"/>
        </w:rPr>
        <w:tab/>
        <w:t>Konsekvensanalyse</w:t>
      </w:r>
    </w:p>
    <w:p>
      <w:pPr>
        <w:pBdr>
          <w:top w:val="nil"/>
          <w:left w:val="nil"/>
          <w:bottom w:val="nil"/>
          <w:right w:val="nil"/>
          <w:between w:val="nil"/>
          <w:bar w:val="nil"/>
        </w:pBdr>
        <w:spacing w:after="240"/>
        <w:rPr>
          <w:rFonts w:eastAsia="Arial Unicode MS"/>
          <w:noProof/>
        </w:rPr>
      </w:pPr>
      <w:r>
        <w:rPr>
          <w:noProof/>
        </w:rPr>
        <w:t>Ikke relevant.</w:t>
      </w:r>
    </w:p>
    <w:p>
      <w:pPr>
        <w:pStyle w:val="ManualHeading2"/>
        <w:rPr>
          <w:rFonts w:eastAsia="Arial Unicode MS"/>
          <w:noProof/>
          <w:u w:color="000000"/>
          <w:bdr w:val="nil"/>
        </w:rPr>
      </w:pPr>
      <w:r>
        <w:rPr>
          <w:noProof/>
          <w:u w:color="000000"/>
          <w:bdr w:val="nil"/>
        </w:rPr>
        <w:t>•</w:t>
      </w:r>
      <w:r>
        <w:rPr>
          <w:noProof/>
          <w:u w:color="000000"/>
          <w:bdr w:val="nil"/>
        </w:rPr>
        <w:tab/>
        <w:t>Målrettet regulering og forenkling</w:t>
      </w:r>
    </w:p>
    <w:p>
      <w:pPr>
        <w:rPr>
          <w:rFonts w:eastAsia="Calibri"/>
          <w:noProof/>
        </w:rPr>
      </w:pPr>
      <w:r>
        <w:rPr>
          <w:noProof/>
        </w:rPr>
        <w:t>Der er ikke et initiativ under programmet for målrettet og effektiv regulering (REFIT).</w:t>
      </w:r>
    </w:p>
    <w:p>
      <w:pPr>
        <w:pStyle w:val="ManualHeading2"/>
        <w:rPr>
          <w:rFonts w:eastAsia="Arial Unicode MS"/>
          <w:noProof/>
          <w:u w:color="000000"/>
          <w:bdr w:val="nil"/>
        </w:rPr>
      </w:pPr>
      <w:r>
        <w:rPr>
          <w:noProof/>
          <w:u w:color="000000"/>
          <w:bdr w:val="nil"/>
        </w:rPr>
        <w:t>•</w:t>
      </w:r>
      <w:r>
        <w:rPr>
          <w:noProof/>
          <w:u w:color="000000"/>
          <w:bdr w:val="nil"/>
        </w:rPr>
        <w:tab/>
        <w:t>Grundlæggende rettigheder</w:t>
      </w:r>
    </w:p>
    <w:p>
      <w:pPr>
        <w:pBdr>
          <w:top w:val="nil"/>
          <w:left w:val="nil"/>
          <w:bottom w:val="nil"/>
          <w:right w:val="nil"/>
          <w:between w:val="nil"/>
          <w:bar w:val="nil"/>
        </w:pBdr>
        <w:spacing w:after="240"/>
        <w:rPr>
          <w:rFonts w:eastAsia="Arial Unicode MS"/>
          <w:noProof/>
        </w:rPr>
      </w:pPr>
      <w:r>
        <w:rPr>
          <w:noProof/>
        </w:rPr>
        <w:t>Forslaget har ingen konsekvenser for beskyttelsen af de grundlæggende rettigheder.</w:t>
      </w:r>
    </w:p>
    <w:p>
      <w:pPr>
        <w:pStyle w:val="ManualHeading1"/>
        <w:rPr>
          <w:noProof/>
        </w:rPr>
      </w:pPr>
      <w:r>
        <w:rPr>
          <w:noProof/>
        </w:rPr>
        <w:t>4.</w:t>
      </w:r>
      <w:r>
        <w:rPr>
          <w:noProof/>
        </w:rPr>
        <w:tab/>
        <w:t>VIRKNINGER FOR BUDGETTET</w:t>
      </w:r>
    </w:p>
    <w:p>
      <w:pPr>
        <w:pBdr>
          <w:top w:val="nil"/>
          <w:left w:val="nil"/>
          <w:bottom w:val="nil"/>
          <w:right w:val="nil"/>
          <w:between w:val="nil"/>
          <w:bar w:val="nil"/>
        </w:pBdr>
        <w:spacing w:after="240"/>
        <w:rPr>
          <w:rFonts w:eastAsia="Calibri"/>
          <w:noProof/>
        </w:rPr>
      </w:pPr>
      <w:r>
        <w:rPr>
          <w:noProof/>
        </w:rPr>
        <w:t xml:space="preserve">Den foreslåede ændring indebærer ingen ændringer af de årlige lofter for forpligtelser og betalinger i den flerårige finansielle ramme, jf. forordning (EU) nr. 223/2014. Den samlede årlige fordeling af forpligtelsesbevillinger til Den Europæiske Fond for Bistand til de Socialt Dårligst Stillede forbliver uændret. </w:t>
      </w:r>
      <w:r>
        <w:rPr>
          <w:noProof/>
        </w:rPr>
        <w:tab/>
      </w:r>
    </w:p>
    <w:p>
      <w:pPr>
        <w:pBdr>
          <w:top w:val="nil"/>
          <w:left w:val="nil"/>
          <w:bottom w:val="nil"/>
          <w:right w:val="nil"/>
          <w:between w:val="nil"/>
          <w:bar w:val="nil"/>
        </w:pBdr>
        <w:spacing w:after="240"/>
        <w:rPr>
          <w:rFonts w:eastAsia="Calibri"/>
          <w:noProof/>
        </w:rPr>
      </w:pPr>
      <w:r>
        <w:rPr>
          <w:noProof/>
        </w:rPr>
        <w:t>Forslaget vil gøre det lettere at fremskynde gennemførelsen af programmer og vil føre til en fremrykning af betalingsbevillinger.</w:t>
      </w:r>
    </w:p>
    <w:p>
      <w:pPr>
        <w:pBdr>
          <w:top w:val="nil"/>
          <w:left w:val="nil"/>
          <w:bottom w:val="nil"/>
          <w:right w:val="nil"/>
          <w:between w:val="nil"/>
          <w:bar w:val="nil"/>
        </w:pBdr>
        <w:spacing w:after="240"/>
        <w:rPr>
          <w:rFonts w:eastAsia="Calibri"/>
          <w:noProof/>
        </w:rPr>
      </w:pPr>
      <w:r>
        <w:rPr>
          <w:noProof/>
        </w:rPr>
        <w:t>Kommissionen vil nøje overvåge virkningen af den foreslåede ændring på betalingsbevillingerne i 2020 under hensyntagen til både gennemførelsen af budgettet og medlemsstaternes reviderede overslag.</w:t>
      </w:r>
    </w:p>
    <w:p>
      <w:pPr>
        <w:pStyle w:val="ManualHeading1"/>
        <w:rPr>
          <w:noProof/>
        </w:rPr>
      </w:pPr>
      <w:r>
        <w:rPr>
          <w:noProof/>
        </w:rPr>
        <w:lastRenderedPageBreak/>
        <w:t>5.</w:t>
      </w:r>
      <w:r>
        <w:rPr>
          <w:noProof/>
        </w:rPr>
        <w:tab/>
        <w:t>ANDRE FORHOLD</w:t>
      </w:r>
    </w:p>
    <w:p>
      <w:pPr>
        <w:pStyle w:val="ManualHeading2"/>
        <w:rPr>
          <w:noProof/>
        </w:rPr>
      </w:pPr>
      <w:r>
        <w:rPr>
          <w:noProof/>
        </w:rPr>
        <w:t>•</w:t>
      </w:r>
      <w:r>
        <w:rPr>
          <w:noProof/>
        </w:rPr>
        <w:tab/>
        <w:t>Planer for gennemførelsen og foranstaltninger til overvågning, evaluering og rapportering</w:t>
      </w:r>
    </w:p>
    <w:p>
      <w:pPr>
        <w:rPr>
          <w:noProof/>
        </w:rPr>
      </w:pPr>
      <w:r>
        <w:rPr>
          <w:noProof/>
        </w:rPr>
        <w:t>Gennemførelsen af foranstaltningerne vil blive overvåget, og der rapporteres om den som led i de generelle rapporteringsprocedurer, der er fastsat i forordning (EU) nr. 223/2014.</w:t>
      </w:r>
    </w:p>
    <w:p>
      <w:pPr>
        <w:pStyle w:val="ManualHeading2"/>
        <w:rPr>
          <w:noProof/>
        </w:rPr>
      </w:pPr>
      <w:r>
        <w:rPr>
          <w:noProof/>
        </w:rPr>
        <w:t>•</w:t>
      </w:r>
      <w:r>
        <w:rPr>
          <w:noProof/>
        </w:rPr>
        <w:tab/>
        <w:t>Forklarende dokumenter (for direktiver)</w:t>
      </w:r>
    </w:p>
    <w:p>
      <w:pPr>
        <w:rPr>
          <w:noProof/>
        </w:rPr>
      </w:pPr>
      <w:r>
        <w:rPr>
          <w:noProof/>
        </w:rPr>
        <w:t>Ikke relevant.</w:t>
      </w:r>
    </w:p>
    <w:p>
      <w:pPr>
        <w:pBdr>
          <w:top w:val="nil"/>
          <w:left w:val="nil"/>
          <w:bottom w:val="nil"/>
          <w:right w:val="nil"/>
          <w:between w:val="nil"/>
          <w:bar w:val="nil"/>
        </w:pBdr>
        <w:spacing w:after="24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2020/0058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 xml:space="preserve">om ændring af forordning (EU) nr. 223/2014 for så vidt angår indførelsen af specifikke foranstaltninger til håndtering af covid-19-krisen </w:t>
      </w:r>
      <w:r>
        <w:rPr>
          <w:noProof/>
        </w:rPr>
        <w:br/>
      </w:r>
    </w:p>
    <w:p>
      <w:pPr>
        <w:pStyle w:val="Institutionquiagit"/>
        <w:rPr>
          <w:noProof/>
        </w:rPr>
      </w:pPr>
      <w:r>
        <w:rPr>
          <w:noProof/>
        </w:rPr>
        <w:t>EUROPA-PARLAMENTET OG RÅDET FOR DEN EUROPÆISKE UNION HAR —</w:t>
      </w:r>
    </w:p>
    <w:p>
      <w:pPr>
        <w:rPr>
          <w:noProof/>
        </w:rPr>
      </w:pPr>
      <w:r>
        <w:rPr>
          <w:noProof/>
        </w:rPr>
        <w:t xml:space="preserve">under henvisning til traktaten om Den Europæiske Unions funktionsmåde, særlig artikel 175, stk. 3, </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1"/>
      </w:r>
      <w:r>
        <w:rPr>
          <w:noProof/>
        </w:rPr>
        <w:t xml:space="preserve">, </w:t>
      </w:r>
    </w:p>
    <w:p>
      <w:pPr>
        <w:rPr>
          <w:noProof/>
        </w:rPr>
      </w:pPr>
      <w:r>
        <w:rPr>
          <w:noProof/>
        </w:rPr>
        <w:t>under henvisning til udtalelse fra Regionsudvalget</w:t>
      </w:r>
      <w:r>
        <w:rPr>
          <w:rStyle w:val="FootnoteReference"/>
          <w:noProof/>
        </w:rPr>
        <w:footnoteReference w:id="2"/>
      </w:r>
      <w:r>
        <w:rPr>
          <w:noProof/>
        </w:rPr>
        <w:t xml:space="preserve">, </w:t>
      </w:r>
    </w:p>
    <w:p>
      <w:pPr>
        <w:rPr>
          <w:noProof/>
        </w:rPr>
      </w:pPr>
      <w:r>
        <w:rPr>
          <w:noProof/>
        </w:rPr>
        <w:t>efter den almindelige lovgivningsprocedure, og</w:t>
      </w:r>
    </w:p>
    <w:p>
      <w:pPr>
        <w:rPr>
          <w:noProof/>
        </w:rPr>
      </w:pPr>
      <w:r>
        <w:rPr>
          <w:noProof/>
        </w:rPr>
        <w:t>ud fra følgende betragtninger:</w:t>
      </w:r>
    </w:p>
    <w:p>
      <w:pPr>
        <w:pStyle w:val="ManualConsidrant"/>
        <w:rPr>
          <w:noProof/>
        </w:rPr>
      </w:pPr>
      <w:r>
        <w:t>(1)</w:t>
      </w:r>
      <w:r>
        <w:tab/>
      </w:r>
      <w:r>
        <w:rPr>
          <w:noProof/>
        </w:rPr>
        <w:t>Europa-Parlamentets og Rådets forordning (EU) nr. 223/2014</w:t>
      </w:r>
      <w:r>
        <w:rPr>
          <w:rStyle w:val="FootnoteReference"/>
          <w:noProof/>
        </w:rPr>
        <w:footnoteReference w:id="3"/>
      </w:r>
      <w:r>
        <w:rPr>
          <w:noProof/>
        </w:rPr>
        <w:t xml:space="preserve"> indeholder bestemmelser vedrørende Den Europæiske Fond for Bistand til de Socialt Dårligst Stillede. </w:t>
      </w:r>
    </w:p>
    <w:p>
      <w:pPr>
        <w:pStyle w:val="ManualConsidrant"/>
        <w:rPr>
          <w:noProof/>
        </w:rPr>
      </w:pPr>
      <w:r>
        <w:t>(2)</w:t>
      </w:r>
      <w:r>
        <w:tab/>
      </w:r>
      <w:r>
        <w:rPr>
          <w:noProof/>
        </w:rPr>
        <w:t xml:space="preserve">Medlemsstaterne er blevet ramt af covid-19-udbruddet på en hidtil uset måde. Krisen medfører større risici for de mest udsatte, f.eks. de socialt dårligst stillede, og navnlig risikerer den at afbryde den støtte, der ydes af FEAD. </w:t>
      </w:r>
    </w:p>
    <w:p>
      <w:pPr>
        <w:pStyle w:val="ManualConsidrant"/>
        <w:rPr>
          <w:noProof/>
        </w:rPr>
      </w:pPr>
      <w:r>
        <w:t>(3)</w:t>
      </w:r>
      <w:r>
        <w:tab/>
      </w:r>
      <w:r>
        <w:rPr>
          <w:noProof/>
        </w:rPr>
        <w:t>For at sikre en øjeblikkelig reaktion på følgevirkningerne af krisen for de socialt dårligst stillede bør udgifter til operationer til fremme af kriseberedskabet i forbindelse med covid-19-udbruddet være støtteberettigede fra den 1. februar 2020.</w:t>
      </w:r>
    </w:p>
    <w:p>
      <w:pPr>
        <w:pStyle w:val="ManualConsidrant"/>
        <w:rPr>
          <w:noProof/>
        </w:rPr>
      </w:pPr>
      <w:r>
        <w:t>(4)</w:t>
      </w:r>
      <w:r>
        <w:tab/>
      </w:r>
      <w:r>
        <w:rPr>
          <w:noProof/>
        </w:rPr>
        <w:t xml:space="preserve">For at lette byrden på de offentlige budgetter som følge af krisesituationen bør medlemsstaterne have mulighed for undtagelsesvis at anmode om en medfinansieringssats på 100 % for regnskabsåret 2020-2021 i overensstemmelse med budgetbevillingerne, forudsat at der er midler til rådighed. Baseret på en vurdering af anvendelsen af denne ekstraordinære medfinansieringssats kan Kommissionen foreslå en forlængelse af denne foranstaltning. </w:t>
      </w:r>
    </w:p>
    <w:p>
      <w:pPr>
        <w:pStyle w:val="ManualConsidrant"/>
        <w:rPr>
          <w:noProof/>
        </w:rPr>
      </w:pPr>
      <w:r>
        <w:t>(5)</w:t>
      </w:r>
      <w:r>
        <w:tab/>
      </w:r>
      <w:r>
        <w:rPr>
          <w:noProof/>
        </w:rPr>
        <w:t xml:space="preserve">For at sikre, at de socialt dårligst stillede fortsat kan modtage bistand fra fonden i sikre omgivelser, er det nødvendigt at give medlemsstaterne tilstrækkelig fleksibilitet, så støtteordningerne kan tilpasses de nuværende forhold, bl.a. ved at tillade alternative leveringsordninger via elektroniske vouchere og ved at give medlemsstaterne mulighed for at ændre visse elementer i det operationelle program, uden at det kræver </w:t>
      </w:r>
      <w:r>
        <w:rPr>
          <w:noProof/>
        </w:rPr>
        <w:lastRenderedPageBreak/>
        <w:t>vedtagelse ved kommissionsafgørelse. For ikke at forstyrre de traditionelle leveringsordninger bør det også være muligt at stille de nødvendige værnemidler og det nødvendige beskyttelsesudstyr til rådighed for partnerorganisationer uden for budgettet for teknisk bistand.</w:t>
      </w:r>
    </w:p>
    <w:p>
      <w:pPr>
        <w:pStyle w:val="ManualConsidrant"/>
        <w:rPr>
          <w:noProof/>
        </w:rPr>
      </w:pPr>
      <w:r>
        <w:t>(6)</w:t>
      </w:r>
      <w:r>
        <w:tab/>
      </w:r>
      <w:r>
        <w:rPr>
          <w:noProof/>
        </w:rPr>
        <w:t>Der bør fastsættes særlige regler for beregning af de støtteberettigede omkostninger, der afholdes af støttemodtagerne, såfremt visse operationer er blevet forsinket, suspenderet eller ikke er fuldt ud gennemført på grund af covid-19-udbruddet.</w:t>
      </w:r>
    </w:p>
    <w:p>
      <w:pPr>
        <w:pStyle w:val="ManualConsidrant"/>
        <w:rPr>
          <w:noProof/>
        </w:rPr>
      </w:pPr>
      <w:r>
        <w:t>(7)</w:t>
      </w:r>
      <w:r>
        <w:tab/>
      </w:r>
      <w:r>
        <w:rPr>
          <w:noProof/>
        </w:rPr>
        <w:t xml:space="preserve">For at give medlemsstaterne mulighed for koncentrere sig om at indføre kriseforanstaltninger og undgå forstyrrelser i leveringen af støtte til de socialt dårligst stillede på grund af risikoen for smitte bør der fastsættes særlige foranstaltninger, der mindsker myndighedernes administrative byrde og giver fleksibilitet for så vidt angår overholdelse af visse lovgivningsmæssige krav, navnlig vedrørende overvågning og kontrol og revision. </w:t>
      </w:r>
    </w:p>
    <w:p>
      <w:pPr>
        <w:pStyle w:val="ManualConsidrant"/>
        <w:rPr>
          <w:noProof/>
        </w:rPr>
      </w:pPr>
      <w:r>
        <w:t>(8)</w:t>
      </w:r>
      <w:r>
        <w:tab/>
      </w:r>
      <w:r>
        <w:rPr>
          <w:noProof/>
        </w:rPr>
        <w:t xml:space="preserve">Da det haster med at indføre disse foranstaltninger for at sikre en effektiv gennemførelse af FEAD under covid-19-krisen, bør denne forordning træde i kraft dagen efter offentliggørelsen i </w:t>
      </w:r>
      <w:r>
        <w:rPr>
          <w:i/>
          <w:noProof/>
        </w:rPr>
        <w:t>Den Europæiske Unions Tidende</w:t>
      </w:r>
      <w:r>
        <w:rPr>
          <w:noProof/>
        </w:rPr>
        <w:t xml:space="preserve">. </w:t>
      </w:r>
    </w:p>
    <w:p>
      <w:pPr>
        <w:pStyle w:val="ManualConsidrant"/>
        <w:rPr>
          <w:noProof/>
        </w:rPr>
      </w:pPr>
      <w:r>
        <w:t>(9)</w:t>
      </w:r>
      <w:r>
        <w:tab/>
      </w:r>
      <w:r>
        <w:rPr>
          <w:noProof/>
        </w:rPr>
        <w:t>I betragtning af covid-19-udbruddet og det akutte behov for at imødegå den dermed forbundne folkesundhedskrise bør der ske fravigelse af den periode på otte uger, der er omhandlet i artikel 4 i protokol nr. 1 om de nationale parlamenters rolle i Den Europæiske Union, der er knyttet som bilag til traktaten om Den Europæiske Union, traktaten om Den Europæiske Unions funktionsmåde og traktaten om oprettelse af Det Europæiske Atomenergifællesskab.</w:t>
      </w:r>
    </w:p>
    <w:p>
      <w:pPr>
        <w:pStyle w:val="ManualConsidrant"/>
        <w:rPr>
          <w:noProof/>
        </w:rPr>
      </w:pPr>
      <w:r>
        <w:t>(10)</w:t>
      </w:r>
      <w:r>
        <w:tab/>
      </w:r>
      <w:r>
        <w:rPr>
          <w:noProof/>
        </w:rPr>
        <w:t>Forordning (EU) nr. 223/2014 bør derfor ændres —</w:t>
      </w:r>
    </w:p>
    <w:p>
      <w:pPr>
        <w:pStyle w:val="Formuledadoption"/>
        <w:rPr>
          <w:noProof/>
        </w:rPr>
      </w:pPr>
      <w:r>
        <w:rPr>
          <w:noProof/>
        </w:rPr>
        <w:t>VEDTAGET DENNE FORORDNING:</w:t>
      </w:r>
    </w:p>
    <w:p>
      <w:pPr>
        <w:pStyle w:val="Titrearticle"/>
        <w:rPr>
          <w:noProof/>
        </w:rPr>
      </w:pPr>
      <w:r>
        <w:rPr>
          <w:noProof/>
        </w:rPr>
        <w:t>Artikel 1</w:t>
      </w:r>
    </w:p>
    <w:p>
      <w:pPr>
        <w:rPr>
          <w:rFonts w:eastAsia="Calibri"/>
          <w:noProof/>
        </w:rPr>
      </w:pPr>
      <w:r>
        <w:rPr>
          <w:noProof/>
        </w:rPr>
        <w:t>I forordning (EU) nr. 223/2014 foretages følgende ændringer:</w:t>
      </w:r>
    </w:p>
    <w:p>
      <w:pPr>
        <w:pStyle w:val="Point0"/>
        <w:rPr>
          <w:noProof/>
        </w:rPr>
      </w:pPr>
      <w:r>
        <w:rPr>
          <w:noProof/>
        </w:rPr>
        <w:t>1)</w:t>
      </w:r>
      <w:r>
        <w:rPr>
          <w:noProof/>
        </w:rPr>
        <w:tab/>
        <w:t>Artikel 9, stk. 4, affattes således:</w:t>
      </w:r>
    </w:p>
    <w:p>
      <w:pPr>
        <w:pBdr>
          <w:top w:val="nil"/>
          <w:left w:val="nil"/>
          <w:bottom w:val="nil"/>
          <w:right w:val="nil"/>
          <w:between w:val="nil"/>
          <w:bar w:val="nil"/>
        </w:pBdr>
        <w:spacing w:after="240"/>
        <w:ind w:left="720" w:hanging="11"/>
        <w:rPr>
          <w:rFonts w:eastAsia="Calibri"/>
          <w:noProof/>
        </w:rPr>
      </w:pPr>
      <w:r>
        <w:rPr>
          <w:noProof/>
        </w:rPr>
        <w:t xml:space="preserve">"4. Stk. 1, 2 og 3 finder ikke anvendelse, når der er tale om ændring af elementer i et operationelt program, der falder ind under underafsnit 3.5 henholdsvis 3.6 eller afsnit 4 i modellerne for operationelle programmer i bilag I, eller elementerne i artikel 7, stk. 2, litra a), b), c), d), e) og g), hvis de ændres som følge af kriseberedskabet i forbindelse med covid-19-udbruddet. </w:t>
      </w:r>
    </w:p>
    <w:p>
      <w:pPr>
        <w:pBdr>
          <w:top w:val="nil"/>
          <w:left w:val="nil"/>
          <w:bottom w:val="nil"/>
          <w:right w:val="nil"/>
          <w:between w:val="nil"/>
          <w:bar w:val="nil"/>
        </w:pBdr>
        <w:spacing w:after="240"/>
        <w:ind w:left="720"/>
        <w:rPr>
          <w:rFonts w:eastAsia="Calibri"/>
          <w:noProof/>
        </w:rPr>
      </w:pPr>
      <w:r>
        <w:rPr>
          <w:noProof/>
        </w:rPr>
        <w:t>En medlemsstat skal underrette Kommissionen om enhver beslutning om at ændre elementerne omhandlet i første afsnit senest en måned efter datoen for denne beslutning. Beslutningen skal indeholde angivelse af datoen for dens ikrafttræden, som ikke må være tidligere end vedtagelsesdatoen."</w:t>
      </w:r>
    </w:p>
    <w:p>
      <w:pPr>
        <w:pStyle w:val="Point0"/>
        <w:rPr>
          <w:noProof/>
        </w:rPr>
      </w:pPr>
      <w:r>
        <w:rPr>
          <w:noProof/>
        </w:rPr>
        <w:t>2)</w:t>
      </w:r>
      <w:r>
        <w:rPr>
          <w:noProof/>
        </w:rPr>
        <w:tab/>
        <w:t>I artikel 13, stk. 1, tilføjes følgende afsnit:</w:t>
      </w:r>
    </w:p>
    <w:p>
      <w:pPr>
        <w:pBdr>
          <w:top w:val="nil"/>
          <w:left w:val="nil"/>
          <w:bottom w:val="nil"/>
          <w:right w:val="nil"/>
          <w:between w:val="nil"/>
          <w:bar w:val="nil"/>
        </w:pBdr>
        <w:spacing w:after="240"/>
        <w:ind w:left="720"/>
        <w:contextualSpacing/>
        <w:rPr>
          <w:rFonts w:eastAsia="Calibri"/>
          <w:noProof/>
        </w:rPr>
      </w:pPr>
      <w:r>
        <w:rPr>
          <w:noProof/>
        </w:rPr>
        <w:t>"Uanset første afsnit fastsættes fristen for forelæggelse af den årlige gennemførelsesrapport for 2019 til den 30. september 2020."</w:t>
      </w:r>
    </w:p>
    <w:p>
      <w:pPr>
        <w:pStyle w:val="Point0"/>
        <w:rPr>
          <w:noProof/>
        </w:rPr>
      </w:pPr>
      <w:r>
        <w:rPr>
          <w:noProof/>
        </w:rPr>
        <w:t>3)</w:t>
      </w:r>
      <w:r>
        <w:rPr>
          <w:noProof/>
        </w:rPr>
        <w:tab/>
        <w:t>I artikel 20 indsættes følgende stykke:</w:t>
      </w:r>
    </w:p>
    <w:p>
      <w:pPr>
        <w:ind w:left="709"/>
        <w:rPr>
          <w:noProof/>
        </w:rPr>
      </w:pPr>
      <w:r>
        <w:rPr>
          <w:noProof/>
        </w:rPr>
        <w:t xml:space="preserve">"1a </w:t>
      </w:r>
      <w:r>
        <w:rPr>
          <w:noProof/>
        </w:rPr>
        <w:tab/>
        <w:t xml:space="preserve">Uanset stk. 1 kan der på medlemsstatens anmodning anvendes en medfinansieringssats på 100 % for de offentlige udgifter, der angives i </w:t>
      </w:r>
      <w:r>
        <w:rPr>
          <w:noProof/>
        </w:rPr>
        <w:lastRenderedPageBreak/>
        <w:t xml:space="preserve">betalingsanmodninger i regnskabsåret, der begynder den 1. juli 2020 og slutter den 30. juni 2021. </w:t>
      </w:r>
    </w:p>
    <w:p>
      <w:pPr>
        <w:ind w:left="709"/>
        <w:rPr>
          <w:noProof/>
        </w:rPr>
      </w:pPr>
      <w:r>
        <w:rPr>
          <w:noProof/>
        </w:rPr>
        <w:t>Anmodninger om ændring af medfinansieringssatsen skal indgives via proceduren for ændring af operationelle programmer, jf. artikel 9, og være ledsaget af det ændrede program. Medfinansieringssatsen på 100 % finder kun anvendelse, hvis den tilsvarende programændring godkendes af Kommissionen senest inden indgivelsen af den endelige anmodning om en mellemliggende betaling i overensstemmelse med artikel 45, stk. 2.</w:t>
      </w:r>
    </w:p>
    <w:p>
      <w:pPr>
        <w:ind w:left="709"/>
        <w:rPr>
          <w:noProof/>
        </w:rPr>
      </w:pPr>
      <w:r>
        <w:rPr>
          <w:noProof/>
        </w:rPr>
        <w:t>Inden den første betalingsanmodning indgives for det regnskabsår, der begynder den 1. juli 2021, meddeler medlemsstaterne den tabel, der er omhandlet i afsnit 5.1 i modellerne for operationelle programmer i bilag I, som bekræfter den medfinansieringssats, der var gældende i regnskabsåret, som slutter den 30. juni 2020."</w:t>
      </w:r>
    </w:p>
    <w:p>
      <w:pPr>
        <w:pStyle w:val="Point0"/>
        <w:rPr>
          <w:noProof/>
        </w:rPr>
      </w:pPr>
      <w:r>
        <w:rPr>
          <w:noProof/>
        </w:rPr>
        <w:t>4)</w:t>
      </w:r>
      <w:r>
        <w:rPr>
          <w:noProof/>
        </w:rPr>
        <w:tab/>
        <w:t>I artikel 22, stk. 4, indsættes følgende afsnit:</w:t>
      </w:r>
    </w:p>
    <w:p>
      <w:pPr>
        <w:ind w:left="720"/>
        <w:rPr>
          <w:noProof/>
        </w:rPr>
      </w:pPr>
      <w:r>
        <w:rPr>
          <w:noProof/>
        </w:rPr>
        <w:t>"Uanset første afsnit er udgifter til operationer til fremme af kriseberedskabet i forbindelse med covid-19-udbruddet støtteberettigede fra den 1. februar 2020."</w:t>
      </w:r>
    </w:p>
    <w:p>
      <w:pPr>
        <w:pStyle w:val="Point0"/>
        <w:rPr>
          <w:noProof/>
        </w:rPr>
      </w:pPr>
      <w:r>
        <w:rPr>
          <w:noProof/>
        </w:rPr>
        <w:t>5)</w:t>
      </w:r>
      <w:r>
        <w:rPr>
          <w:noProof/>
        </w:rPr>
        <w:tab/>
        <w:t>I artikel 23 indsættes følgende stykke:</w:t>
      </w:r>
    </w:p>
    <w:p>
      <w:pPr>
        <w:pBdr>
          <w:top w:val="nil"/>
          <w:left w:val="nil"/>
          <w:bottom w:val="nil"/>
          <w:right w:val="nil"/>
          <w:between w:val="nil"/>
          <w:bar w:val="nil"/>
        </w:pBdr>
        <w:spacing w:after="240"/>
        <w:ind w:left="1440" w:hanging="720"/>
        <w:contextualSpacing/>
        <w:rPr>
          <w:rFonts w:eastAsia="Calibri"/>
          <w:noProof/>
        </w:rPr>
      </w:pPr>
      <w:r>
        <w:rPr>
          <w:noProof/>
        </w:rPr>
        <w:t xml:space="preserve">"4a. </w:t>
      </w:r>
      <w:r>
        <w:rPr>
          <w:noProof/>
        </w:rPr>
        <w:tab/>
        <w:t>Fødevarer og/eller elementær materiel bistand kan ydes direkte til de socialt dårligst stillede personer eller indirekte via elektroniske vouchere eller kort, forudsat at de kun kan indløses mod fødevarer og/eller elementær materiel bistand, jf. artikel 2, stk. 1."</w:t>
      </w:r>
    </w:p>
    <w:p>
      <w:pPr>
        <w:pStyle w:val="Point0"/>
        <w:rPr>
          <w:noProof/>
        </w:rPr>
      </w:pPr>
      <w:r>
        <w:rPr>
          <w:noProof/>
        </w:rPr>
        <w:t>6)</w:t>
      </w:r>
      <w:r>
        <w:rPr>
          <w:noProof/>
        </w:rPr>
        <w:tab/>
        <w:t>I artikel 26, stk. 2, foretages følgende ændringer:</w:t>
      </w:r>
    </w:p>
    <w:p>
      <w:pPr>
        <w:pStyle w:val="Point1"/>
        <w:rPr>
          <w:noProof/>
        </w:rPr>
      </w:pPr>
      <w:r>
        <w:rPr>
          <w:noProof/>
        </w:rPr>
        <w:t>1)</w:t>
      </w:r>
      <w:r>
        <w:rPr>
          <w:noProof/>
        </w:rPr>
        <w:tab/>
        <w:t>Litra a) affattes således:</w:t>
      </w:r>
    </w:p>
    <w:p>
      <w:pPr>
        <w:ind w:left="720"/>
        <w:rPr>
          <w:noProof/>
        </w:rPr>
      </w:pPr>
      <w:r>
        <w:rPr>
          <w:noProof/>
        </w:rPr>
        <w:t>"a) udgifter til indkøb af fødevarer og/eller elementær materiel bistand og udgifter til indkøb af personlige værnemidler og beskyttelsesudstyr til partnerorganisationer"</w:t>
      </w:r>
    </w:p>
    <w:p>
      <w:pPr>
        <w:pStyle w:val="Point1"/>
        <w:rPr>
          <w:noProof/>
        </w:rPr>
      </w:pPr>
      <w:r>
        <w:rPr>
          <w:noProof/>
        </w:rPr>
        <w:t>2)</w:t>
      </w:r>
      <w:r>
        <w:rPr>
          <w:noProof/>
        </w:rPr>
        <w:tab/>
        <w:t>Litra c) affattes således:</w:t>
      </w:r>
    </w:p>
    <w:p>
      <w:pPr>
        <w:ind w:left="720"/>
        <w:rPr>
          <w:noProof/>
        </w:rPr>
      </w:pPr>
      <w:r>
        <w:rPr>
          <w:noProof/>
        </w:rPr>
        <w:t xml:space="preserve">"c) administrative udgifter, forberedelses-, transport- og lagerudgifter, som bæres af partnerorganisationerne som en fast takst på 5 % af udgifterne i litra a) eller 5 % af værdien af de fødevarer, der er afsat i overensstemmelse med artikel 16 i forordning (EU) nr. 1308/2013" </w:t>
      </w:r>
    </w:p>
    <w:p>
      <w:pPr>
        <w:pStyle w:val="Point0"/>
        <w:rPr>
          <w:noProof/>
        </w:rPr>
      </w:pPr>
      <w:r>
        <w:rPr>
          <w:noProof/>
        </w:rPr>
        <w:t>7)</w:t>
      </w:r>
      <w:r>
        <w:rPr>
          <w:noProof/>
        </w:rPr>
        <w:tab/>
        <w:t>Følgende indsættes som artikel 26a, 26b og 26c:</w:t>
      </w:r>
    </w:p>
    <w:p>
      <w:pPr>
        <w:pStyle w:val="NormalCentered"/>
        <w:ind w:firstLine="720"/>
        <w:rPr>
          <w:noProof/>
        </w:rPr>
      </w:pPr>
      <w:r>
        <w:rPr>
          <w:noProof/>
        </w:rPr>
        <w:t xml:space="preserve">"Artikel 26a </w:t>
      </w:r>
    </w:p>
    <w:p>
      <w:pPr>
        <w:pStyle w:val="NormalCentered"/>
        <w:ind w:firstLine="720"/>
        <w:rPr>
          <w:noProof/>
        </w:rPr>
      </w:pPr>
      <w:r>
        <w:rPr>
          <w:noProof/>
        </w:rPr>
        <w:t>Støtteberettigelse for udgifter til operationer, der modtager støtte inden for rammerne af OP I, under suspensionsperioden som følge af covid-19-udbruddet</w:t>
      </w:r>
    </w:p>
    <w:p>
      <w:pPr>
        <w:pStyle w:val="Text1"/>
        <w:rPr>
          <w:noProof/>
        </w:rPr>
      </w:pPr>
      <w:r>
        <w:rPr>
          <w:noProof/>
        </w:rPr>
        <w:t>Forsinkelser i leveringen af fødevarehjælp/elementær materiel bistand som følge af covid-19-udbruddet medfører ikke en reduktion af de støtteberettigede omkostninger, der bæres af indkøbsorganet eller partnerorganisationerne i overensstemmelse med artikel 26, stk. 2. Disse udgifter kan anmeldes til Kommissionen i overensstemmelse med artikel 26, stk. 2, inden leveringen af fødevarer/elementær materiel bistand til de socialt dårligst stillede, forudsat at leveringen genoptages efter covid-19-krisens afslutning.</w:t>
      </w:r>
    </w:p>
    <w:p>
      <w:pPr>
        <w:pStyle w:val="Text1"/>
        <w:rPr>
          <w:noProof/>
        </w:rPr>
      </w:pPr>
      <w:r>
        <w:rPr>
          <w:noProof/>
        </w:rPr>
        <w:lastRenderedPageBreak/>
        <w:t>I tilfælde, hvor fødevarer fordærves som følge af suspenderet levering, der skyldes covid-19-udbruddet, foretages ingen reduktion af de i artikel 26, stk. 2, litra a), fastsatte omkostninger.</w:t>
      </w:r>
    </w:p>
    <w:p>
      <w:pPr>
        <w:pStyle w:val="NormalCentered"/>
        <w:rPr>
          <w:noProof/>
        </w:rPr>
      </w:pPr>
      <w:r>
        <w:rPr>
          <w:noProof/>
        </w:rPr>
        <w:t>Artikel 26b</w:t>
      </w:r>
    </w:p>
    <w:p>
      <w:pPr>
        <w:pStyle w:val="NormalCentered"/>
        <w:rPr>
          <w:noProof/>
        </w:rPr>
      </w:pPr>
      <w:r>
        <w:rPr>
          <w:noProof/>
        </w:rPr>
        <w:t>Støtteberettigelse for udgifter til operationer, der modtager støtte inden for rammerne af OP II eller teknisk bistand, under suspensionsperioden som følge af covid-19-udbruddet</w:t>
      </w:r>
    </w:p>
    <w:p>
      <w:pPr>
        <w:pStyle w:val="Text1"/>
        <w:rPr>
          <w:noProof/>
        </w:rPr>
      </w:pPr>
      <w:r>
        <w:rPr>
          <w:noProof/>
        </w:rPr>
        <w:t>1.</w:t>
      </w:r>
      <w:r>
        <w:rPr>
          <w:noProof/>
        </w:rPr>
        <w:tab/>
        <w:t>For så vidt angår operationer, hvis gennemførelse er suspenderet på grund af covid-19-udbruddet, kan en medlemsstat betragte udgifterne under suspensionen som støtteberettigede udgifter, selv om der ikke er leveret nogen tjenester, forudsat at følgende betingelser alle er opfyldt:</w:t>
      </w:r>
    </w:p>
    <w:p>
      <w:pPr>
        <w:pStyle w:val="Text1"/>
        <w:rPr>
          <w:noProof/>
        </w:rPr>
      </w:pPr>
      <w:r>
        <w:rPr>
          <w:noProof/>
        </w:rPr>
        <w:t>a)</w:t>
      </w:r>
      <w:r>
        <w:rPr>
          <w:noProof/>
        </w:rPr>
        <w:tab/>
        <w:t>gennemførelsen af operationen blev suspenderet efter den 31. januar 2020</w:t>
      </w:r>
    </w:p>
    <w:p>
      <w:pPr>
        <w:pStyle w:val="Text1"/>
        <w:rPr>
          <w:noProof/>
        </w:rPr>
      </w:pPr>
      <w:r>
        <w:rPr>
          <w:noProof/>
        </w:rPr>
        <w:t>b)</w:t>
      </w:r>
      <w:r>
        <w:rPr>
          <w:noProof/>
        </w:rPr>
        <w:tab/>
        <w:t>suspensionen af operationen skyldes covid-19-udbruddet</w:t>
      </w:r>
    </w:p>
    <w:p>
      <w:pPr>
        <w:pStyle w:val="Text1"/>
        <w:rPr>
          <w:noProof/>
        </w:rPr>
      </w:pPr>
      <w:r>
        <w:rPr>
          <w:noProof/>
        </w:rPr>
        <w:t>c)</w:t>
      </w:r>
      <w:r>
        <w:rPr>
          <w:noProof/>
        </w:rPr>
        <w:tab/>
        <w:t xml:space="preserve">udgifterne er afholdt og betalt </w:t>
      </w:r>
    </w:p>
    <w:p>
      <w:pPr>
        <w:pStyle w:val="Text1"/>
        <w:rPr>
          <w:noProof/>
        </w:rPr>
      </w:pPr>
      <w:r>
        <w:rPr>
          <w:noProof/>
        </w:rPr>
        <w:t>d)</w:t>
      </w:r>
      <w:r>
        <w:rPr>
          <w:noProof/>
        </w:rPr>
        <w:tab/>
        <w:t xml:space="preserve">udgifterne udgør en reel omkostning for støttemodtageren og kan ikke inddrives eller godtgøres; med hensyn til inddrivelser og godtgørelser, der ikke ydes af medlemsstaten, kan medlemsstaten acceptere, at opfyldelsen af denne betingelse dokumenteres ved en erklæring fra støttemodtageren; inddrivelser og godtgørelser skal fratrækkes udgifterne </w:t>
      </w:r>
    </w:p>
    <w:p>
      <w:pPr>
        <w:pStyle w:val="Text1"/>
        <w:rPr>
          <w:noProof/>
        </w:rPr>
      </w:pPr>
      <w:r>
        <w:rPr>
          <w:noProof/>
        </w:rPr>
        <w:t>e)</w:t>
      </w:r>
      <w:r>
        <w:rPr>
          <w:noProof/>
        </w:rPr>
        <w:tab/>
        <w:t>udgifterne er begrænset til suspensionsperioden.</w:t>
      </w:r>
    </w:p>
    <w:p>
      <w:pPr>
        <w:pStyle w:val="Text1"/>
        <w:rPr>
          <w:noProof/>
        </w:rPr>
      </w:pPr>
      <w:r>
        <w:rPr>
          <w:noProof/>
        </w:rPr>
        <w:t>2.</w:t>
      </w:r>
      <w:r>
        <w:rPr>
          <w:noProof/>
        </w:rPr>
        <w:tab/>
        <w:t>For så vidt angår operationer, hvor støttemodtageren får godtgjort udgifter på grundlag af metoden med forenklede omkostninger, og hvor gennemførelsen af de foranstaltninger, der udgør grundlaget for godtgørelsen, suspenderes på grund af covid-19-udbruddet, kan den pågældende medlemsstat godtgøre støttemodtageren på grundlag af de forventede output for suspensionsperioden, selv om der ikke træffes nogen foranstaltninger, forudsat at følgende betingelser er opfyldt:</w:t>
      </w:r>
    </w:p>
    <w:p>
      <w:pPr>
        <w:pStyle w:val="Text1"/>
        <w:rPr>
          <w:noProof/>
        </w:rPr>
      </w:pPr>
      <w:r>
        <w:rPr>
          <w:noProof/>
        </w:rPr>
        <w:t>a)</w:t>
      </w:r>
      <w:r>
        <w:rPr>
          <w:noProof/>
        </w:rPr>
        <w:tab/>
        <w:t>gennemførelsen af foranstaltningerne suspenderes efter den 31. januar 2020</w:t>
      </w:r>
    </w:p>
    <w:p>
      <w:pPr>
        <w:pStyle w:val="Text1"/>
        <w:rPr>
          <w:noProof/>
        </w:rPr>
      </w:pPr>
      <w:r>
        <w:rPr>
          <w:noProof/>
        </w:rPr>
        <w:t>b)</w:t>
      </w:r>
      <w:r>
        <w:rPr>
          <w:noProof/>
        </w:rPr>
        <w:tab/>
        <w:t>suspensionen af foranstaltningerne skyldes covid-19-udbruddet</w:t>
      </w:r>
    </w:p>
    <w:p>
      <w:pPr>
        <w:pStyle w:val="Text1"/>
        <w:rPr>
          <w:noProof/>
        </w:rPr>
      </w:pPr>
      <w:r>
        <w:rPr>
          <w:noProof/>
        </w:rPr>
        <w:t>c)</w:t>
      </w:r>
      <w:r>
        <w:rPr>
          <w:noProof/>
        </w:rPr>
        <w:tab/>
        <w:t>de forenklede omkostninger svarer til en reel omkostning afholdt af støttemodtageren, som skal dokumenteres af støttemodtageren og ikke kan inddrives eller godtgøres; med hensyn til inddrivelser og godtgørelser, der ikke ydes af medlemsstaten, kan medlemsstaten acceptere, at der ikke foreligger inddrivelser og godtgørelser, på grundlag af en erklæring fra støttemodtageren; inddrivelser og godtgørelser skal fratrækkes det beløb, der svarer til de forenklede omkostninger</w:t>
      </w:r>
    </w:p>
    <w:p>
      <w:pPr>
        <w:pStyle w:val="Text1"/>
        <w:rPr>
          <w:noProof/>
        </w:rPr>
      </w:pPr>
      <w:r>
        <w:rPr>
          <w:noProof/>
        </w:rPr>
        <w:t>d)</w:t>
      </w:r>
      <w:r>
        <w:rPr>
          <w:noProof/>
        </w:rPr>
        <w:tab/>
        <w:t>godtgørelsen til støttemodtageren er begrænset til suspensionsperioden.</w:t>
      </w:r>
    </w:p>
    <w:p>
      <w:pPr>
        <w:pStyle w:val="Text1"/>
        <w:rPr>
          <w:noProof/>
        </w:rPr>
      </w:pPr>
      <w:r>
        <w:rPr>
          <w:noProof/>
        </w:rPr>
        <w:t>Med hensyn til de operationer, der er omhandlet i første afsnit, kan medlemsstaten også godtgøre støttemodtageren på grundlag af omkostningerne som omhandlet i artikel 25, stk. 1, litra a), forudsat at betingelserne i stk. 1 i nærværende artikel er opfyldt.</w:t>
      </w:r>
    </w:p>
    <w:p>
      <w:pPr>
        <w:pStyle w:val="Text1"/>
        <w:rPr>
          <w:noProof/>
        </w:rPr>
      </w:pPr>
      <w:r>
        <w:rPr>
          <w:noProof/>
        </w:rPr>
        <w:t>Hvis en medlemsstat godtgør støttemodtageren på grundlag af begge muligheder, skal den sikre, at de samme udgifter kun refunderes én gang.</w:t>
      </w:r>
    </w:p>
    <w:p>
      <w:pPr>
        <w:pStyle w:val="NormalCentered"/>
        <w:rPr>
          <w:noProof/>
        </w:rPr>
      </w:pPr>
      <w:r>
        <w:rPr>
          <w:noProof/>
        </w:rPr>
        <w:t>Artikel 26c</w:t>
      </w:r>
    </w:p>
    <w:p>
      <w:pPr>
        <w:pStyle w:val="NormalCentered"/>
        <w:ind w:left="720"/>
        <w:rPr>
          <w:noProof/>
        </w:rPr>
      </w:pPr>
      <w:r>
        <w:rPr>
          <w:noProof/>
        </w:rPr>
        <w:lastRenderedPageBreak/>
        <w:t xml:space="preserve">Støtteberettigelse for udgifter til operationer, der modtager støtte inden for rammerne af OP II eller teknisk bistand, som ikke gennemføres fuldt ud som følge af covid-19-udbruddet  </w:t>
      </w:r>
    </w:p>
    <w:p>
      <w:pPr>
        <w:pStyle w:val="Text1"/>
        <w:rPr>
          <w:noProof/>
        </w:rPr>
      </w:pPr>
      <w:r>
        <w:rPr>
          <w:noProof/>
        </w:rPr>
        <w:t>1. En medlemsstat kan betragte udgifter til operationer, der ikke er fuldt ud gennemført som følge af covid-19-udbruddet, som støtteberettigede udgifter, hvis følgende betingelser alle er opfyldt:</w:t>
      </w:r>
    </w:p>
    <w:p>
      <w:pPr>
        <w:pStyle w:val="Text1"/>
        <w:rPr>
          <w:noProof/>
        </w:rPr>
      </w:pPr>
      <w:r>
        <w:rPr>
          <w:noProof/>
        </w:rPr>
        <w:t>a) gennemførelsen af operationen annulleres efter den 31. januar 2020</w:t>
      </w:r>
    </w:p>
    <w:p>
      <w:pPr>
        <w:pStyle w:val="Text1"/>
        <w:rPr>
          <w:noProof/>
        </w:rPr>
      </w:pPr>
      <w:r>
        <w:rPr>
          <w:noProof/>
        </w:rPr>
        <w:t>b) annulleringen af operationen skyldes covid-19-udbruddet</w:t>
      </w:r>
    </w:p>
    <w:p>
      <w:pPr>
        <w:pStyle w:val="Text1"/>
        <w:rPr>
          <w:noProof/>
        </w:rPr>
      </w:pPr>
      <w:r>
        <w:rPr>
          <w:noProof/>
        </w:rPr>
        <w:t>c) udgifter, der er afholdt, inden operationen blev annulleret, er afholdt og betalt af støttemodtageren.</w:t>
      </w:r>
    </w:p>
    <w:p>
      <w:pPr>
        <w:pStyle w:val="Text1"/>
        <w:rPr>
          <w:noProof/>
        </w:rPr>
      </w:pPr>
      <w:r>
        <w:rPr>
          <w:noProof/>
        </w:rPr>
        <w:t>2. For så vidt angår operationer, hvor støttemodtageren modtager godtgørelse på grundlag af metoden med forenklede omkostninger, kan en medlemsstat betragte udgifter til operationer, der ikke er fuldt ud gennemført som følge af covid-19-udbruddet, som støtteberettigede udgifter, hvis følgende betingelser alle er opfyldt:</w:t>
      </w:r>
    </w:p>
    <w:p>
      <w:pPr>
        <w:pStyle w:val="Text1"/>
        <w:rPr>
          <w:noProof/>
        </w:rPr>
      </w:pPr>
      <w:r>
        <w:rPr>
          <w:noProof/>
        </w:rPr>
        <w:t>a)</w:t>
      </w:r>
      <w:r>
        <w:rPr>
          <w:noProof/>
        </w:rPr>
        <w:tab/>
        <w:t>gennemførelsen af operationen annulleres efter den 31. januar 2020</w:t>
      </w:r>
    </w:p>
    <w:p>
      <w:pPr>
        <w:pStyle w:val="Text1"/>
        <w:rPr>
          <w:noProof/>
        </w:rPr>
      </w:pPr>
      <w:r>
        <w:rPr>
          <w:noProof/>
        </w:rPr>
        <w:t>b)</w:t>
      </w:r>
      <w:r>
        <w:rPr>
          <w:noProof/>
        </w:rPr>
        <w:tab/>
        <w:t>annulleringen af operationen skyldes covid-19-udbruddet</w:t>
      </w:r>
    </w:p>
    <w:p>
      <w:pPr>
        <w:pStyle w:val="Text1"/>
        <w:rPr>
          <w:noProof/>
        </w:rPr>
      </w:pPr>
      <w:r>
        <w:rPr>
          <w:noProof/>
        </w:rPr>
        <w:t>c)</w:t>
      </w:r>
      <w:r>
        <w:rPr>
          <w:noProof/>
        </w:rPr>
        <w:tab/>
        <w:t>de foranstaltninger, der er omfattet af metoden med forenklede omkostninger, er i det mindste delvis blevet gennemført inden annullering af operationen.</w:t>
      </w:r>
    </w:p>
    <w:p>
      <w:pPr>
        <w:pStyle w:val="Text1"/>
        <w:rPr>
          <w:noProof/>
        </w:rPr>
      </w:pPr>
      <w:r>
        <w:rPr>
          <w:noProof/>
        </w:rPr>
        <w:t>Med hensyn til de operationer, der er omhandlet i første afsnit, kan medlemsstaten også godtgøre støttemodtageren på grundlag af omkostningerne som omhandlet i artikel 25, stk. 1, litra a), forudsat at betingelserne i stk. 1 i nærværende artikel er opfyldt.</w:t>
      </w:r>
    </w:p>
    <w:p>
      <w:pPr>
        <w:pStyle w:val="Text1"/>
        <w:rPr>
          <w:noProof/>
        </w:rPr>
      </w:pPr>
      <w:r>
        <w:rPr>
          <w:noProof/>
        </w:rPr>
        <w:t>Hvis en medlemsstat godtgør støttemodtageren på grundlag af begge muligheder, skal den sikre, at de samme udgifter kun refunderes én gang."</w:t>
      </w:r>
    </w:p>
    <w:p>
      <w:pPr>
        <w:pStyle w:val="Point0"/>
        <w:rPr>
          <w:noProof/>
        </w:rPr>
      </w:pPr>
      <w:r>
        <w:rPr>
          <w:noProof/>
        </w:rPr>
        <w:t>8)</w:t>
      </w:r>
      <w:r>
        <w:rPr>
          <w:noProof/>
        </w:rPr>
        <w:tab/>
        <w:t>I artikel 30 indsættes følgende stykke:</w:t>
      </w:r>
    </w:p>
    <w:p>
      <w:pPr>
        <w:ind w:left="720"/>
        <w:rPr>
          <w:noProof/>
        </w:rPr>
      </w:pPr>
      <w:r>
        <w:rPr>
          <w:noProof/>
        </w:rPr>
        <w:t>"1a. Medlemsstaterne kan på grundlag af en analyse af de potentielle risici fastsætte lempeligere krav til kontrol og revisionsspor i forbindelse med uddelingen af fødevarer/materiel bistand til de socialt dårligst stillede under covid-19-udbruddet."</w:t>
      </w:r>
    </w:p>
    <w:p>
      <w:pPr>
        <w:pStyle w:val="Titrearticle"/>
        <w:rPr>
          <w:noProof/>
        </w:rPr>
      </w:pPr>
      <w:r>
        <w:rPr>
          <w:noProof/>
        </w:rPr>
        <w:t xml:space="preserve">Artikel 2 </w:t>
      </w:r>
    </w:p>
    <w:p>
      <w:pPr>
        <w:rPr>
          <w:rFonts w:eastAsia="Calibri"/>
          <w:noProof/>
        </w:rPr>
      </w:pPr>
      <w:r>
        <w:rPr>
          <w:noProof/>
        </w:rPr>
        <w:t xml:space="preserve">Denne forordning træder i kraft dagen efter offentliggørelsen i </w:t>
      </w:r>
      <w:r>
        <w:rPr>
          <w:i/>
          <w:iCs/>
          <w:noProof/>
        </w:rPr>
        <w:t>Den Europæiske Unions Tidende</w:t>
      </w:r>
      <w:r>
        <w:rPr>
          <w:noProof/>
        </w:rPr>
        <w:t>.</w:t>
      </w:r>
    </w:p>
    <w:p>
      <w:pPr>
        <w:pStyle w:val="Applicationdirecte"/>
        <w:rPr>
          <w:noProof/>
        </w:rPr>
      </w:pPr>
      <w:r>
        <w:rPr>
          <w:noProof/>
        </w:rPr>
        <w:t>Denne forordning er bindende i alle enkeltheder og gælder umiddelbart i hver medlemsstat.</w:t>
      </w:r>
    </w:p>
    <w:p>
      <w:pPr>
        <w:pStyle w:val="Fait"/>
        <w:rPr>
          <w:noProof/>
        </w:rPr>
      </w:pPr>
      <w:r>
        <w:t xml:space="preserve">Udfærdiget i Bruxelles, den </w:t>
      </w:r>
      <w:r>
        <w:rPr>
          <w:rStyle w:val="Marker"/>
        </w:rPr>
        <w:t>[…]</w:t>
      </w:r>
      <w:r>
        <w:t>.</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FINANSIERINGSOVERSIGT</w:t>
      </w:r>
    </w:p>
    <w:p>
      <w:pPr>
        <w:pStyle w:val="ManualHeading1"/>
        <w:rPr>
          <w:noProof/>
        </w:rPr>
      </w:pPr>
      <w:r>
        <w:rPr>
          <w:noProof/>
        </w:rPr>
        <w:t xml:space="preserve">FORSLAGETS/INITIATIVETS RAMME </w:t>
      </w:r>
    </w:p>
    <w:p>
      <w:pPr>
        <w:pStyle w:val="ManualHeading2"/>
        <w:rPr>
          <w:b w:val="0"/>
          <w:noProof/>
        </w:rPr>
      </w:pPr>
      <w:r>
        <w:rPr>
          <w:noProof/>
        </w:rPr>
        <w:tab/>
      </w:r>
      <w:r>
        <w:rPr>
          <w:b w:val="0"/>
          <w:noProof/>
        </w:rPr>
        <w:t>1.1.</w:t>
      </w:r>
      <w:r>
        <w:rPr>
          <w:b w:val="0"/>
          <w:noProof/>
        </w:rPr>
        <w:tab/>
        <w:t xml:space="preserve">Forslagets/initiativets betegnelse </w:t>
      </w:r>
    </w:p>
    <w:p>
      <w:pPr>
        <w:pStyle w:val="ManualHeading2"/>
        <w:rPr>
          <w:b w:val="0"/>
          <w:noProof/>
        </w:rPr>
      </w:pPr>
      <w:r>
        <w:rPr>
          <w:b w:val="0"/>
          <w:noProof/>
        </w:rPr>
        <w:tab/>
        <w:t>1.2.</w:t>
      </w:r>
      <w:r>
        <w:rPr>
          <w:b w:val="0"/>
          <w:noProof/>
        </w:rPr>
        <w:tab/>
        <w:t>Berørt(e) politikområde(r) inden for ABM/ABB-strukturen</w:t>
      </w:r>
    </w:p>
    <w:p>
      <w:pPr>
        <w:pStyle w:val="ManualHeading2"/>
        <w:rPr>
          <w:b w:val="0"/>
          <w:noProof/>
        </w:rPr>
      </w:pPr>
      <w:r>
        <w:rPr>
          <w:b w:val="0"/>
          <w:noProof/>
        </w:rPr>
        <w:tab/>
        <w:t>1.3.</w:t>
      </w:r>
      <w:r>
        <w:rPr>
          <w:b w:val="0"/>
          <w:noProof/>
        </w:rPr>
        <w:tab/>
        <w:t xml:space="preserve">Forslagets/initiativets art </w:t>
      </w:r>
    </w:p>
    <w:p>
      <w:pPr>
        <w:pStyle w:val="ManualHeading2"/>
        <w:rPr>
          <w:b w:val="0"/>
          <w:noProof/>
        </w:rPr>
      </w:pPr>
      <w:r>
        <w:rPr>
          <w:b w:val="0"/>
          <w:noProof/>
        </w:rPr>
        <w:tab/>
        <w:t>1.4.</w:t>
      </w:r>
      <w:r>
        <w:rPr>
          <w:b w:val="0"/>
          <w:noProof/>
        </w:rPr>
        <w:tab/>
        <w:t xml:space="preserve">Mål </w:t>
      </w:r>
    </w:p>
    <w:p>
      <w:pPr>
        <w:pStyle w:val="ManualHeading2"/>
        <w:rPr>
          <w:b w:val="0"/>
          <w:noProof/>
        </w:rPr>
      </w:pPr>
      <w:r>
        <w:rPr>
          <w:b w:val="0"/>
          <w:noProof/>
        </w:rPr>
        <w:tab/>
        <w:t>1.5.</w:t>
      </w:r>
      <w:r>
        <w:rPr>
          <w:b w:val="0"/>
          <w:noProof/>
        </w:rPr>
        <w:tab/>
        <w:t xml:space="preserve">Forslagets/initiativets begrundelse </w:t>
      </w:r>
    </w:p>
    <w:p>
      <w:pPr>
        <w:pStyle w:val="ManualHeading2"/>
        <w:rPr>
          <w:b w:val="0"/>
          <w:noProof/>
        </w:rPr>
      </w:pPr>
      <w:r>
        <w:rPr>
          <w:b w:val="0"/>
          <w:noProof/>
        </w:rPr>
        <w:tab/>
        <w:t>1.6.</w:t>
      </w:r>
      <w:r>
        <w:rPr>
          <w:b w:val="0"/>
          <w:noProof/>
        </w:rPr>
        <w:tab/>
        <w:t xml:space="preserve">Varighed og finansielle virkninger </w:t>
      </w:r>
    </w:p>
    <w:p>
      <w:pPr>
        <w:pStyle w:val="ManualHeading2"/>
        <w:rPr>
          <w:b w:val="0"/>
          <w:noProof/>
        </w:rPr>
      </w:pPr>
      <w:r>
        <w:rPr>
          <w:b w:val="0"/>
          <w:noProof/>
        </w:rPr>
        <w:tab/>
        <w:t>1.7.</w:t>
      </w:r>
      <w:r>
        <w:rPr>
          <w:b w:val="0"/>
          <w:noProof/>
        </w:rPr>
        <w:tab/>
        <w:t xml:space="preserve">Påtænkt(e) forvaltningsmetode(r) </w:t>
      </w:r>
    </w:p>
    <w:p>
      <w:pPr>
        <w:pStyle w:val="ManualHeading1"/>
        <w:rPr>
          <w:noProof/>
        </w:rPr>
      </w:pPr>
      <w:r>
        <w:rPr>
          <w:noProof/>
        </w:rPr>
        <w:t>2.</w:t>
      </w:r>
      <w:r>
        <w:rPr>
          <w:noProof/>
        </w:rPr>
        <w:tab/>
        <w:t xml:space="preserve">FORVALTNINGSFORANSTALTNINGER </w:t>
      </w:r>
    </w:p>
    <w:p>
      <w:pPr>
        <w:pStyle w:val="ManualHeading2"/>
        <w:rPr>
          <w:b w:val="0"/>
          <w:noProof/>
        </w:rPr>
      </w:pPr>
      <w:r>
        <w:rPr>
          <w:b w:val="0"/>
          <w:noProof/>
        </w:rPr>
        <w:tab/>
        <w:t>2.1.</w:t>
      </w:r>
      <w:r>
        <w:rPr>
          <w:b w:val="0"/>
          <w:noProof/>
        </w:rPr>
        <w:tab/>
        <w:t xml:space="preserve">Bestemmelser om kontrol og rapportering </w:t>
      </w:r>
    </w:p>
    <w:p>
      <w:pPr>
        <w:pStyle w:val="ManualHeading2"/>
        <w:rPr>
          <w:b w:val="0"/>
          <w:noProof/>
        </w:rPr>
      </w:pPr>
      <w:r>
        <w:rPr>
          <w:b w:val="0"/>
          <w:noProof/>
        </w:rPr>
        <w:tab/>
        <w:t>2.2.</w:t>
      </w:r>
      <w:r>
        <w:rPr>
          <w:b w:val="0"/>
          <w:noProof/>
        </w:rPr>
        <w:tab/>
        <w:t xml:space="preserve">Forvaltnings- og kontrolsystem </w:t>
      </w:r>
    </w:p>
    <w:p>
      <w:pPr>
        <w:pStyle w:val="ManualHeading2"/>
        <w:rPr>
          <w:b w:val="0"/>
          <w:noProof/>
        </w:rPr>
      </w:pPr>
      <w:r>
        <w:rPr>
          <w:b w:val="0"/>
          <w:noProof/>
        </w:rPr>
        <w:tab/>
        <w:t>2.3.</w:t>
      </w:r>
      <w:r>
        <w:rPr>
          <w:b w:val="0"/>
          <w:noProof/>
        </w:rPr>
        <w:tab/>
        <w:t xml:space="preserve">Foranstaltninger til forebyggelse af svig og uregelmæssigheder </w:t>
      </w:r>
    </w:p>
    <w:p>
      <w:pPr>
        <w:pStyle w:val="ManualHeading1"/>
        <w:rPr>
          <w:noProof/>
        </w:rPr>
      </w:pPr>
      <w:r>
        <w:rPr>
          <w:noProof/>
        </w:rPr>
        <w:t>3.</w:t>
      </w:r>
      <w:r>
        <w:rPr>
          <w:noProof/>
        </w:rPr>
        <w:tab/>
        <w:t xml:space="preserve">FORSLAGETS/INITIATIVETS ANSLÅEDE FINANSIELLE VIRKNINGER </w:t>
      </w:r>
    </w:p>
    <w:p>
      <w:pPr>
        <w:pStyle w:val="ManualHeading2"/>
        <w:rPr>
          <w:b w:val="0"/>
          <w:noProof/>
        </w:rPr>
      </w:pPr>
      <w:r>
        <w:rPr>
          <w:b w:val="0"/>
          <w:noProof/>
        </w:rPr>
        <w:tab/>
        <w:t>3.1.</w:t>
      </w:r>
      <w:r>
        <w:rPr>
          <w:b w:val="0"/>
          <w:noProof/>
        </w:rPr>
        <w:tab/>
        <w:t xml:space="preserve">Berørt(e) udgiftspost(er) på budgettet og udgiftsområde(r) i den flerårige finansielle ramme </w:t>
      </w:r>
    </w:p>
    <w:p>
      <w:pPr>
        <w:pStyle w:val="ManualHeading2"/>
        <w:rPr>
          <w:noProof/>
        </w:rPr>
      </w:pPr>
      <w:r>
        <w:rPr>
          <w:b w:val="0"/>
          <w:noProof/>
        </w:rPr>
        <w:tab/>
        <w:t>3.2.</w:t>
      </w:r>
      <w:r>
        <w:rPr>
          <w:b w:val="0"/>
          <w:noProof/>
        </w:rPr>
        <w:tab/>
        <w:t>Anslåede virkninger for udgifterne</w:t>
      </w:r>
      <w:r>
        <w:rPr>
          <w:noProof/>
        </w:rPr>
        <w:t xml:space="preserve"> </w:t>
      </w:r>
    </w:p>
    <w:p>
      <w:pPr>
        <w:pStyle w:val="ManualHeading3"/>
        <w:rPr>
          <w:noProof/>
        </w:rPr>
      </w:pPr>
      <w:r>
        <w:rPr>
          <w:noProof/>
        </w:rPr>
        <w:tab/>
        <w:t>3.2.1.</w:t>
      </w:r>
      <w:r>
        <w:rPr>
          <w:noProof/>
        </w:rPr>
        <w:tab/>
        <w:t xml:space="preserve">Sammenfatning af de anslåede virkninger for udgifterne </w:t>
      </w:r>
    </w:p>
    <w:p>
      <w:pPr>
        <w:pStyle w:val="ManualHeading3"/>
        <w:rPr>
          <w:noProof/>
        </w:rPr>
      </w:pPr>
      <w:r>
        <w:rPr>
          <w:noProof/>
        </w:rPr>
        <w:tab/>
        <w:t>3.2.2.</w:t>
      </w:r>
      <w:r>
        <w:rPr>
          <w:noProof/>
        </w:rPr>
        <w:tab/>
        <w:t xml:space="preserve">Anslåede virkninger for aktionsbevillingerne </w:t>
      </w:r>
    </w:p>
    <w:p>
      <w:pPr>
        <w:pStyle w:val="ManualHeading3"/>
        <w:rPr>
          <w:noProof/>
        </w:rPr>
      </w:pPr>
      <w:r>
        <w:rPr>
          <w:noProof/>
        </w:rPr>
        <w:tab/>
        <w:t>3.2.3.</w:t>
      </w:r>
      <w:r>
        <w:rPr>
          <w:noProof/>
        </w:rPr>
        <w:tab/>
        <w:t>Anslåede virkninger for administrationsbevillingerne</w:t>
      </w:r>
    </w:p>
    <w:p>
      <w:pPr>
        <w:pStyle w:val="ManualHeading3"/>
        <w:rPr>
          <w:noProof/>
        </w:rPr>
      </w:pPr>
      <w:r>
        <w:rPr>
          <w:noProof/>
        </w:rPr>
        <w:tab/>
        <w:t>3.2.4.</w:t>
      </w:r>
      <w:r>
        <w:rPr>
          <w:noProof/>
        </w:rPr>
        <w:tab/>
        <w:t>Forenelighed med indeværende flerårige finansielle ramme</w:t>
      </w:r>
    </w:p>
    <w:p>
      <w:pPr>
        <w:pStyle w:val="ManualHeading3"/>
        <w:rPr>
          <w:noProof/>
        </w:rPr>
      </w:pPr>
      <w:r>
        <w:rPr>
          <w:noProof/>
        </w:rPr>
        <w:tab/>
        <w:t>3.2.5.</w:t>
      </w:r>
      <w:r>
        <w:rPr>
          <w:noProof/>
        </w:rPr>
        <w:tab/>
        <w:t xml:space="preserve">Tredjemands bidrag til finansieringen </w:t>
      </w:r>
    </w:p>
    <w:p>
      <w:pPr>
        <w:pStyle w:val="ManualHeading2"/>
        <w:jc w:val="left"/>
        <w:rPr>
          <w:b w:val="0"/>
          <w:noProof/>
        </w:rPr>
        <w:sectPr>
          <w:pgSz w:w="11907" w:h="16840" w:code="9"/>
          <w:pgMar w:top="1134" w:right="1418" w:bottom="1134" w:left="1418" w:header="709" w:footer="709" w:gutter="0"/>
          <w:cols w:space="708"/>
          <w:docGrid w:linePitch="360"/>
        </w:sectPr>
      </w:pPr>
      <w:r>
        <w:rPr>
          <w:b w:val="0"/>
          <w:noProof/>
        </w:rPr>
        <w:tab/>
        <w:t>3.3.</w:t>
      </w:r>
      <w:r>
        <w:rPr>
          <w:b w:val="0"/>
          <w:noProof/>
        </w:rPr>
        <w:tab/>
        <w:t>Anslåede virkninger for indtægterne</w:t>
      </w:r>
    </w:p>
    <w:p>
      <w:pPr>
        <w:jc w:val="center"/>
        <w:rPr>
          <w:noProof/>
        </w:rPr>
      </w:pPr>
      <w:r>
        <w:rPr>
          <w:b/>
          <w:noProof/>
          <w:u w:val="single"/>
        </w:rPr>
        <w:t>FINANSIERINGSOVERSIGT</w:t>
      </w:r>
    </w:p>
    <w:p>
      <w:pPr>
        <w:pStyle w:val="ManualHeading1"/>
        <w:rPr>
          <w:noProof/>
        </w:rPr>
      </w:pPr>
      <w:r>
        <w:rPr>
          <w:noProof/>
        </w:rPr>
        <w:t>1.</w:t>
      </w:r>
      <w:r>
        <w:rPr>
          <w:noProof/>
        </w:rPr>
        <w:tab/>
        <w:t xml:space="preserve">FORSLAGETS/INITIATIVETS RAMME </w:t>
      </w:r>
    </w:p>
    <w:p>
      <w:pPr>
        <w:pStyle w:val="ManualHeading2"/>
        <w:rPr>
          <w:noProof/>
        </w:rPr>
      </w:pPr>
      <w:r>
        <w:rPr>
          <w:noProof/>
        </w:rPr>
        <w:t>1.1.</w:t>
      </w:r>
      <w:r>
        <w:rPr>
          <w:noProof/>
        </w:rPr>
        <w:tab/>
        <w:t xml:space="preserve">Forslagets/initiativets betegnelse </w:t>
      </w:r>
    </w:p>
    <w:p>
      <w:pPr>
        <w:pStyle w:val="Text1"/>
        <w:pBdr>
          <w:top w:val="single" w:sz="4" w:space="1" w:color="auto"/>
          <w:left w:val="single" w:sz="4" w:space="4" w:color="auto"/>
          <w:bottom w:val="single" w:sz="4" w:space="1" w:color="auto"/>
          <w:right w:val="single" w:sz="4" w:space="4" w:color="auto"/>
        </w:pBdr>
        <w:rPr>
          <w:noProof/>
        </w:rPr>
      </w:pPr>
      <w:r>
        <w:rPr>
          <w:noProof/>
        </w:rPr>
        <w:t>Forslag til</w:t>
      </w:r>
    </w:p>
    <w:p>
      <w:pPr>
        <w:pStyle w:val="Text1"/>
        <w:pBdr>
          <w:top w:val="single" w:sz="4" w:space="1" w:color="auto"/>
          <w:left w:val="single" w:sz="4" w:space="4" w:color="auto"/>
          <w:bottom w:val="single" w:sz="4" w:space="1" w:color="auto"/>
          <w:right w:val="single" w:sz="4" w:space="4" w:color="auto"/>
        </w:pBdr>
        <w:rPr>
          <w:noProof/>
        </w:rPr>
      </w:pPr>
      <w:r>
        <w:rPr>
          <w:noProof/>
        </w:rPr>
        <w:t>EUROPA-PARLAMENTETS OG RÅDETS FORORDNING</w:t>
      </w:r>
    </w:p>
    <w:p>
      <w:pPr>
        <w:pStyle w:val="Text1"/>
        <w:pBdr>
          <w:top w:val="single" w:sz="4" w:space="1" w:color="auto"/>
          <w:left w:val="single" w:sz="4" w:space="4" w:color="auto"/>
          <w:bottom w:val="single" w:sz="4" w:space="1" w:color="auto"/>
          <w:right w:val="single" w:sz="4" w:space="4" w:color="auto"/>
        </w:pBdr>
        <w:rPr>
          <w:noProof/>
        </w:rPr>
      </w:pPr>
      <w:r>
        <w:rPr>
          <w:noProof/>
        </w:rPr>
        <w:t>om ændring af forordning (EU) nr. 223/2014 for så vidt angår indførelsen af specifikke foranstaltninger til håndtering af covid-19-krisen</w:t>
      </w:r>
    </w:p>
    <w:p>
      <w:pPr>
        <w:pStyle w:val="ManualHeading2"/>
        <w:rPr>
          <w:noProof/>
          <w:szCs w:val="24"/>
        </w:rPr>
      </w:pPr>
      <w:r>
        <w:rPr>
          <w:noProof/>
        </w:rPr>
        <w:t>1.2.</w:t>
      </w:r>
      <w:r>
        <w:rPr>
          <w:noProof/>
        </w:rPr>
        <w:tab/>
        <w:t>Berørt(e) politikområde(r) inden for ABM/ABB-strukturen</w:t>
      </w:r>
      <w:r>
        <w:rPr>
          <w:rStyle w:val="FootnoteReference"/>
          <w:bCs/>
          <w:noProof/>
        </w:rPr>
        <w:footnoteReference w:id="4"/>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4 Beskæftigelse, sociale anliggender, arbejdsmarkedsforhold og inklusion</w:t>
      </w:r>
    </w:p>
    <w:p>
      <w:pPr>
        <w:pStyle w:val="Text1"/>
        <w:pBdr>
          <w:top w:val="single" w:sz="4" w:space="1" w:color="auto"/>
          <w:left w:val="single" w:sz="4" w:space="4" w:color="auto"/>
          <w:bottom w:val="single" w:sz="4" w:space="1" w:color="auto"/>
          <w:right w:val="single" w:sz="4" w:space="4" w:color="auto"/>
        </w:pBdr>
        <w:rPr>
          <w:noProof/>
        </w:rPr>
      </w:pPr>
      <w:r>
        <w:rPr>
          <w:noProof/>
        </w:rPr>
        <w:t>04 06 - Den Europæiske Fond for Bistand til de Socialt Dårligst Stillede</w:t>
      </w:r>
    </w:p>
    <w:p>
      <w:pPr>
        <w:pStyle w:val="Text1"/>
        <w:pBdr>
          <w:top w:val="single" w:sz="4" w:space="1" w:color="auto"/>
          <w:left w:val="single" w:sz="4" w:space="4" w:color="auto"/>
          <w:bottom w:val="single" w:sz="4" w:space="1" w:color="auto"/>
          <w:right w:val="single" w:sz="4" w:space="4" w:color="auto"/>
        </w:pBdr>
        <w:rPr>
          <w:noProof/>
        </w:rPr>
      </w:pPr>
      <w:r>
        <w:rPr>
          <w:noProof/>
        </w:rPr>
        <w:t xml:space="preserve">04 06 01 - Fremme af social samhørighed og afhjælpning af de værste former for fattigdom i Unionen </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1.3.</w:t>
      </w:r>
      <w:r>
        <w:rPr>
          <w:noProof/>
        </w:rPr>
        <w:tab/>
        <w:t xml:space="preserve">Forslagets/initiativets art </w:t>
      </w:r>
    </w:p>
    <w:p>
      <w:pPr>
        <w:pStyle w:val="Text1"/>
        <w:rPr>
          <w:b/>
          <w:noProof/>
          <w:sz w:val="22"/>
        </w:rPr>
      </w:pPr>
      <w:r>
        <w:rPr>
          <w:noProof/>
          <w:sz w:val="22"/>
        </w:rPr>
        <w:sym w:font="Wingdings" w:char="F0A8"/>
      </w:r>
      <w:r>
        <w:rPr>
          <w:b/>
          <w:i/>
          <w:noProof/>
          <w:sz w:val="22"/>
        </w:rPr>
        <w:t xml:space="preserve"> </w:t>
      </w:r>
      <w:r>
        <w:rPr>
          <w:noProof/>
        </w:rPr>
        <w:t>Forslaget/initiativet vedrører en</w:t>
      </w:r>
      <w:r>
        <w:rPr>
          <w:b/>
          <w:noProof/>
        </w:rPr>
        <w:t xml:space="preserve"> ny foranstaltning</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Forslaget/initiativet vedrører en </w:t>
      </w:r>
      <w:r>
        <w:rPr>
          <w:b/>
          <w:noProof/>
        </w:rPr>
        <w:t>ny foranstaltning som opfølgning på et pilotprojekt/en forberedende foranstaltning</w:t>
      </w:r>
      <w:r>
        <w:rPr>
          <w:rStyle w:val="FootnoteReference"/>
          <w:b/>
          <w:noProof/>
        </w:rPr>
        <w:footnoteReference w:id="5"/>
      </w:r>
      <w:r>
        <w:rPr>
          <w:noProof/>
          <w:sz w:val="22"/>
        </w:rPr>
        <w:t xml:space="preserve"> </w:t>
      </w:r>
    </w:p>
    <w:p>
      <w:pPr>
        <w:pStyle w:val="Text1"/>
        <w:rPr>
          <w:noProof/>
          <w:sz w:val="22"/>
        </w:rPr>
      </w:pPr>
      <w:r>
        <w:rPr>
          <w:noProof/>
          <w:sz w:val="22"/>
        </w:rPr>
        <w:sym w:font="Wingdings" w:char="F078"/>
      </w:r>
      <w:r>
        <w:rPr>
          <w:i/>
          <w:noProof/>
          <w:sz w:val="22"/>
        </w:rPr>
        <w:t xml:space="preserve"> </w:t>
      </w:r>
      <w:r>
        <w:rPr>
          <w:noProof/>
        </w:rPr>
        <w:t xml:space="preserve">Forslaget/initiativet vedrører en </w:t>
      </w:r>
      <w:r>
        <w:rPr>
          <w:b/>
          <w:noProof/>
        </w:rPr>
        <w:t>forlængelse af en eksisterende foranstaltning</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Forslaget/initiativet vedrører en </w:t>
      </w:r>
      <w:r>
        <w:rPr>
          <w:b/>
          <w:noProof/>
        </w:rPr>
        <w:t>omlægning af en foranstaltning til en ny foranstaltning</w:t>
      </w:r>
      <w:r>
        <w:rPr>
          <w:noProof/>
        </w:rPr>
        <w:t xml:space="preserve"> </w:t>
      </w:r>
    </w:p>
    <w:p>
      <w:pPr>
        <w:pStyle w:val="ManualHeading2"/>
        <w:rPr>
          <w:bCs/>
          <w:noProof/>
          <w:szCs w:val="24"/>
        </w:rPr>
      </w:pPr>
      <w:r>
        <w:rPr>
          <w:noProof/>
        </w:rPr>
        <w:t>1.4.</w:t>
      </w:r>
      <w:r>
        <w:rPr>
          <w:noProof/>
        </w:rPr>
        <w:tab/>
        <w:t>Mål</w:t>
      </w:r>
    </w:p>
    <w:p>
      <w:pPr>
        <w:pStyle w:val="ManualHeading3"/>
        <w:rPr>
          <w:noProof/>
        </w:rPr>
      </w:pPr>
      <w:r>
        <w:rPr>
          <w:noProof/>
        </w:rPr>
        <w:t>1.4.1.</w:t>
      </w:r>
      <w:r>
        <w:rPr>
          <w:noProof/>
        </w:rPr>
        <w:tab/>
        <w:t xml:space="preserve">Det eller de af Kommissionens flerårige strategiske mål, som forslaget/initiativet vedrører </w:t>
      </w:r>
    </w:p>
    <w:p>
      <w:pPr>
        <w:pStyle w:val="Text1"/>
        <w:pBdr>
          <w:top w:val="single" w:sz="4" w:space="1" w:color="auto"/>
          <w:left w:val="single" w:sz="4" w:space="4" w:color="auto"/>
          <w:bottom w:val="single" w:sz="4" w:space="1" w:color="auto"/>
          <w:right w:val="single" w:sz="4" w:space="4" w:color="auto"/>
        </w:pBdr>
        <w:rPr>
          <w:noProof/>
        </w:rPr>
      </w:pPr>
      <w:r>
        <w:rPr>
          <w:noProof/>
        </w:rPr>
        <w:t>Ikke relevant.</w:t>
      </w:r>
    </w:p>
    <w:p>
      <w:pPr>
        <w:pStyle w:val="ManualHeading3"/>
        <w:rPr>
          <w:bCs/>
          <w:noProof/>
          <w:szCs w:val="24"/>
        </w:rPr>
      </w:pPr>
      <w:r>
        <w:rPr>
          <w:noProof/>
        </w:rPr>
        <w:t>1.4.2.</w:t>
      </w:r>
      <w:r>
        <w:rPr>
          <w:noProof/>
        </w:rPr>
        <w:tab/>
        <w:t xml:space="preserve">Specifikke mål og berørte ABM/ABB-aktiviteter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Specifikt mål nr.</w:t>
      </w:r>
    </w:p>
    <w:p>
      <w:pPr>
        <w:pStyle w:val="Text1"/>
        <w:pBdr>
          <w:top w:val="single" w:sz="4" w:space="1" w:color="auto"/>
          <w:left w:val="single" w:sz="4" w:space="4" w:color="auto"/>
          <w:bottom w:val="single" w:sz="4" w:space="1" w:color="auto"/>
          <w:right w:val="single" w:sz="4" w:space="4" w:color="auto"/>
        </w:pBdr>
        <w:rPr>
          <w:noProof/>
        </w:rPr>
      </w:pPr>
      <w:r>
        <w:rPr>
          <w:noProof/>
        </w:rPr>
        <w:t>Ikke relevant.</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Berørte ABM/ABB-aktiviteter</w:t>
      </w:r>
    </w:p>
    <w:p>
      <w:pPr>
        <w:pStyle w:val="Text1"/>
        <w:pBdr>
          <w:top w:val="single" w:sz="4" w:space="1" w:color="auto"/>
          <w:left w:val="single" w:sz="4" w:space="4" w:color="auto"/>
          <w:bottom w:val="single" w:sz="4" w:space="1" w:color="auto"/>
          <w:right w:val="single" w:sz="4" w:space="4" w:color="auto"/>
        </w:pBdr>
        <w:rPr>
          <w:noProof/>
        </w:rPr>
      </w:pPr>
      <w:r>
        <w:rPr>
          <w:noProof/>
        </w:rPr>
        <w:t>Ikke relevant.</w:t>
      </w:r>
    </w:p>
    <w:p>
      <w:pPr>
        <w:pStyle w:val="ManualHeading3"/>
        <w:rPr>
          <w:bCs/>
          <w:noProof/>
          <w:szCs w:val="24"/>
        </w:rPr>
      </w:pPr>
      <w:r>
        <w:rPr>
          <w:noProof/>
        </w:rPr>
        <w:t>1.4.3.</w:t>
      </w:r>
      <w:r>
        <w:rPr>
          <w:noProof/>
        </w:rPr>
        <w:tab/>
        <w:t>Forventede resultater og virkninger</w:t>
      </w:r>
    </w:p>
    <w:p>
      <w:pPr>
        <w:pStyle w:val="Text1"/>
        <w:rPr>
          <w:i/>
          <w:noProof/>
          <w:sz w:val="20"/>
        </w:rPr>
      </w:pPr>
      <w:r>
        <w:rPr>
          <w:i/>
          <w:noProof/>
          <w:sz w:val="20"/>
        </w:rPr>
        <w:t>Angiv, hvilke virkninger forslaget/initiativet forventes at få for modtagerne/målgruppen.</w:t>
      </w:r>
    </w:p>
    <w:p>
      <w:pPr>
        <w:pStyle w:val="Text1"/>
        <w:pBdr>
          <w:top w:val="single" w:sz="4" w:space="1" w:color="auto"/>
          <w:left w:val="single" w:sz="4" w:space="4" w:color="auto"/>
          <w:bottom w:val="single" w:sz="4" w:space="1" w:color="auto"/>
          <w:right w:val="single" w:sz="4" w:space="4" w:color="auto"/>
        </w:pBdr>
        <w:rPr>
          <w:noProof/>
        </w:rPr>
      </w:pPr>
      <w:r>
        <w:rPr>
          <w:noProof/>
        </w:rPr>
        <w:t>Ikke relevant.</w:t>
      </w:r>
    </w:p>
    <w:p>
      <w:pPr>
        <w:pStyle w:val="ManualHeading3"/>
        <w:rPr>
          <w:bCs/>
          <w:noProof/>
          <w:szCs w:val="24"/>
        </w:rPr>
      </w:pPr>
      <w:r>
        <w:rPr>
          <w:noProof/>
        </w:rPr>
        <w:t>1.4.4.</w:t>
      </w:r>
      <w:r>
        <w:rPr>
          <w:noProof/>
        </w:rPr>
        <w:tab/>
        <w:t xml:space="preserve">Virknings- og resultatindikatorer </w:t>
      </w:r>
    </w:p>
    <w:p>
      <w:pPr>
        <w:pStyle w:val="Text1"/>
        <w:rPr>
          <w:i/>
          <w:noProof/>
          <w:sz w:val="20"/>
        </w:rPr>
      </w:pPr>
      <w:r>
        <w:rPr>
          <w:i/>
          <w:noProof/>
          <w:sz w:val="20"/>
        </w:rPr>
        <w:t>Angiv indikatorerne til kontrol af forslagets/initiativets gennemførelse.</w:t>
      </w:r>
    </w:p>
    <w:p>
      <w:pPr>
        <w:pStyle w:val="Text1"/>
        <w:pBdr>
          <w:top w:val="single" w:sz="4" w:space="1" w:color="auto"/>
          <w:left w:val="single" w:sz="4" w:space="4" w:color="auto"/>
          <w:bottom w:val="single" w:sz="4" w:space="1" w:color="auto"/>
          <w:right w:val="single" w:sz="4" w:space="4" w:color="auto"/>
        </w:pBdr>
        <w:rPr>
          <w:noProof/>
        </w:rPr>
      </w:pPr>
      <w:r>
        <w:rPr>
          <w:noProof/>
        </w:rPr>
        <w:t>Ikke relevant.</w:t>
      </w:r>
    </w:p>
    <w:p>
      <w:pPr>
        <w:pStyle w:val="ManualHeading2"/>
        <w:rPr>
          <w:bCs/>
          <w:noProof/>
          <w:szCs w:val="24"/>
        </w:rPr>
      </w:pPr>
      <w:r>
        <w:rPr>
          <w:noProof/>
        </w:rPr>
        <w:t>1.5.</w:t>
      </w:r>
      <w:r>
        <w:rPr>
          <w:noProof/>
        </w:rPr>
        <w:tab/>
        <w:t xml:space="preserve">Forslagets/initiativets begrundelse </w:t>
      </w:r>
    </w:p>
    <w:p>
      <w:pPr>
        <w:pStyle w:val="ManualHeading3"/>
        <w:rPr>
          <w:noProof/>
        </w:rPr>
      </w:pPr>
      <w:r>
        <w:rPr>
          <w:noProof/>
        </w:rPr>
        <w:t>1.5.1.</w:t>
      </w:r>
      <w:r>
        <w:rPr>
          <w:noProof/>
        </w:rPr>
        <w:tab/>
        <w:t xml:space="preserve">Behov, der skal opfyldes på kort eller lang sigt </w:t>
      </w:r>
    </w:p>
    <w:p>
      <w:pPr>
        <w:pStyle w:val="Text1"/>
        <w:pBdr>
          <w:top w:val="single" w:sz="4" w:space="1" w:color="auto"/>
          <w:left w:val="single" w:sz="4" w:space="4" w:color="auto"/>
          <w:bottom w:val="single" w:sz="4" w:space="1" w:color="auto"/>
          <w:right w:val="single" w:sz="4" w:space="4" w:color="auto"/>
        </w:pBdr>
        <w:rPr>
          <w:noProof/>
        </w:rPr>
      </w:pPr>
      <w:r>
        <w:rPr>
          <w:noProof/>
        </w:rPr>
        <w:t>Ikke relevant.</w:t>
      </w:r>
    </w:p>
    <w:p>
      <w:pPr>
        <w:pStyle w:val="ManualHeading3"/>
        <w:rPr>
          <w:bCs/>
          <w:noProof/>
          <w:szCs w:val="24"/>
        </w:rPr>
      </w:pPr>
      <w:r>
        <w:rPr>
          <w:noProof/>
        </w:rPr>
        <w:t>1.5.2.</w:t>
      </w:r>
      <w:r>
        <w:rPr>
          <w:noProof/>
        </w:rPr>
        <w:tab/>
        <w:t>Merværdien ved en indsats fra EU's side</w:t>
      </w:r>
    </w:p>
    <w:p>
      <w:pPr>
        <w:pStyle w:val="Text1"/>
        <w:pBdr>
          <w:top w:val="single" w:sz="4" w:space="1" w:color="auto"/>
          <w:left w:val="single" w:sz="4" w:space="4" w:color="auto"/>
          <w:bottom w:val="single" w:sz="4" w:space="1" w:color="auto"/>
          <w:right w:val="single" w:sz="4" w:space="4" w:color="auto"/>
        </w:pBdr>
        <w:rPr>
          <w:noProof/>
        </w:rPr>
      </w:pPr>
      <w:r>
        <w:rPr>
          <w:noProof/>
        </w:rPr>
        <w:t>Ikke relevant.</w:t>
      </w:r>
    </w:p>
    <w:p>
      <w:pPr>
        <w:pStyle w:val="ManualHeading3"/>
        <w:rPr>
          <w:bCs/>
          <w:noProof/>
          <w:szCs w:val="24"/>
        </w:rPr>
      </w:pPr>
      <w:r>
        <w:rPr>
          <w:noProof/>
        </w:rPr>
        <w:t>1.5.3.</w:t>
      </w:r>
      <w:r>
        <w:rPr>
          <w:noProof/>
        </w:rPr>
        <w:tab/>
        <w:t>Erfaringer fra lignende foranstaltninger</w:t>
      </w:r>
    </w:p>
    <w:p>
      <w:pPr>
        <w:pStyle w:val="Text1"/>
        <w:pBdr>
          <w:top w:val="single" w:sz="4" w:space="1" w:color="auto"/>
          <w:left w:val="single" w:sz="4" w:space="4" w:color="auto"/>
          <w:bottom w:val="single" w:sz="4" w:space="1" w:color="auto"/>
          <w:right w:val="single" w:sz="4" w:space="4" w:color="auto"/>
        </w:pBdr>
        <w:rPr>
          <w:noProof/>
        </w:rPr>
      </w:pPr>
      <w:r>
        <w:rPr>
          <w:noProof/>
        </w:rPr>
        <w:t>Ikke relevant.</w:t>
      </w:r>
    </w:p>
    <w:p>
      <w:pPr>
        <w:pStyle w:val="ManualHeading3"/>
        <w:rPr>
          <w:bCs/>
          <w:noProof/>
          <w:szCs w:val="24"/>
        </w:rPr>
      </w:pPr>
      <w:r>
        <w:rPr>
          <w:noProof/>
        </w:rPr>
        <w:t>1.5.4.</w:t>
      </w:r>
      <w:r>
        <w:rPr>
          <w:noProof/>
        </w:rPr>
        <w:tab/>
        <w:t>Sammenhæng med andre relevante instrumenter og eventuel synergivirkning</w:t>
      </w:r>
    </w:p>
    <w:p>
      <w:pPr>
        <w:pStyle w:val="Text1"/>
        <w:pBdr>
          <w:top w:val="single" w:sz="4" w:space="1" w:color="auto"/>
          <w:left w:val="single" w:sz="4" w:space="4" w:color="auto"/>
          <w:bottom w:val="single" w:sz="4" w:space="1" w:color="auto"/>
          <w:right w:val="single" w:sz="4" w:space="4" w:color="auto"/>
        </w:pBdr>
        <w:rPr>
          <w:noProof/>
        </w:rPr>
      </w:pPr>
      <w:r>
        <w:rPr>
          <w:noProof/>
        </w:rPr>
        <w:t>Ikke relevant.</w:t>
      </w:r>
    </w:p>
    <w:p>
      <w:pPr>
        <w:pStyle w:val="ManualHeading2"/>
        <w:rPr>
          <w:bCs/>
          <w:noProof/>
          <w:szCs w:val="24"/>
        </w:rPr>
      </w:pPr>
      <w:r>
        <w:rPr>
          <w:noProof/>
        </w:rPr>
        <w:t>1.6.</w:t>
      </w:r>
      <w:r>
        <w:rPr>
          <w:noProof/>
        </w:rPr>
        <w:tab/>
        <w:t xml:space="preserve">Varighed og finansielle virkninger </w:t>
      </w:r>
    </w:p>
    <w:p>
      <w:pPr>
        <w:pStyle w:val="Text1"/>
        <w:rPr>
          <w:noProof/>
        </w:rPr>
      </w:pPr>
      <w:r>
        <w:rPr>
          <w:noProof/>
        </w:rPr>
        <w:sym w:font="Wingdings" w:char="F0A8"/>
      </w:r>
      <w:r>
        <w:rPr>
          <w:b/>
          <w:i/>
          <w:noProof/>
        </w:rPr>
        <w:t xml:space="preserve"> </w:t>
      </w:r>
      <w:r>
        <w:rPr>
          <w:noProof/>
        </w:rPr>
        <w:t xml:space="preserve">Forslag/initiativ af </w:t>
      </w:r>
      <w:r>
        <w:rPr>
          <w:b/>
          <w:noProof/>
        </w:rPr>
        <w:t xml:space="preserve">begrænset varighed </w:t>
      </w:r>
    </w:p>
    <w:p>
      <w:pPr>
        <w:pStyle w:val="ListDash2"/>
        <w:rPr>
          <w:noProof/>
        </w:rPr>
      </w:pPr>
      <w:r>
        <w:rPr>
          <w:noProof/>
        </w:rPr>
        <w:sym w:font="Wingdings" w:char="F078"/>
      </w:r>
      <w:r>
        <w:rPr>
          <w:noProof/>
        </w:rPr>
        <w:tab/>
        <w:t>Forslag/initiativ gældende fra 1.7.2020 til 30.6.2021</w:t>
      </w:r>
    </w:p>
    <w:p>
      <w:pPr>
        <w:pStyle w:val="ListDash2"/>
        <w:rPr>
          <w:noProof/>
        </w:rPr>
      </w:pPr>
      <w:r>
        <w:rPr>
          <w:noProof/>
        </w:rPr>
        <w:sym w:font="Wingdings" w:char="F078"/>
      </w:r>
      <w:r>
        <w:rPr>
          <w:noProof/>
        </w:rPr>
        <w:tab/>
        <w:t>Finansielle virkninger fra 2020 til 2024</w:t>
      </w:r>
    </w:p>
    <w:p>
      <w:pPr>
        <w:pStyle w:val="Text1"/>
        <w:rPr>
          <w:noProof/>
        </w:rPr>
      </w:pPr>
      <w:r>
        <w:rPr>
          <w:noProof/>
        </w:rPr>
        <w:sym w:font="Wingdings" w:char="F0A8"/>
      </w:r>
      <w:r>
        <w:rPr>
          <w:b/>
          <w:i/>
          <w:noProof/>
        </w:rPr>
        <w:t xml:space="preserve"> </w:t>
      </w:r>
      <w:r>
        <w:rPr>
          <w:noProof/>
        </w:rPr>
        <w:t xml:space="preserve">Forslag/initiativ af </w:t>
      </w:r>
      <w:r>
        <w:rPr>
          <w:b/>
          <w:noProof/>
        </w:rPr>
        <w:t>ubegrænset varighed</w:t>
      </w:r>
    </w:p>
    <w:p>
      <w:pPr>
        <w:pStyle w:val="ListDash1"/>
        <w:rPr>
          <w:noProof/>
        </w:rPr>
      </w:pPr>
      <w:r>
        <w:rPr>
          <w:noProof/>
        </w:rPr>
        <w:t>Iværksættelse med en indkøringsperiode fra ÅÅÅÅ til ÅÅÅÅ,</w:t>
      </w:r>
    </w:p>
    <w:p>
      <w:pPr>
        <w:pStyle w:val="ListDash1"/>
        <w:rPr>
          <w:noProof/>
        </w:rPr>
      </w:pPr>
      <w:r>
        <w:rPr>
          <w:noProof/>
        </w:rPr>
        <w:t>derefter gennemførelse i fuldt omfang.</w:t>
      </w:r>
    </w:p>
    <w:p>
      <w:pPr>
        <w:pStyle w:val="ManualHeading2"/>
        <w:rPr>
          <w:bCs/>
          <w:noProof/>
          <w:szCs w:val="24"/>
        </w:rPr>
      </w:pPr>
      <w:r>
        <w:rPr>
          <w:noProof/>
        </w:rPr>
        <w:t>1.7.</w:t>
      </w:r>
      <w:r>
        <w:rPr>
          <w:noProof/>
        </w:rPr>
        <w:tab/>
        <w:t>Påtænkt(e) forvaltningsmetode(r)</w:t>
      </w:r>
      <w:r>
        <w:rPr>
          <w:rStyle w:val="FootnoteReference"/>
          <w:bCs/>
          <w:noProof/>
        </w:rPr>
        <w:footnoteReference w:id="6"/>
      </w:r>
      <w:r>
        <w:rPr>
          <w:rStyle w:val="FootnoteReference"/>
          <w:noProof/>
        </w:rPr>
        <w:t xml:space="preserve">  </w:t>
      </w:r>
    </w:p>
    <w:p>
      <w:pPr>
        <w:pStyle w:val="Text1"/>
        <w:rPr>
          <w:noProof/>
        </w:rPr>
      </w:pPr>
      <w:r>
        <w:rPr>
          <w:noProof/>
        </w:rPr>
        <w:sym w:font="Wingdings" w:char="F0A8"/>
      </w:r>
      <w:r>
        <w:rPr>
          <w:i/>
          <w:noProof/>
        </w:rPr>
        <w:t xml:space="preserve"> </w:t>
      </w:r>
      <w:r>
        <w:rPr>
          <w:b/>
          <w:noProof/>
        </w:rPr>
        <w:t xml:space="preserve">Direkte forvaltning </w:t>
      </w:r>
      <w:r>
        <w:rPr>
          <w:noProof/>
        </w:rPr>
        <w:t>ved Kommissionen</w:t>
      </w:r>
    </w:p>
    <w:p>
      <w:pPr>
        <w:pStyle w:val="ListDash2"/>
        <w:rPr>
          <w:rFonts w:cs="EUAlbertina"/>
          <w:noProof/>
        </w:rPr>
      </w:pPr>
      <w:r>
        <w:rPr>
          <w:noProof/>
        </w:rPr>
        <w:sym w:font="Wingdings" w:char="F0A8"/>
      </w:r>
      <w:r>
        <w:rPr>
          <w:noProof/>
        </w:rPr>
        <w:t xml:space="preserve"> i dens tjenestegrene, herunder ved dens personale i EU's delegationer </w:t>
      </w:r>
    </w:p>
    <w:p>
      <w:pPr>
        <w:pStyle w:val="ListDash2"/>
        <w:rPr>
          <w:noProof/>
        </w:rPr>
      </w:pPr>
      <w:r>
        <w:rPr>
          <w:noProof/>
        </w:rPr>
        <w:sym w:font="Wingdings" w:char="F0A8"/>
      </w:r>
      <w:r>
        <w:rPr>
          <w:noProof/>
        </w:rPr>
        <w:tab/>
        <w:t xml:space="preserve">i gennemførelsesorganer </w:t>
      </w:r>
    </w:p>
    <w:p>
      <w:pPr>
        <w:pStyle w:val="Text1"/>
        <w:rPr>
          <w:noProof/>
        </w:rPr>
      </w:pPr>
      <w:r>
        <w:rPr>
          <w:noProof/>
        </w:rPr>
        <w:sym w:font="Wingdings" w:char="F078"/>
      </w:r>
      <w:r>
        <w:rPr>
          <w:b/>
          <w:i/>
          <w:noProof/>
        </w:rPr>
        <w:t xml:space="preserve"> </w:t>
      </w:r>
      <w:r>
        <w:rPr>
          <w:b/>
          <w:noProof/>
        </w:rPr>
        <w:t>Delt forvaltning</w:t>
      </w:r>
      <w:r>
        <w:rPr>
          <w:noProof/>
        </w:rPr>
        <w:t xml:space="preserve"> i samarbejde med medlemsstaterne </w:t>
      </w:r>
    </w:p>
    <w:p>
      <w:pPr>
        <w:pStyle w:val="Text1"/>
        <w:rPr>
          <w:noProof/>
        </w:rPr>
      </w:pPr>
      <w:r>
        <w:rPr>
          <w:noProof/>
        </w:rPr>
        <w:sym w:font="Wingdings" w:char="F0A8"/>
      </w:r>
      <w:r>
        <w:rPr>
          <w:i/>
          <w:noProof/>
        </w:rPr>
        <w:t xml:space="preserve"> </w:t>
      </w:r>
      <w:r>
        <w:rPr>
          <w:b/>
          <w:noProof/>
        </w:rPr>
        <w:t>Indirekte forvaltning</w:t>
      </w:r>
      <w:r>
        <w:rPr>
          <w:noProof/>
        </w:rPr>
        <w:t xml:space="preserve"> ved at overlade budgetgennemførelsesopgaver til:</w:t>
      </w:r>
    </w:p>
    <w:p>
      <w:pPr>
        <w:pStyle w:val="ListDash2"/>
        <w:rPr>
          <w:noProof/>
        </w:rPr>
      </w:pPr>
      <w:r>
        <w:rPr>
          <w:noProof/>
        </w:rPr>
        <w:sym w:font="Wingdings" w:char="F0A8"/>
      </w:r>
      <w:r>
        <w:rPr>
          <w:noProof/>
        </w:rPr>
        <w:t xml:space="preserve"> tredjelande eller organer, som tredjelande har udpeget</w:t>
      </w:r>
    </w:p>
    <w:p>
      <w:pPr>
        <w:pStyle w:val="ListDash2"/>
        <w:rPr>
          <w:noProof/>
        </w:rPr>
      </w:pPr>
      <w:r>
        <w:rPr>
          <w:noProof/>
        </w:rPr>
        <w:sym w:font="Wingdings" w:char="F0A8"/>
      </w:r>
      <w:r>
        <w:rPr>
          <w:noProof/>
        </w:rPr>
        <w:t xml:space="preserve"> internationale organisationer og deres organer (angives nærmere)</w:t>
      </w:r>
    </w:p>
    <w:p>
      <w:pPr>
        <w:pStyle w:val="ListDash2"/>
        <w:rPr>
          <w:noProof/>
        </w:rPr>
      </w:pPr>
      <w:r>
        <w:rPr>
          <w:noProof/>
        </w:rPr>
        <w:sym w:font="Wingdings" w:char="F0A8"/>
      </w:r>
      <w:r>
        <w:rPr>
          <w:noProof/>
        </w:rPr>
        <w:t xml:space="preserve"> Den Europæiske Investeringsbank og Den Europæiske Investeringsfond</w:t>
      </w:r>
    </w:p>
    <w:p>
      <w:pPr>
        <w:pStyle w:val="ListDash2"/>
        <w:rPr>
          <w:noProof/>
        </w:rPr>
      </w:pPr>
      <w:r>
        <w:rPr>
          <w:noProof/>
        </w:rPr>
        <w:sym w:font="Wingdings" w:char="F0A8"/>
      </w:r>
      <w:r>
        <w:rPr>
          <w:noProof/>
        </w:rPr>
        <w:t xml:space="preserve"> de organer, der er omhandlet i finansforordningens artikel 208 og 209</w:t>
      </w:r>
    </w:p>
    <w:p>
      <w:pPr>
        <w:pStyle w:val="ListDash2"/>
        <w:rPr>
          <w:noProof/>
        </w:rPr>
      </w:pPr>
      <w:r>
        <w:rPr>
          <w:noProof/>
        </w:rPr>
        <w:sym w:font="Wingdings" w:char="F0A8"/>
      </w:r>
      <w:r>
        <w:rPr>
          <w:noProof/>
        </w:rPr>
        <w:t xml:space="preserve"> offentligretlige organer</w:t>
      </w:r>
    </w:p>
    <w:p>
      <w:pPr>
        <w:pStyle w:val="ListDash2"/>
        <w:rPr>
          <w:noProof/>
        </w:rPr>
      </w:pPr>
      <w:r>
        <w:rPr>
          <w:noProof/>
        </w:rPr>
        <w:sym w:font="Wingdings" w:char="F0A8"/>
      </w:r>
      <w:r>
        <w:rPr>
          <w:noProof/>
        </w:rPr>
        <w:t xml:space="preserve"> privatretlige organer, der har fået overdraget samfundsopgaver, forudsat at de stiller tilstrækkelige finansielle garantier</w:t>
      </w:r>
    </w:p>
    <w:p>
      <w:pPr>
        <w:pStyle w:val="ListDash2"/>
        <w:rPr>
          <w:noProof/>
        </w:rPr>
      </w:pPr>
      <w:r>
        <w:rPr>
          <w:noProof/>
        </w:rPr>
        <w:sym w:font="Wingdings" w:char="F0A8"/>
      </w:r>
      <w:r>
        <w:rPr>
          <w:noProof/>
        </w:rPr>
        <w:t xml:space="preserve"> privatretlige organer, undergivet lovgivningen i en medlemsstat, som har fået overdraget gennemførelsen af et offentlig-privat partnerskab, og som stiller tilstrækkelige finansielle garantier</w:t>
      </w:r>
    </w:p>
    <w:p>
      <w:pPr>
        <w:pStyle w:val="ListDash2"/>
        <w:rPr>
          <w:noProof/>
        </w:rPr>
      </w:pPr>
      <w:r>
        <w:rPr>
          <w:noProof/>
        </w:rPr>
        <w:sym w:font="Wingdings" w:char="F0A8"/>
      </w:r>
      <w:r>
        <w:rPr>
          <w:noProof/>
        </w:rPr>
        <w:t xml:space="preserve"> personer, der har fået overdraget gennemførelsen af specifikke aktioner i den fælles udenrigs- og sikkerhedspolitik i henhold til afsnit V i traktaten om Den Europæiske Union, og som er udpeget i den relevante basisretsakt</w:t>
      </w:r>
    </w:p>
    <w:p>
      <w:pPr>
        <w:pStyle w:val="ListDash2"/>
        <w:rPr>
          <w:i/>
          <w:noProof/>
          <w:sz w:val="18"/>
          <w:u w:val="single"/>
        </w:rPr>
      </w:pPr>
      <w:r>
        <w:rPr>
          <w:i/>
          <w:noProof/>
          <w:sz w:val="18"/>
        </w:rPr>
        <w:t>Hvis der angives flere forvaltningsmetoder, gives der en nærmere forklaring i afsnittet "Bemærkninger".</w:t>
      </w:r>
    </w:p>
    <w:p>
      <w:pPr>
        <w:rPr>
          <w:noProof/>
        </w:rPr>
      </w:pPr>
      <w:r>
        <w:rPr>
          <w:noProof/>
        </w:rPr>
        <w:t xml:space="preserve">Bemærkninger </w:t>
      </w:r>
    </w:p>
    <w:p>
      <w:pPr>
        <w:pBdr>
          <w:top w:val="single" w:sz="4" w:space="1" w:color="auto"/>
          <w:left w:val="single" w:sz="4" w:space="4" w:color="auto"/>
          <w:bottom w:val="single" w:sz="4" w:space="1" w:color="auto"/>
          <w:right w:val="single" w:sz="4" w:space="4" w:color="auto"/>
        </w:pBdr>
        <w:rPr>
          <w:noProof/>
        </w:rPr>
      </w:pPr>
      <w:r>
        <w:rPr>
          <w:noProof/>
        </w:rPr>
        <w:t>Ikke relevant.</w:t>
      </w:r>
    </w:p>
    <w:p>
      <w:pPr>
        <w:pStyle w:val="ManualHeading1"/>
        <w:rPr>
          <w:bCs/>
          <w:noProof/>
          <w:szCs w:val="24"/>
        </w:rPr>
      </w:pPr>
      <w:r>
        <w:rPr>
          <w:noProof/>
        </w:rPr>
        <w:t>2.</w:t>
      </w:r>
      <w:r>
        <w:rPr>
          <w:noProof/>
        </w:rPr>
        <w:tab/>
        <w:t xml:space="preserve">FORVALTNINGSFORANSTALTNINGER </w:t>
      </w:r>
    </w:p>
    <w:p>
      <w:pPr>
        <w:pStyle w:val="ManualHeading2"/>
        <w:rPr>
          <w:noProof/>
        </w:rPr>
      </w:pPr>
      <w:r>
        <w:rPr>
          <w:noProof/>
        </w:rPr>
        <w:t>2.1.</w:t>
      </w:r>
      <w:r>
        <w:rPr>
          <w:noProof/>
        </w:rPr>
        <w:tab/>
        <w:t xml:space="preserve">Bestemmelser om kontrol og rapportering </w:t>
      </w:r>
    </w:p>
    <w:p>
      <w:pPr>
        <w:pStyle w:val="Text1"/>
        <w:rPr>
          <w:i/>
          <w:noProof/>
          <w:sz w:val="20"/>
          <w:u w:val="single"/>
        </w:rPr>
      </w:pPr>
      <w:r>
        <w:rPr>
          <w:i/>
          <w:noProof/>
          <w:sz w:val="20"/>
        </w:rPr>
        <w:t>Angiv hyppighed og betingelser.</w:t>
      </w:r>
    </w:p>
    <w:p>
      <w:pPr>
        <w:pStyle w:val="Text1"/>
        <w:pBdr>
          <w:top w:val="single" w:sz="4" w:space="1" w:color="auto"/>
          <w:left w:val="single" w:sz="4" w:space="4" w:color="auto"/>
          <w:bottom w:val="single" w:sz="4" w:space="1" w:color="auto"/>
          <w:right w:val="single" w:sz="4" w:space="4" w:color="auto"/>
        </w:pBdr>
        <w:rPr>
          <w:noProof/>
        </w:rPr>
      </w:pPr>
      <w:r>
        <w:rPr>
          <w:noProof/>
        </w:rPr>
        <w:t>Ikke relevant.</w:t>
      </w:r>
    </w:p>
    <w:p>
      <w:pPr>
        <w:pStyle w:val="ManualHeading2"/>
        <w:rPr>
          <w:bCs/>
          <w:noProof/>
          <w:szCs w:val="24"/>
        </w:rPr>
      </w:pPr>
      <w:r>
        <w:rPr>
          <w:noProof/>
        </w:rPr>
        <w:t>2.2.</w:t>
      </w:r>
      <w:r>
        <w:rPr>
          <w:noProof/>
        </w:rPr>
        <w:tab/>
        <w:t xml:space="preserve">Forvaltnings- og kontrolsystem </w:t>
      </w:r>
    </w:p>
    <w:p>
      <w:pPr>
        <w:pStyle w:val="ManualHeading3"/>
        <w:rPr>
          <w:noProof/>
        </w:rPr>
      </w:pPr>
      <w:r>
        <w:rPr>
          <w:noProof/>
        </w:rPr>
        <w:t>2.2.1.</w:t>
      </w:r>
      <w:r>
        <w:rPr>
          <w:noProof/>
        </w:rPr>
        <w:tab/>
        <w:t xml:space="preserve">Konstaterede risici </w:t>
      </w:r>
    </w:p>
    <w:p>
      <w:pPr>
        <w:pStyle w:val="Text1"/>
        <w:pBdr>
          <w:top w:val="single" w:sz="4" w:space="1" w:color="auto"/>
          <w:left w:val="single" w:sz="4" w:space="4" w:color="auto"/>
          <w:bottom w:val="single" w:sz="4" w:space="1" w:color="auto"/>
          <w:right w:val="single" w:sz="4" w:space="4" w:color="auto"/>
        </w:pBdr>
        <w:rPr>
          <w:noProof/>
        </w:rPr>
      </w:pPr>
      <w:r>
        <w:rPr>
          <w:noProof/>
        </w:rPr>
        <w:t>Ikke relevant.</w:t>
      </w:r>
    </w:p>
    <w:p>
      <w:pPr>
        <w:pStyle w:val="ManualHeading3"/>
        <w:rPr>
          <w:bCs/>
          <w:noProof/>
          <w:szCs w:val="24"/>
        </w:rPr>
      </w:pPr>
      <w:r>
        <w:rPr>
          <w:noProof/>
        </w:rPr>
        <w:t>2.2.2.</w:t>
      </w:r>
      <w:r>
        <w:rPr>
          <w:noProof/>
        </w:rPr>
        <w:tab/>
        <w:t>Oplysninger om det interne kontrolsystem</w:t>
      </w:r>
    </w:p>
    <w:p>
      <w:pPr>
        <w:pStyle w:val="Text1"/>
        <w:pBdr>
          <w:top w:val="single" w:sz="4" w:space="1" w:color="auto"/>
          <w:left w:val="single" w:sz="4" w:space="4" w:color="auto"/>
          <w:bottom w:val="single" w:sz="4" w:space="1" w:color="auto"/>
          <w:right w:val="single" w:sz="4" w:space="4" w:color="auto"/>
        </w:pBdr>
        <w:rPr>
          <w:noProof/>
        </w:rPr>
      </w:pPr>
      <w:r>
        <w:rPr>
          <w:noProof/>
        </w:rPr>
        <w:t>Ikke relevant.</w:t>
      </w:r>
    </w:p>
    <w:p>
      <w:pPr>
        <w:pStyle w:val="ManualHeading3"/>
        <w:rPr>
          <w:noProof/>
        </w:rPr>
      </w:pPr>
      <w:r>
        <w:rPr>
          <w:noProof/>
        </w:rPr>
        <w:t>2.2.3.</w:t>
      </w:r>
      <w:r>
        <w:rPr>
          <w:noProof/>
        </w:rPr>
        <w:tab/>
        <w:t xml:space="preserve">Anslåede omkostninger og fordele ved kontrollen samt forventet fejlrisiko </w:t>
      </w:r>
    </w:p>
    <w:p>
      <w:pPr>
        <w:pStyle w:val="Text1"/>
        <w:pBdr>
          <w:top w:val="single" w:sz="4" w:space="1" w:color="auto"/>
          <w:left w:val="single" w:sz="4" w:space="4" w:color="auto"/>
          <w:bottom w:val="single" w:sz="4" w:space="1" w:color="auto"/>
          <w:right w:val="single" w:sz="4" w:space="4" w:color="auto"/>
        </w:pBdr>
        <w:rPr>
          <w:noProof/>
        </w:rPr>
      </w:pPr>
      <w:r>
        <w:rPr>
          <w:noProof/>
        </w:rPr>
        <w:t>Ikke relevant.</w:t>
      </w:r>
    </w:p>
    <w:p>
      <w:pPr>
        <w:pStyle w:val="ManualHeading2"/>
        <w:rPr>
          <w:bCs/>
          <w:noProof/>
          <w:szCs w:val="24"/>
        </w:rPr>
      </w:pPr>
      <w:r>
        <w:rPr>
          <w:noProof/>
        </w:rPr>
        <w:t>2.3.</w:t>
      </w:r>
      <w:r>
        <w:rPr>
          <w:noProof/>
        </w:rPr>
        <w:tab/>
        <w:t xml:space="preserve">Foranstaltninger til forebyggelse af svig og uregelmæssigheder </w:t>
      </w:r>
    </w:p>
    <w:p>
      <w:pPr>
        <w:pStyle w:val="Text1"/>
        <w:rPr>
          <w:i/>
          <w:noProof/>
          <w:sz w:val="20"/>
        </w:rPr>
      </w:pPr>
      <w:r>
        <w:rPr>
          <w:i/>
          <w:noProof/>
          <w:sz w:val="20"/>
        </w:rPr>
        <w:t>Angiv eksisterende eller påtænkte forebyggelses- og beskyttelsesforanstaltninger.</w:t>
      </w:r>
    </w:p>
    <w:p>
      <w:pPr>
        <w:pStyle w:val="Text1"/>
        <w:pBdr>
          <w:top w:val="single" w:sz="4" w:space="1" w:color="auto"/>
          <w:left w:val="single" w:sz="4" w:space="4" w:color="auto"/>
          <w:bottom w:val="single" w:sz="4" w:space="1" w:color="auto"/>
          <w:right w:val="single" w:sz="4" w:space="4" w:color="auto"/>
        </w:pBdr>
        <w:rPr>
          <w:noProof/>
        </w:rPr>
      </w:pPr>
      <w:r>
        <w:rPr>
          <w:noProof/>
        </w:rPr>
        <w:t>Ikke relevant.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FORSLAGETS/INITIATIVETS ANSLÅEDE FINANSIELLE VIRKNINGER </w:t>
      </w:r>
    </w:p>
    <w:p>
      <w:pPr>
        <w:pStyle w:val="ManualHeading2"/>
        <w:rPr>
          <w:noProof/>
        </w:rPr>
      </w:pPr>
      <w:r>
        <w:rPr>
          <w:noProof/>
        </w:rPr>
        <w:t>3.1.</w:t>
      </w:r>
      <w:r>
        <w:rPr>
          <w:noProof/>
        </w:rPr>
        <w:tab/>
        <w:t xml:space="preserve">Berørt(e) udgiftspost(er) på budgettet og udgiftsområde(r) i den flerårige finansielle ramme </w:t>
      </w:r>
    </w:p>
    <w:p>
      <w:pPr>
        <w:pStyle w:val="ListBullet1"/>
        <w:rPr>
          <w:noProof/>
        </w:rPr>
      </w:pPr>
      <w:r>
        <w:rPr>
          <w:noProof/>
        </w:rPr>
        <w:t xml:space="preserve">Eksisterende udgiftsposter på budgettet </w:t>
      </w:r>
    </w:p>
    <w:p>
      <w:pPr>
        <w:pStyle w:val="Text1"/>
        <w:rPr>
          <w:noProof/>
        </w:rPr>
      </w:pPr>
      <w:r>
        <w:rPr>
          <w:noProof/>
          <w:u w:val="single"/>
        </w:rPr>
        <w:t>I samme rækkefølge</w:t>
      </w:r>
      <w:r>
        <w:rPr>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Udgiftsområde i den flerårige finansielle ramme</w:t>
            </w:r>
          </w:p>
        </w:tc>
        <w:tc>
          <w:tcPr>
            <w:tcW w:w="3960" w:type="dxa"/>
            <w:vAlign w:val="center"/>
          </w:tcPr>
          <w:p>
            <w:pPr>
              <w:spacing w:before="60" w:after="60"/>
              <w:jc w:val="center"/>
              <w:rPr>
                <w:noProof/>
              </w:rPr>
            </w:pPr>
            <w:r>
              <w:rPr>
                <w:noProof/>
                <w:sz w:val="20"/>
              </w:rPr>
              <w:t>Budgetpost</w:t>
            </w:r>
          </w:p>
        </w:tc>
        <w:tc>
          <w:tcPr>
            <w:tcW w:w="1080" w:type="dxa"/>
            <w:vAlign w:val="center"/>
          </w:tcPr>
          <w:p>
            <w:pPr>
              <w:spacing w:before="60" w:after="60"/>
              <w:jc w:val="center"/>
              <w:rPr>
                <w:noProof/>
              </w:rPr>
            </w:pPr>
            <w:r>
              <w:rPr>
                <w:noProof/>
                <w:sz w:val="18"/>
              </w:rPr>
              <w:t xml:space="preserve">Udgiftens </w:t>
            </w:r>
            <w:r>
              <w:rPr>
                <w:noProof/>
              </w:rPr>
              <w:br/>
            </w:r>
            <w:r>
              <w:rPr>
                <w:noProof/>
                <w:sz w:val="18"/>
              </w:rPr>
              <w:t>art</w:t>
            </w:r>
          </w:p>
        </w:tc>
        <w:tc>
          <w:tcPr>
            <w:tcW w:w="4440" w:type="dxa"/>
            <w:gridSpan w:val="4"/>
            <w:vAlign w:val="center"/>
          </w:tcPr>
          <w:p>
            <w:pPr>
              <w:spacing w:before="60" w:after="60"/>
              <w:jc w:val="center"/>
              <w:rPr>
                <w:noProof/>
              </w:rPr>
            </w:pPr>
            <w:r>
              <w:rPr>
                <w:noProof/>
                <w:sz w:val="20"/>
              </w:rPr>
              <w:t xml:space="preserve">Bidrag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Nummer </w:t>
            </w:r>
            <w:r>
              <w:rPr>
                <w:noProof/>
              </w:rPr>
              <w:br/>
            </w:r>
            <w:r>
              <w:rPr>
                <w:noProof/>
                <w:sz w:val="20"/>
              </w:rPr>
              <w:t>[Betegnelse]</w:t>
            </w:r>
          </w:p>
        </w:tc>
        <w:tc>
          <w:tcPr>
            <w:tcW w:w="1080" w:type="dxa"/>
            <w:vAlign w:val="center"/>
          </w:tcPr>
          <w:p>
            <w:pPr>
              <w:jc w:val="center"/>
              <w:rPr>
                <w:noProof/>
              </w:rPr>
            </w:pPr>
            <w:r>
              <w:rPr>
                <w:noProof/>
                <w:sz w:val="18"/>
              </w:rPr>
              <w:t>OB/IOB</w:t>
            </w:r>
            <w:r>
              <w:rPr>
                <w:rStyle w:val="FootnoteReference"/>
                <w:noProof/>
                <w:sz w:val="18"/>
              </w:rPr>
              <w:footnoteReference w:id="7"/>
            </w:r>
            <w:r>
              <w:rPr>
                <w:noProof/>
              </w:rPr>
              <w:t>.</w:t>
            </w:r>
          </w:p>
        </w:tc>
        <w:tc>
          <w:tcPr>
            <w:tcW w:w="956" w:type="dxa"/>
            <w:vAlign w:val="center"/>
          </w:tcPr>
          <w:p>
            <w:pPr>
              <w:jc w:val="center"/>
              <w:rPr>
                <w:noProof/>
              </w:rPr>
            </w:pPr>
            <w:r>
              <w:rPr>
                <w:noProof/>
                <w:sz w:val="18"/>
              </w:rPr>
              <w:t>fra EFTA-lande</w:t>
            </w:r>
            <w:r>
              <w:rPr>
                <w:rStyle w:val="FootnoteReference"/>
                <w:noProof/>
                <w:sz w:val="18"/>
              </w:rPr>
              <w:footnoteReference w:id="8"/>
            </w:r>
          </w:p>
          <w:p>
            <w:pPr>
              <w:spacing w:before="0" w:after="0"/>
              <w:jc w:val="center"/>
              <w:rPr>
                <w:b/>
                <w:noProof/>
                <w:sz w:val="18"/>
              </w:rPr>
            </w:pPr>
          </w:p>
        </w:tc>
        <w:tc>
          <w:tcPr>
            <w:tcW w:w="1080" w:type="dxa"/>
            <w:vAlign w:val="center"/>
          </w:tcPr>
          <w:p>
            <w:pPr>
              <w:jc w:val="center"/>
              <w:rPr>
                <w:noProof/>
              </w:rPr>
            </w:pPr>
            <w:r>
              <w:rPr>
                <w:noProof/>
                <w:sz w:val="18"/>
              </w:rPr>
              <w:t>fra kandidatlande</w:t>
            </w:r>
            <w:r>
              <w:rPr>
                <w:rStyle w:val="FootnoteReference"/>
                <w:noProof/>
                <w:sz w:val="18"/>
              </w:rPr>
              <w:footnoteReference w:id="9"/>
            </w:r>
          </w:p>
          <w:p>
            <w:pPr>
              <w:spacing w:before="0" w:after="0"/>
              <w:jc w:val="center"/>
              <w:rPr>
                <w:noProof/>
                <w:sz w:val="18"/>
              </w:rPr>
            </w:pPr>
          </w:p>
        </w:tc>
        <w:tc>
          <w:tcPr>
            <w:tcW w:w="956" w:type="dxa"/>
            <w:vAlign w:val="center"/>
          </w:tcPr>
          <w:p>
            <w:pPr>
              <w:jc w:val="center"/>
              <w:rPr>
                <w:noProof/>
                <w:sz w:val="18"/>
              </w:rPr>
            </w:pPr>
            <w:r>
              <w:rPr>
                <w:noProof/>
                <w:sz w:val="18"/>
              </w:rPr>
              <w:t>fra tredjelande</w:t>
            </w:r>
          </w:p>
        </w:tc>
        <w:tc>
          <w:tcPr>
            <w:tcW w:w="1448" w:type="dxa"/>
            <w:vAlign w:val="center"/>
          </w:tcPr>
          <w:p>
            <w:pPr>
              <w:jc w:val="center"/>
              <w:rPr>
                <w:noProof/>
              </w:rPr>
            </w:pPr>
            <w:r>
              <w:rPr>
                <w:noProof/>
                <w:sz w:val="16"/>
              </w:rPr>
              <w:t xml:space="preserve">iht. finansforordningens artikel 21, stk. 2, litra b) </w:t>
            </w:r>
          </w:p>
        </w:tc>
      </w:tr>
      <w:tr>
        <w:tc>
          <w:tcPr>
            <w:tcW w:w="1080" w:type="dxa"/>
            <w:shd w:val="clear" w:color="auto" w:fill="auto"/>
            <w:vAlign w:val="center"/>
          </w:tcPr>
          <w:p>
            <w:pPr>
              <w:jc w:val="center"/>
              <w:rPr>
                <w:noProof/>
                <w:color w:val="0000FF"/>
              </w:rPr>
            </w:pPr>
            <w:r>
              <w:rPr>
                <w:noProof/>
              </w:rPr>
              <w:t>1 Intelligent og inklusiv vækst</w:t>
            </w:r>
          </w:p>
        </w:tc>
        <w:tc>
          <w:tcPr>
            <w:tcW w:w="3960" w:type="dxa"/>
            <w:vAlign w:val="center"/>
          </w:tcPr>
          <w:p>
            <w:pPr>
              <w:spacing w:after="60"/>
              <w:rPr>
                <w:noProof/>
              </w:rPr>
            </w:pPr>
            <w:r>
              <w:rPr>
                <w:noProof/>
              </w:rPr>
              <w:t>04 06 01 - Fremme af social samhørighed og afhjælpning af de værste former for fattigdom i Unionen</w:t>
            </w:r>
          </w:p>
          <w:p>
            <w:pPr>
              <w:spacing w:after="60"/>
              <w:rPr>
                <w:noProof/>
              </w:rPr>
            </w:pPr>
          </w:p>
        </w:tc>
        <w:tc>
          <w:tcPr>
            <w:tcW w:w="1080" w:type="dxa"/>
            <w:vAlign w:val="center"/>
          </w:tcPr>
          <w:p>
            <w:pPr>
              <w:jc w:val="center"/>
              <w:rPr>
                <w:noProof/>
                <w:color w:val="0000FF"/>
              </w:rPr>
            </w:pPr>
            <w:r>
              <w:rPr>
                <w:noProof/>
              </w:rPr>
              <w:t>OB</w:t>
            </w:r>
          </w:p>
        </w:tc>
        <w:tc>
          <w:tcPr>
            <w:tcW w:w="956" w:type="dxa"/>
            <w:vAlign w:val="center"/>
          </w:tcPr>
          <w:p>
            <w:pPr>
              <w:jc w:val="center"/>
              <w:rPr>
                <w:noProof/>
              </w:rPr>
            </w:pPr>
            <w:r>
              <w:rPr>
                <w:noProof/>
              </w:rPr>
              <w:t>NEJ</w:t>
            </w:r>
          </w:p>
        </w:tc>
        <w:tc>
          <w:tcPr>
            <w:tcW w:w="1080" w:type="dxa"/>
            <w:vAlign w:val="center"/>
          </w:tcPr>
          <w:p>
            <w:pPr>
              <w:jc w:val="center"/>
              <w:rPr>
                <w:noProof/>
              </w:rPr>
            </w:pPr>
            <w:r>
              <w:rPr>
                <w:noProof/>
              </w:rPr>
              <w:t>NEJ</w:t>
            </w:r>
          </w:p>
        </w:tc>
        <w:tc>
          <w:tcPr>
            <w:tcW w:w="956" w:type="dxa"/>
            <w:vAlign w:val="center"/>
          </w:tcPr>
          <w:p>
            <w:pPr>
              <w:jc w:val="center"/>
              <w:rPr>
                <w:noProof/>
              </w:rPr>
            </w:pPr>
            <w:r>
              <w:rPr>
                <w:noProof/>
              </w:rPr>
              <w:t>NEJ</w:t>
            </w:r>
          </w:p>
        </w:tc>
        <w:tc>
          <w:tcPr>
            <w:tcW w:w="1448" w:type="dxa"/>
            <w:vAlign w:val="center"/>
          </w:tcPr>
          <w:p>
            <w:pPr>
              <w:jc w:val="center"/>
              <w:rPr>
                <w:noProof/>
              </w:rPr>
            </w:pPr>
            <w:r>
              <w:rPr>
                <w:noProof/>
              </w:rPr>
              <w:t>NEJ</w:t>
            </w:r>
          </w:p>
        </w:tc>
      </w:tr>
    </w:tbl>
    <w:p>
      <w:pPr>
        <w:rPr>
          <w:noProof/>
        </w:rPr>
      </w:pPr>
    </w:p>
    <w:p>
      <w:pPr>
        <w:pStyle w:val="ListBullet1"/>
        <w:rPr>
          <w:noProof/>
        </w:rPr>
      </w:pPr>
      <w:r>
        <w:rPr>
          <w:noProof/>
        </w:rPr>
        <w:t xml:space="preserve">Nye budgetposter, som der er søgt om. </w:t>
      </w:r>
    </w:p>
    <w:p>
      <w:pPr>
        <w:pStyle w:val="Text1"/>
        <w:rPr>
          <w:i/>
          <w:noProof/>
          <w:sz w:val="20"/>
        </w:rPr>
      </w:pPr>
      <w:r>
        <w:rPr>
          <w:i/>
          <w:noProof/>
          <w:u w:val="single"/>
        </w:rPr>
        <w:t>I samme rækkefølge</w:t>
      </w:r>
      <w:r>
        <w:rPr>
          <w:i/>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Udgiftsområde i den flerårige finansielle ramme</w:t>
            </w:r>
          </w:p>
        </w:tc>
        <w:tc>
          <w:tcPr>
            <w:tcW w:w="3960" w:type="dxa"/>
            <w:vAlign w:val="center"/>
          </w:tcPr>
          <w:p>
            <w:pPr>
              <w:spacing w:before="60" w:after="60"/>
              <w:jc w:val="center"/>
              <w:rPr>
                <w:noProof/>
              </w:rPr>
            </w:pPr>
            <w:r>
              <w:rPr>
                <w:noProof/>
                <w:sz w:val="20"/>
              </w:rPr>
              <w:t>Budgetpost</w:t>
            </w:r>
          </w:p>
        </w:tc>
        <w:tc>
          <w:tcPr>
            <w:tcW w:w="1080" w:type="dxa"/>
            <w:vAlign w:val="center"/>
          </w:tcPr>
          <w:p>
            <w:pPr>
              <w:spacing w:before="60" w:after="60"/>
              <w:jc w:val="center"/>
              <w:rPr>
                <w:noProof/>
              </w:rPr>
            </w:pPr>
            <w:r>
              <w:rPr>
                <w:noProof/>
                <w:sz w:val="18"/>
              </w:rPr>
              <w:t>Udgiftens</w:t>
            </w:r>
            <w:r>
              <w:rPr>
                <w:noProof/>
              </w:rPr>
              <w:br/>
            </w:r>
            <w:r>
              <w:rPr>
                <w:noProof/>
                <w:sz w:val="18"/>
              </w:rPr>
              <w:t>art</w:t>
            </w:r>
          </w:p>
        </w:tc>
        <w:tc>
          <w:tcPr>
            <w:tcW w:w="4440" w:type="dxa"/>
            <w:gridSpan w:val="4"/>
            <w:vAlign w:val="center"/>
          </w:tcPr>
          <w:p>
            <w:pPr>
              <w:spacing w:before="60" w:after="60"/>
              <w:jc w:val="center"/>
              <w:rPr>
                <w:noProof/>
              </w:rPr>
            </w:pPr>
            <w:r>
              <w:rPr>
                <w:noProof/>
                <w:sz w:val="20"/>
              </w:rPr>
              <w:t xml:space="preserve">Bidrag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Nummer </w:t>
            </w:r>
            <w:r>
              <w:rPr>
                <w:noProof/>
              </w:rPr>
              <w:br/>
            </w:r>
            <w:r>
              <w:rPr>
                <w:noProof/>
                <w:sz w:val="20"/>
              </w:rPr>
              <w:t>[Betegnelse]</w:t>
            </w:r>
          </w:p>
        </w:tc>
        <w:tc>
          <w:tcPr>
            <w:tcW w:w="1080" w:type="dxa"/>
            <w:vAlign w:val="center"/>
          </w:tcPr>
          <w:p>
            <w:pPr>
              <w:jc w:val="center"/>
              <w:rPr>
                <w:noProof/>
              </w:rPr>
            </w:pPr>
            <w:r>
              <w:rPr>
                <w:noProof/>
                <w:sz w:val="18"/>
              </w:rPr>
              <w:t>OB/IOB</w:t>
            </w:r>
          </w:p>
        </w:tc>
        <w:tc>
          <w:tcPr>
            <w:tcW w:w="956" w:type="dxa"/>
            <w:vAlign w:val="center"/>
          </w:tcPr>
          <w:p>
            <w:pPr>
              <w:jc w:val="center"/>
              <w:rPr>
                <w:noProof/>
                <w:sz w:val="18"/>
              </w:rPr>
            </w:pPr>
            <w:r>
              <w:rPr>
                <w:noProof/>
                <w:sz w:val="18"/>
              </w:rPr>
              <w:t>fra EFTA-lande</w:t>
            </w:r>
          </w:p>
        </w:tc>
        <w:tc>
          <w:tcPr>
            <w:tcW w:w="1080" w:type="dxa"/>
            <w:vAlign w:val="center"/>
          </w:tcPr>
          <w:p>
            <w:pPr>
              <w:jc w:val="center"/>
              <w:rPr>
                <w:noProof/>
                <w:sz w:val="18"/>
              </w:rPr>
            </w:pPr>
            <w:r>
              <w:rPr>
                <w:noProof/>
                <w:sz w:val="18"/>
              </w:rPr>
              <w:t>fra kandidatlande</w:t>
            </w:r>
          </w:p>
        </w:tc>
        <w:tc>
          <w:tcPr>
            <w:tcW w:w="956" w:type="dxa"/>
            <w:vAlign w:val="center"/>
          </w:tcPr>
          <w:p>
            <w:pPr>
              <w:jc w:val="center"/>
              <w:rPr>
                <w:noProof/>
                <w:sz w:val="18"/>
              </w:rPr>
            </w:pPr>
            <w:r>
              <w:rPr>
                <w:noProof/>
                <w:sz w:val="18"/>
              </w:rPr>
              <w:t>fra tredjelande</w:t>
            </w:r>
          </w:p>
        </w:tc>
        <w:tc>
          <w:tcPr>
            <w:tcW w:w="1448" w:type="dxa"/>
            <w:vAlign w:val="center"/>
          </w:tcPr>
          <w:p>
            <w:pPr>
              <w:jc w:val="center"/>
              <w:rPr>
                <w:noProof/>
              </w:rPr>
            </w:pPr>
            <w:r>
              <w:rPr>
                <w:noProof/>
                <w:sz w:val="16"/>
              </w:rPr>
              <w:t xml:space="preserve">iht. finansforordningens artikel 21, stk. 2, litra b)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[XX.YY.YY.YY]</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rPr>
            </w:pPr>
            <w:r>
              <w:rPr>
                <w:noProof/>
              </w:rPr>
              <w:t>JA/NEJ</w:t>
            </w:r>
          </w:p>
        </w:tc>
        <w:tc>
          <w:tcPr>
            <w:tcW w:w="1080" w:type="dxa"/>
            <w:vAlign w:val="center"/>
          </w:tcPr>
          <w:p>
            <w:pPr>
              <w:jc w:val="center"/>
              <w:rPr>
                <w:noProof/>
                <w:color w:val="0000FF"/>
                <w:sz w:val="18"/>
              </w:rPr>
            </w:pPr>
            <w:r>
              <w:rPr>
                <w:noProof/>
              </w:rPr>
              <w:t>JA/NEJ</w:t>
            </w:r>
          </w:p>
        </w:tc>
        <w:tc>
          <w:tcPr>
            <w:tcW w:w="956" w:type="dxa"/>
            <w:vAlign w:val="center"/>
          </w:tcPr>
          <w:p>
            <w:pPr>
              <w:jc w:val="center"/>
              <w:rPr>
                <w:noProof/>
                <w:color w:val="0000FF"/>
                <w:sz w:val="18"/>
              </w:rPr>
            </w:pPr>
            <w:r>
              <w:rPr>
                <w:noProof/>
              </w:rPr>
              <w:t>JA/NEJ</w:t>
            </w:r>
          </w:p>
        </w:tc>
        <w:tc>
          <w:tcPr>
            <w:tcW w:w="1448" w:type="dxa"/>
            <w:vAlign w:val="center"/>
          </w:tcPr>
          <w:p>
            <w:pPr>
              <w:jc w:val="center"/>
              <w:rPr>
                <w:noProof/>
              </w:rPr>
            </w:pPr>
            <w:r>
              <w:rPr>
                <w:noProof/>
              </w:rPr>
              <w:t>JA/NEJ</w:t>
            </w:r>
          </w:p>
        </w:tc>
      </w:tr>
    </w:tbl>
    <w:p>
      <w:pPr>
        <w:pStyle w:val="Institutionquisigne"/>
        <w:rPr>
          <w:noProof/>
        </w:rPr>
        <w:sectPr>
          <w:pgSz w:w="11907" w:h="16839"/>
          <w:pgMar w:top="1134" w:right="1417" w:bottom="1134" w:left="1417" w:header="709" w:footer="709" w:gutter="0"/>
          <w:cols w:space="708"/>
          <w:docGrid w:linePitch="360"/>
        </w:sectPr>
      </w:pPr>
    </w:p>
    <w:p>
      <w:pPr>
        <w:pStyle w:val="ManualHeading2"/>
        <w:rPr>
          <w:bCs/>
          <w:noProof/>
          <w:szCs w:val="24"/>
        </w:rPr>
      </w:pPr>
      <w:r>
        <w:rPr>
          <w:noProof/>
        </w:rPr>
        <w:t>3.2.</w:t>
      </w:r>
      <w:r>
        <w:rPr>
          <w:noProof/>
        </w:rPr>
        <w:tab/>
        <w:t xml:space="preserve">Anslåede virkninger for udgifterne </w:t>
      </w:r>
    </w:p>
    <w:p>
      <w:pPr>
        <w:rPr>
          <w:noProof/>
        </w:rPr>
      </w:pPr>
      <w:r>
        <w:rPr>
          <w:noProof/>
        </w:rPr>
        <w:t>Den foreslåede ændring indebærer ingen ændringer af de årlige lofter for forpligtelser og betalinger i den flerårige finansielle ramme, jf. forordning (EU) nr. 223/2014. Den årlige fordeling af forpligtelsesbevillinger til FEAD er uændret.</w:t>
      </w:r>
    </w:p>
    <w:p>
      <w:pPr>
        <w:pBdr>
          <w:top w:val="nil"/>
          <w:left w:val="nil"/>
          <w:bottom w:val="nil"/>
          <w:right w:val="nil"/>
          <w:between w:val="nil"/>
          <w:bar w:val="nil"/>
        </w:pBdr>
        <w:spacing w:before="0" w:after="240"/>
        <w:rPr>
          <w:noProof/>
        </w:rPr>
      </w:pPr>
      <w:r>
        <w:rPr>
          <w:noProof/>
        </w:rPr>
        <w:t xml:space="preserve">Forslaget medfører en fremrykning af betalingsbevillinger for det regnskabsår, der begynder den 1. juli 2020 og slutter den 30. juni 2021, jf. følgende overslag. </w:t>
      </w:r>
    </w:p>
    <w:p>
      <w:pPr>
        <w:pStyle w:val="ManualHeading3"/>
        <w:rPr>
          <w:noProof/>
          <w:u w:val="single"/>
        </w:rPr>
      </w:pPr>
      <w:r>
        <w:rPr>
          <w:noProof/>
        </w:rPr>
        <w:t>3.2.1.</w:t>
      </w:r>
      <w:r>
        <w:rPr>
          <w:noProof/>
        </w:rPr>
        <w:tab/>
        <w:t xml:space="preserve">Sammenfatning af de anslåede virkninger for udgifterne </w:t>
      </w:r>
    </w:p>
    <w:p>
      <w:pPr>
        <w:jc w:val="right"/>
        <w:rPr>
          <w:noProof/>
          <w:sz w:val="20"/>
        </w:rPr>
      </w:pPr>
      <w:r>
        <w:rPr>
          <w:noProof/>
          <w:sz w:val="20"/>
        </w:rPr>
        <w:t>Løbende priser i mio. EUR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1"/>
        <w:gridCol w:w="1080"/>
        <w:gridCol w:w="7817"/>
      </w:tblGrid>
      <w:tr>
        <w:trPr>
          <w:jc w:val="center"/>
        </w:trPr>
        <w:tc>
          <w:tcPr>
            <w:tcW w:w="5351" w:type="dxa"/>
            <w:shd w:val="thinDiagStripe" w:color="C0C0C0" w:fill="auto"/>
            <w:vAlign w:val="center"/>
          </w:tcPr>
          <w:p>
            <w:pPr>
              <w:spacing w:before="60" w:after="60"/>
              <w:jc w:val="center"/>
              <w:rPr>
                <w:b/>
                <w:noProof/>
              </w:rPr>
            </w:pPr>
            <w:r>
              <w:rPr>
                <w:b/>
                <w:noProof/>
              </w:rPr>
              <w:t xml:space="preserve">Udgiftsområde i den flerårige finansielle </w:t>
            </w:r>
            <w:r>
              <w:rPr>
                <w:noProof/>
              </w:rPr>
              <w:br/>
            </w:r>
            <w:r>
              <w:rPr>
                <w:b/>
                <w:noProof/>
              </w:rPr>
              <w:t xml:space="preserve">ramme </w:t>
            </w:r>
          </w:p>
        </w:tc>
        <w:tc>
          <w:tcPr>
            <w:tcW w:w="1080" w:type="dxa"/>
            <w:vAlign w:val="center"/>
          </w:tcPr>
          <w:p>
            <w:pPr>
              <w:spacing w:before="60" w:after="60"/>
              <w:jc w:val="center"/>
              <w:rPr>
                <w:noProof/>
              </w:rPr>
            </w:pPr>
            <w:r>
              <w:rPr>
                <w:noProof/>
                <w:sz w:val="22"/>
              </w:rPr>
              <w:t>Nummer</w:t>
            </w:r>
          </w:p>
          <w:p>
            <w:pPr>
              <w:spacing w:before="60" w:after="60"/>
              <w:jc w:val="center"/>
              <w:rPr>
                <w:noProof/>
              </w:rPr>
            </w:pPr>
            <w:r>
              <w:rPr>
                <w:noProof/>
                <w:sz w:val="22"/>
              </w:rPr>
              <w:t>1b</w:t>
            </w:r>
          </w:p>
        </w:tc>
        <w:tc>
          <w:tcPr>
            <w:tcW w:w="7817" w:type="dxa"/>
            <w:vAlign w:val="center"/>
          </w:tcPr>
          <w:p>
            <w:pPr>
              <w:spacing w:before="60" w:after="60"/>
              <w:rPr>
                <w:noProof/>
              </w:rPr>
            </w:pPr>
            <w:r>
              <w:rPr>
                <w:noProof/>
              </w:rPr>
              <w:t>Intelligent og inklusiv vækst</w:t>
            </w:r>
          </w:p>
        </w:tc>
      </w:tr>
    </w:tbl>
    <w:p>
      <w:pPr>
        <w:rPr>
          <w:noProof/>
          <w:sz w:val="16"/>
        </w:rPr>
      </w:pPr>
    </w:p>
    <w:tbl>
      <w:tblPr>
        <w:tblW w:w="14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1756"/>
        <w:gridCol w:w="1362"/>
        <w:gridCol w:w="78"/>
        <w:gridCol w:w="630"/>
        <w:gridCol w:w="426"/>
        <w:gridCol w:w="1275"/>
        <w:gridCol w:w="1278"/>
        <w:gridCol w:w="1277"/>
        <w:gridCol w:w="1276"/>
        <w:gridCol w:w="1276"/>
        <w:gridCol w:w="1560"/>
      </w:tblGrid>
      <w:tr>
        <w:tc>
          <w:tcPr>
            <w:tcW w:w="2200" w:type="dxa"/>
            <w:vAlign w:val="center"/>
          </w:tcPr>
          <w:p>
            <w:pPr>
              <w:jc w:val="center"/>
              <w:rPr>
                <w:noProof/>
              </w:rPr>
            </w:pPr>
            <w:r>
              <w:rPr>
                <w:noProof/>
                <w:sz w:val="22"/>
              </w:rPr>
              <w:t xml:space="preserve">GD: </w:t>
            </w:r>
            <w:r>
              <w:rPr>
                <w:noProof/>
              </w:rPr>
              <w:t>EMPL</w:t>
            </w:r>
          </w:p>
        </w:tc>
        <w:tc>
          <w:tcPr>
            <w:tcW w:w="3118" w:type="dxa"/>
            <w:gridSpan w:val="2"/>
          </w:tcPr>
          <w:p>
            <w:pPr>
              <w:rPr>
                <w:noProof/>
                <w:sz w:val="20"/>
              </w:rPr>
            </w:pPr>
          </w:p>
        </w:tc>
        <w:tc>
          <w:tcPr>
            <w:tcW w:w="708" w:type="dxa"/>
            <w:gridSpan w:val="2"/>
          </w:tcPr>
          <w:p>
            <w:pPr>
              <w:jc w:val="center"/>
              <w:rPr>
                <w:noProof/>
                <w:sz w:val="20"/>
              </w:rPr>
            </w:pPr>
          </w:p>
        </w:tc>
        <w:tc>
          <w:tcPr>
            <w:tcW w:w="426" w:type="dxa"/>
          </w:tcPr>
          <w:p>
            <w:pPr>
              <w:rPr>
                <w:noProof/>
              </w:rPr>
            </w:pPr>
          </w:p>
        </w:tc>
        <w:tc>
          <w:tcPr>
            <w:tcW w:w="1275" w:type="dxa"/>
          </w:tcPr>
          <w:p>
            <w:pPr>
              <w:rPr>
                <w:noProof/>
              </w:rPr>
            </w:pPr>
            <w:r>
              <w:rPr>
                <w:noProof/>
              </w:rPr>
              <w:t>2020</w:t>
            </w:r>
          </w:p>
        </w:tc>
        <w:tc>
          <w:tcPr>
            <w:tcW w:w="1278" w:type="dxa"/>
          </w:tcPr>
          <w:p>
            <w:pPr>
              <w:rPr>
                <w:noProof/>
              </w:rPr>
            </w:pPr>
            <w:r>
              <w:rPr>
                <w:noProof/>
              </w:rPr>
              <w:t>2021</w:t>
            </w:r>
          </w:p>
        </w:tc>
        <w:tc>
          <w:tcPr>
            <w:tcW w:w="1277" w:type="dxa"/>
          </w:tcPr>
          <w:p>
            <w:pPr>
              <w:rPr>
                <w:noProof/>
              </w:rPr>
            </w:pPr>
            <w:r>
              <w:rPr>
                <w:noProof/>
              </w:rPr>
              <w:t>2022</w:t>
            </w:r>
          </w:p>
        </w:tc>
        <w:tc>
          <w:tcPr>
            <w:tcW w:w="1276" w:type="dxa"/>
          </w:tcPr>
          <w:p>
            <w:pPr>
              <w:rPr>
                <w:noProof/>
              </w:rPr>
            </w:pPr>
            <w:r>
              <w:rPr>
                <w:noProof/>
              </w:rPr>
              <w:t>2023</w:t>
            </w:r>
          </w:p>
        </w:tc>
        <w:tc>
          <w:tcPr>
            <w:tcW w:w="1276" w:type="dxa"/>
          </w:tcPr>
          <w:p>
            <w:pPr>
              <w:rPr>
                <w:noProof/>
              </w:rPr>
            </w:pPr>
            <w:r>
              <w:rPr>
                <w:noProof/>
              </w:rPr>
              <w:t>2024</w:t>
            </w:r>
          </w:p>
        </w:tc>
        <w:tc>
          <w:tcPr>
            <w:tcW w:w="1560" w:type="dxa"/>
            <w:vAlign w:val="center"/>
          </w:tcPr>
          <w:p>
            <w:pPr>
              <w:jc w:val="center"/>
              <w:rPr>
                <w:b/>
                <w:noProof/>
                <w:sz w:val="20"/>
              </w:rPr>
            </w:pPr>
            <w:r>
              <w:rPr>
                <w:b/>
                <w:noProof/>
                <w:sz w:val="20"/>
              </w:rPr>
              <w:t>I ALT</w:t>
            </w:r>
          </w:p>
        </w:tc>
      </w:tr>
      <w:tr>
        <w:trPr>
          <w:trHeight w:val="213"/>
        </w:trPr>
        <w:tc>
          <w:tcPr>
            <w:tcW w:w="6026" w:type="dxa"/>
            <w:gridSpan w:val="5"/>
            <w:vAlign w:val="center"/>
          </w:tcPr>
          <w:p>
            <w:pPr>
              <w:spacing w:before="20" w:after="20"/>
              <w:rPr>
                <w:noProof/>
                <w:sz w:val="21"/>
              </w:rPr>
            </w:pPr>
            <w:r>
              <w:rPr>
                <w:noProof/>
                <w:sz w:val="21"/>
              </w:rPr>
              <w:sym w:font="Wingdings" w:char="F09F"/>
            </w:r>
            <w:r>
              <w:rPr>
                <w:noProof/>
                <w:sz w:val="21"/>
              </w:rPr>
              <w:t xml:space="preserve">Aktionsbevillinger </w:t>
            </w:r>
          </w:p>
        </w:tc>
        <w:tc>
          <w:tcPr>
            <w:tcW w:w="426" w:type="dxa"/>
            <w:vAlign w:val="center"/>
          </w:tcPr>
          <w:p>
            <w:pPr>
              <w:rPr>
                <w:noProof/>
                <w:sz w:val="20"/>
              </w:rPr>
            </w:pPr>
          </w:p>
        </w:tc>
        <w:tc>
          <w:tcPr>
            <w:tcW w:w="1275" w:type="dxa"/>
            <w:vAlign w:val="center"/>
          </w:tcPr>
          <w:p>
            <w:pPr>
              <w:rPr>
                <w:noProof/>
                <w:sz w:val="20"/>
              </w:rPr>
            </w:pPr>
          </w:p>
        </w:tc>
        <w:tc>
          <w:tcPr>
            <w:tcW w:w="1278" w:type="dxa"/>
            <w:vAlign w:val="center"/>
          </w:tcPr>
          <w:p>
            <w:pPr>
              <w:rPr>
                <w:noProof/>
                <w:sz w:val="20"/>
              </w:rPr>
            </w:pPr>
          </w:p>
        </w:tc>
        <w:tc>
          <w:tcPr>
            <w:tcW w:w="1277" w:type="dxa"/>
            <w:vAlign w:val="center"/>
          </w:tcPr>
          <w:p>
            <w:pPr>
              <w:rPr>
                <w:noProof/>
                <w:sz w:val="20"/>
              </w:rPr>
            </w:pPr>
          </w:p>
        </w:tc>
        <w:tc>
          <w:tcPr>
            <w:tcW w:w="1276" w:type="dxa"/>
            <w:vAlign w:val="center"/>
          </w:tcPr>
          <w:p>
            <w:pPr>
              <w:rPr>
                <w:noProof/>
                <w:sz w:val="20"/>
              </w:rPr>
            </w:pPr>
          </w:p>
        </w:tc>
        <w:tc>
          <w:tcPr>
            <w:tcW w:w="1276" w:type="dxa"/>
            <w:vAlign w:val="center"/>
          </w:tcPr>
          <w:p>
            <w:pPr>
              <w:rPr>
                <w:b/>
                <w:noProof/>
                <w:sz w:val="20"/>
              </w:rPr>
            </w:pPr>
          </w:p>
        </w:tc>
        <w:tc>
          <w:tcPr>
            <w:tcW w:w="1560" w:type="dxa"/>
            <w:vAlign w:val="center"/>
          </w:tcPr>
          <w:p>
            <w:pPr>
              <w:rPr>
                <w:b/>
                <w:noProof/>
                <w:sz w:val="20"/>
              </w:rPr>
            </w:pPr>
          </w:p>
        </w:tc>
      </w:tr>
      <w:tr>
        <w:trPr>
          <w:trHeight w:val="277"/>
        </w:trPr>
        <w:tc>
          <w:tcPr>
            <w:tcW w:w="2200" w:type="dxa"/>
            <w:vAlign w:val="center"/>
          </w:tcPr>
          <w:p>
            <w:pPr>
              <w:spacing w:before="60"/>
              <w:rPr>
                <w:noProof/>
                <w:sz w:val="18"/>
                <w:szCs w:val="18"/>
              </w:rPr>
            </w:pPr>
            <w:r>
              <w:rPr>
                <w:noProof/>
                <w:sz w:val="18"/>
                <w:szCs w:val="18"/>
              </w:rPr>
              <w:t>1b: Økonomisk, social og territorial samhørighed</w:t>
            </w:r>
          </w:p>
          <w:p>
            <w:pPr>
              <w:spacing w:before="60"/>
              <w:rPr>
                <w:noProof/>
              </w:rPr>
            </w:pPr>
            <w:r>
              <w:rPr>
                <w:noProof/>
                <w:sz w:val="18"/>
                <w:szCs w:val="18"/>
              </w:rPr>
              <w:t>Den Europæiske Fond for Bistand til de Socialt Dårligst Stillede</w:t>
            </w:r>
            <w:r>
              <w:rPr>
                <w:noProof/>
                <w:sz w:val="21"/>
              </w:rPr>
              <w:t xml:space="preserve"> </w:t>
            </w:r>
          </w:p>
        </w:tc>
        <w:tc>
          <w:tcPr>
            <w:tcW w:w="3118" w:type="dxa"/>
            <w:gridSpan w:val="2"/>
            <w:vAlign w:val="center"/>
          </w:tcPr>
          <w:p>
            <w:pPr>
              <w:spacing w:before="20" w:after="20"/>
              <w:rPr>
                <w:b/>
                <w:noProof/>
                <w:sz w:val="18"/>
                <w:szCs w:val="18"/>
              </w:rPr>
            </w:pPr>
            <w:r>
              <w:rPr>
                <w:b/>
                <w:noProof/>
                <w:sz w:val="18"/>
                <w:szCs w:val="18"/>
              </w:rPr>
              <w:t xml:space="preserve">Forpligtelser </w:t>
            </w:r>
          </w:p>
          <w:p>
            <w:pPr>
              <w:spacing w:after="60"/>
              <w:rPr>
                <w:noProof/>
                <w:sz w:val="18"/>
                <w:szCs w:val="18"/>
              </w:rPr>
            </w:pPr>
            <w:r>
              <w:rPr>
                <w:noProof/>
                <w:sz w:val="18"/>
                <w:szCs w:val="18"/>
              </w:rPr>
              <w:t>04 06 01 - Fremme af social samhørighed og afhjælpning af de værste former for fattigdom i Unionen</w:t>
            </w:r>
          </w:p>
        </w:tc>
        <w:tc>
          <w:tcPr>
            <w:tcW w:w="708" w:type="dxa"/>
            <w:gridSpan w:val="2"/>
            <w:vAlign w:val="center"/>
          </w:tcPr>
          <w:p>
            <w:pPr>
              <w:spacing w:before="20" w:after="20"/>
              <w:jc w:val="center"/>
              <w:rPr>
                <w:noProof/>
                <w:sz w:val="14"/>
              </w:rPr>
            </w:pPr>
            <w:r>
              <w:rPr>
                <w:noProof/>
                <w:sz w:val="14"/>
              </w:rPr>
              <w:t>(1)</w:t>
            </w:r>
          </w:p>
        </w:tc>
        <w:tc>
          <w:tcPr>
            <w:tcW w:w="426" w:type="dxa"/>
            <w:vAlign w:val="center"/>
          </w:tcPr>
          <w:p>
            <w:pPr>
              <w:spacing w:before="20" w:after="20"/>
              <w:jc w:val="right"/>
              <w:rPr>
                <w:noProof/>
                <w:sz w:val="20"/>
              </w:rPr>
            </w:pPr>
          </w:p>
          <w:p>
            <w:pPr>
              <w:spacing w:before="20" w:after="20"/>
              <w:jc w:val="right"/>
              <w:rPr>
                <w:noProof/>
                <w:sz w:val="20"/>
              </w:rPr>
            </w:pPr>
          </w:p>
        </w:tc>
        <w:tc>
          <w:tcPr>
            <w:tcW w:w="1275" w:type="dxa"/>
            <w:vAlign w:val="center"/>
          </w:tcPr>
          <w:p>
            <w:pPr>
              <w:spacing w:before="20" w:after="20"/>
              <w:jc w:val="right"/>
              <w:rPr>
                <w:noProof/>
                <w:sz w:val="20"/>
              </w:rPr>
            </w:pPr>
          </w:p>
        </w:tc>
        <w:tc>
          <w:tcPr>
            <w:tcW w:w="1278" w:type="dxa"/>
            <w:vAlign w:val="center"/>
          </w:tcPr>
          <w:p>
            <w:pPr>
              <w:spacing w:before="20" w:after="20"/>
              <w:rPr>
                <w:noProof/>
                <w:sz w:val="20"/>
              </w:rPr>
            </w:pPr>
          </w:p>
        </w:tc>
        <w:tc>
          <w:tcPr>
            <w:tcW w:w="1277" w:type="dxa"/>
            <w:vAlign w:val="center"/>
          </w:tcPr>
          <w:p>
            <w:pPr>
              <w:spacing w:before="20" w:after="20"/>
              <w:jc w:val="right"/>
              <w:rPr>
                <w:noProof/>
                <w:sz w:val="20"/>
              </w:rPr>
            </w:pPr>
          </w:p>
        </w:tc>
        <w:tc>
          <w:tcPr>
            <w:tcW w:w="1276" w:type="dxa"/>
            <w:vAlign w:val="center"/>
          </w:tcPr>
          <w:p>
            <w:pPr>
              <w:spacing w:before="20" w:after="20"/>
              <w:rPr>
                <w:noProof/>
                <w:sz w:val="20"/>
              </w:rPr>
            </w:pPr>
          </w:p>
        </w:tc>
        <w:tc>
          <w:tcPr>
            <w:tcW w:w="1276" w:type="dxa"/>
            <w:vAlign w:val="center"/>
          </w:tcPr>
          <w:p>
            <w:pPr>
              <w:spacing w:before="20" w:after="20"/>
              <w:rPr>
                <w:b/>
                <w:noProof/>
                <w:sz w:val="20"/>
              </w:rPr>
            </w:pPr>
          </w:p>
        </w:tc>
        <w:tc>
          <w:tcPr>
            <w:tcW w:w="1560" w:type="dxa"/>
            <w:vAlign w:val="center"/>
          </w:tcPr>
          <w:p>
            <w:pPr>
              <w:spacing w:before="20" w:after="20"/>
              <w:rPr>
                <w:b/>
                <w:noProof/>
                <w:sz w:val="20"/>
              </w:rPr>
            </w:pPr>
          </w:p>
        </w:tc>
      </w:tr>
      <w:tr>
        <w:trPr>
          <w:trHeight w:val="85"/>
        </w:trPr>
        <w:tc>
          <w:tcPr>
            <w:tcW w:w="2200" w:type="dxa"/>
          </w:tcPr>
          <w:p>
            <w:pPr>
              <w:jc w:val="center"/>
              <w:rPr>
                <w:noProof/>
                <w:sz w:val="20"/>
              </w:rPr>
            </w:pPr>
            <w:r>
              <w:rPr>
                <w:noProof/>
              </w:rPr>
              <w:br w:type="page"/>
            </w:r>
          </w:p>
        </w:tc>
        <w:tc>
          <w:tcPr>
            <w:tcW w:w="3118" w:type="dxa"/>
            <w:gridSpan w:val="2"/>
            <w:vAlign w:val="center"/>
          </w:tcPr>
          <w:p>
            <w:pPr>
              <w:spacing w:before="20" w:after="20"/>
              <w:rPr>
                <w:b/>
                <w:noProof/>
                <w:sz w:val="18"/>
                <w:szCs w:val="18"/>
              </w:rPr>
            </w:pPr>
            <w:r>
              <w:rPr>
                <w:b/>
                <w:noProof/>
                <w:sz w:val="18"/>
                <w:szCs w:val="18"/>
              </w:rPr>
              <w:t xml:space="preserve">Betalinger </w:t>
            </w:r>
          </w:p>
          <w:p>
            <w:pPr>
              <w:spacing w:after="60"/>
              <w:rPr>
                <w:noProof/>
                <w:sz w:val="18"/>
                <w:szCs w:val="18"/>
              </w:rPr>
            </w:pPr>
            <w:r>
              <w:rPr>
                <w:noProof/>
                <w:sz w:val="18"/>
                <w:szCs w:val="18"/>
              </w:rPr>
              <w:t>04 06 01 - Fremme af social samhørighed og afhjælpning af de værste former for fattigdom i Unionen</w:t>
            </w:r>
          </w:p>
        </w:tc>
        <w:tc>
          <w:tcPr>
            <w:tcW w:w="708" w:type="dxa"/>
            <w:gridSpan w:val="2"/>
            <w:vAlign w:val="center"/>
          </w:tcPr>
          <w:p>
            <w:pPr>
              <w:spacing w:before="20" w:after="20"/>
              <w:jc w:val="center"/>
              <w:rPr>
                <w:noProof/>
                <w:sz w:val="14"/>
              </w:rPr>
            </w:pPr>
            <w:r>
              <w:rPr>
                <w:noProof/>
                <w:sz w:val="14"/>
              </w:rPr>
              <w:t>(2)</w:t>
            </w:r>
          </w:p>
        </w:tc>
        <w:tc>
          <w:tcPr>
            <w:tcW w:w="426" w:type="dxa"/>
            <w:vAlign w:val="center"/>
          </w:tcPr>
          <w:p>
            <w:pPr>
              <w:spacing w:before="20" w:after="20"/>
              <w:rPr>
                <w:noProof/>
                <w:sz w:val="20"/>
              </w:rPr>
            </w:pPr>
          </w:p>
        </w:tc>
        <w:tc>
          <w:tcPr>
            <w:tcW w:w="1275" w:type="dxa"/>
            <w:vAlign w:val="center"/>
          </w:tcPr>
          <w:p>
            <w:pPr>
              <w:spacing w:before="20" w:after="20"/>
              <w:jc w:val="right"/>
              <w:rPr>
                <w:noProof/>
                <w:sz w:val="20"/>
                <w:szCs w:val="20"/>
              </w:rPr>
            </w:pPr>
            <w:r>
              <w:rPr>
                <w:noProof/>
                <w:sz w:val="20"/>
                <w:szCs w:val="20"/>
              </w:rPr>
              <w:t>41 920</w:t>
            </w:r>
          </w:p>
        </w:tc>
        <w:tc>
          <w:tcPr>
            <w:tcW w:w="1278" w:type="dxa"/>
            <w:vAlign w:val="center"/>
          </w:tcPr>
          <w:p>
            <w:pPr>
              <w:spacing w:before="20" w:after="20"/>
              <w:jc w:val="right"/>
              <w:rPr>
                <w:noProof/>
                <w:sz w:val="20"/>
                <w:szCs w:val="20"/>
              </w:rPr>
            </w:pPr>
            <w:r>
              <w:rPr>
                <w:noProof/>
                <w:sz w:val="20"/>
                <w:szCs w:val="20"/>
              </w:rPr>
              <w:t>25 200</w:t>
            </w:r>
          </w:p>
        </w:tc>
        <w:tc>
          <w:tcPr>
            <w:tcW w:w="1277" w:type="dxa"/>
            <w:vAlign w:val="center"/>
          </w:tcPr>
          <w:p>
            <w:pPr>
              <w:spacing w:before="20" w:after="20"/>
              <w:jc w:val="right"/>
              <w:rPr>
                <w:noProof/>
                <w:sz w:val="20"/>
                <w:szCs w:val="20"/>
              </w:rPr>
            </w:pPr>
            <w:r>
              <w:rPr>
                <w:noProof/>
                <w:sz w:val="20"/>
                <w:szCs w:val="20"/>
              </w:rPr>
              <w:t>0 000</w:t>
            </w:r>
          </w:p>
        </w:tc>
        <w:tc>
          <w:tcPr>
            <w:tcW w:w="1276" w:type="dxa"/>
            <w:vAlign w:val="center"/>
          </w:tcPr>
          <w:p>
            <w:pPr>
              <w:spacing w:before="20" w:after="20"/>
              <w:jc w:val="right"/>
              <w:rPr>
                <w:noProof/>
                <w:sz w:val="20"/>
                <w:szCs w:val="20"/>
              </w:rPr>
            </w:pPr>
            <w:r>
              <w:rPr>
                <w:noProof/>
                <w:sz w:val="20"/>
                <w:szCs w:val="20"/>
              </w:rPr>
              <w:t>-33 560</w:t>
            </w:r>
          </w:p>
        </w:tc>
        <w:tc>
          <w:tcPr>
            <w:tcW w:w="1276" w:type="dxa"/>
            <w:vAlign w:val="center"/>
          </w:tcPr>
          <w:p>
            <w:pPr>
              <w:spacing w:before="20" w:after="20"/>
              <w:jc w:val="right"/>
              <w:rPr>
                <w:noProof/>
                <w:sz w:val="20"/>
                <w:szCs w:val="20"/>
              </w:rPr>
            </w:pPr>
            <w:r>
              <w:rPr>
                <w:noProof/>
                <w:sz w:val="20"/>
                <w:szCs w:val="20"/>
              </w:rPr>
              <w:t>-33 560</w:t>
            </w:r>
          </w:p>
        </w:tc>
        <w:tc>
          <w:tcPr>
            <w:tcW w:w="1560" w:type="dxa"/>
            <w:vAlign w:val="center"/>
          </w:tcPr>
          <w:p>
            <w:pPr>
              <w:spacing w:before="20" w:after="20"/>
              <w:jc w:val="right"/>
              <w:rPr>
                <w:b/>
                <w:noProof/>
                <w:sz w:val="20"/>
              </w:rPr>
            </w:pPr>
            <w:r>
              <w:rPr>
                <w:b/>
                <w:noProof/>
                <w:sz w:val="20"/>
              </w:rPr>
              <w:t>0,00</w:t>
            </w:r>
          </w:p>
        </w:tc>
      </w:tr>
      <w:tr>
        <w:trPr>
          <w:trHeight w:val="231"/>
        </w:trPr>
        <w:tc>
          <w:tcPr>
            <w:tcW w:w="6026" w:type="dxa"/>
            <w:gridSpan w:val="5"/>
            <w:vAlign w:val="center"/>
          </w:tcPr>
          <w:p>
            <w:pPr>
              <w:spacing w:before="20" w:after="20"/>
              <w:rPr>
                <w:noProof/>
              </w:rPr>
            </w:pPr>
            <w:r>
              <w:rPr>
                <w:noProof/>
                <w:sz w:val="21"/>
              </w:rPr>
              <w:t>Administrationsbevillinger finansieret</w:t>
            </w:r>
            <w:r>
              <w:rPr>
                <w:noProof/>
                <w:sz w:val="21"/>
              </w:rPr>
              <w:tab/>
            </w:r>
            <w:r>
              <w:rPr>
                <w:noProof/>
                <w:sz w:val="21"/>
              </w:rPr>
              <w:br/>
              <w:t>over bevillingsrammen for særprogrammer</w:t>
            </w:r>
            <w:r>
              <w:rPr>
                <w:rStyle w:val="FootnoteReference"/>
                <w:noProof/>
                <w:sz w:val="21"/>
              </w:rPr>
              <w:footnoteReference w:id="10"/>
            </w:r>
            <w:r>
              <w:rPr>
                <w:noProof/>
                <w:sz w:val="21"/>
              </w:rPr>
              <w:t xml:space="preserve"> </w:t>
            </w:r>
          </w:p>
          <w:p>
            <w:pPr>
              <w:spacing w:before="0" w:after="0"/>
              <w:rPr>
                <w:noProof/>
              </w:rPr>
            </w:pPr>
          </w:p>
        </w:tc>
        <w:tc>
          <w:tcPr>
            <w:tcW w:w="426" w:type="dxa"/>
            <w:vAlign w:val="center"/>
          </w:tcPr>
          <w:p>
            <w:pPr>
              <w:rPr>
                <w:b/>
                <w:noProof/>
                <w:sz w:val="20"/>
              </w:rPr>
            </w:pPr>
          </w:p>
        </w:tc>
        <w:tc>
          <w:tcPr>
            <w:tcW w:w="1275" w:type="dxa"/>
            <w:vAlign w:val="center"/>
          </w:tcPr>
          <w:p>
            <w:pPr>
              <w:rPr>
                <w:b/>
                <w:noProof/>
                <w:sz w:val="20"/>
              </w:rPr>
            </w:pPr>
          </w:p>
        </w:tc>
        <w:tc>
          <w:tcPr>
            <w:tcW w:w="1278" w:type="dxa"/>
            <w:vAlign w:val="center"/>
          </w:tcPr>
          <w:p>
            <w:pPr>
              <w:rPr>
                <w:b/>
                <w:noProof/>
                <w:sz w:val="20"/>
              </w:rPr>
            </w:pPr>
          </w:p>
        </w:tc>
        <w:tc>
          <w:tcPr>
            <w:tcW w:w="1277" w:type="dxa"/>
            <w:vAlign w:val="center"/>
          </w:tcPr>
          <w:p>
            <w:pPr>
              <w:rPr>
                <w:b/>
                <w:noProof/>
                <w:sz w:val="20"/>
              </w:rPr>
            </w:pPr>
          </w:p>
        </w:tc>
        <w:tc>
          <w:tcPr>
            <w:tcW w:w="1276" w:type="dxa"/>
            <w:vAlign w:val="center"/>
          </w:tcPr>
          <w:p>
            <w:pPr>
              <w:rPr>
                <w:b/>
                <w:noProof/>
                <w:sz w:val="20"/>
              </w:rPr>
            </w:pPr>
          </w:p>
        </w:tc>
        <w:tc>
          <w:tcPr>
            <w:tcW w:w="1276" w:type="dxa"/>
            <w:vAlign w:val="center"/>
          </w:tcPr>
          <w:p>
            <w:pPr>
              <w:rPr>
                <w:b/>
                <w:noProof/>
                <w:sz w:val="20"/>
              </w:rPr>
            </w:pPr>
          </w:p>
        </w:tc>
        <w:tc>
          <w:tcPr>
            <w:tcW w:w="1560" w:type="dxa"/>
            <w:vAlign w:val="center"/>
          </w:tcPr>
          <w:p>
            <w:pPr>
              <w:rPr>
                <w:b/>
                <w:noProof/>
                <w:sz w:val="20"/>
              </w:rPr>
            </w:pPr>
          </w:p>
        </w:tc>
      </w:tr>
      <w:tr>
        <w:trPr>
          <w:trHeight w:val="319"/>
        </w:trPr>
        <w:tc>
          <w:tcPr>
            <w:tcW w:w="2200" w:type="dxa"/>
            <w:vAlign w:val="center"/>
          </w:tcPr>
          <w:p>
            <w:pPr>
              <w:spacing w:before="60" w:after="60"/>
              <w:rPr>
                <w:noProof/>
              </w:rPr>
            </w:pPr>
            <w:r>
              <w:rPr>
                <w:noProof/>
                <w:sz w:val="20"/>
              </w:rPr>
              <w:t>Ikke relevant.</w:t>
            </w:r>
          </w:p>
        </w:tc>
        <w:tc>
          <w:tcPr>
            <w:tcW w:w="3196" w:type="dxa"/>
            <w:gridSpan w:val="3"/>
            <w:vAlign w:val="center"/>
          </w:tcPr>
          <w:p>
            <w:pPr>
              <w:spacing w:before="40" w:after="40"/>
              <w:jc w:val="right"/>
              <w:rPr>
                <w:noProof/>
                <w:sz w:val="18"/>
              </w:rPr>
            </w:pPr>
          </w:p>
        </w:tc>
        <w:tc>
          <w:tcPr>
            <w:tcW w:w="630" w:type="dxa"/>
            <w:vAlign w:val="center"/>
          </w:tcPr>
          <w:p>
            <w:pPr>
              <w:spacing w:before="40" w:after="40"/>
              <w:jc w:val="center"/>
              <w:rPr>
                <w:noProof/>
                <w:sz w:val="14"/>
              </w:rPr>
            </w:pPr>
            <w:r>
              <w:rPr>
                <w:noProof/>
                <w:sz w:val="14"/>
              </w:rPr>
              <w:t>(3)</w:t>
            </w:r>
          </w:p>
        </w:tc>
        <w:tc>
          <w:tcPr>
            <w:tcW w:w="426" w:type="dxa"/>
            <w:vAlign w:val="center"/>
          </w:tcPr>
          <w:p>
            <w:pPr>
              <w:spacing w:before="40" w:after="40"/>
              <w:jc w:val="right"/>
              <w:rPr>
                <w:b/>
                <w:noProof/>
                <w:sz w:val="20"/>
              </w:rPr>
            </w:pPr>
          </w:p>
        </w:tc>
        <w:tc>
          <w:tcPr>
            <w:tcW w:w="1275" w:type="dxa"/>
            <w:vAlign w:val="center"/>
          </w:tcPr>
          <w:p>
            <w:pPr>
              <w:spacing w:before="40" w:after="40"/>
              <w:jc w:val="right"/>
              <w:rPr>
                <w:b/>
                <w:noProof/>
                <w:sz w:val="20"/>
              </w:rPr>
            </w:pPr>
          </w:p>
        </w:tc>
        <w:tc>
          <w:tcPr>
            <w:tcW w:w="1278" w:type="dxa"/>
            <w:vAlign w:val="center"/>
          </w:tcPr>
          <w:p>
            <w:pPr>
              <w:spacing w:before="40" w:after="40"/>
              <w:jc w:val="right"/>
              <w:rPr>
                <w:b/>
                <w:noProof/>
                <w:sz w:val="20"/>
              </w:rPr>
            </w:pPr>
          </w:p>
        </w:tc>
        <w:tc>
          <w:tcPr>
            <w:tcW w:w="1277"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560" w:type="dxa"/>
            <w:vAlign w:val="center"/>
          </w:tcPr>
          <w:p>
            <w:pPr>
              <w:spacing w:before="40" w:after="40"/>
              <w:jc w:val="right"/>
              <w:rPr>
                <w:b/>
                <w:noProof/>
                <w:sz w:val="20"/>
              </w:rPr>
            </w:pPr>
          </w:p>
        </w:tc>
      </w:tr>
      <w:tr>
        <w:tc>
          <w:tcPr>
            <w:tcW w:w="2200" w:type="dxa"/>
            <w:vMerge w:val="restart"/>
            <w:vAlign w:val="center"/>
          </w:tcPr>
          <w:p>
            <w:pPr>
              <w:jc w:val="center"/>
              <w:rPr>
                <w:b/>
                <w:noProof/>
              </w:rPr>
            </w:pPr>
            <w:r>
              <w:rPr>
                <w:b/>
                <w:noProof/>
                <w:sz w:val="22"/>
              </w:rPr>
              <w:t>Bevillinger I ALT</w:t>
            </w:r>
            <w:r>
              <w:rPr>
                <w:noProof/>
              </w:rPr>
              <w:br/>
            </w:r>
            <w:r>
              <w:rPr>
                <w:b/>
                <w:noProof/>
                <w:sz w:val="22"/>
              </w:rPr>
              <w:t xml:space="preserve">til GD </w:t>
            </w:r>
            <w:r>
              <w:rPr>
                <w:b/>
                <w:noProof/>
              </w:rPr>
              <w:t>EMPL</w:t>
            </w:r>
          </w:p>
        </w:tc>
        <w:tc>
          <w:tcPr>
            <w:tcW w:w="3196" w:type="dxa"/>
            <w:gridSpan w:val="3"/>
            <w:vAlign w:val="center"/>
          </w:tcPr>
          <w:p>
            <w:pPr>
              <w:rPr>
                <w:noProof/>
                <w:sz w:val="18"/>
              </w:rPr>
            </w:pPr>
            <w:r>
              <w:rPr>
                <w:noProof/>
                <w:sz w:val="18"/>
              </w:rPr>
              <w:t>Forpligtelser</w:t>
            </w:r>
          </w:p>
        </w:tc>
        <w:tc>
          <w:tcPr>
            <w:tcW w:w="630" w:type="dxa"/>
            <w:vAlign w:val="center"/>
          </w:tcPr>
          <w:p>
            <w:pPr>
              <w:jc w:val="center"/>
              <w:rPr>
                <w:noProof/>
                <w:sz w:val="14"/>
              </w:rPr>
            </w:pPr>
            <w:r>
              <w:rPr>
                <w:noProof/>
                <w:sz w:val="14"/>
              </w:rPr>
              <w:t>= 1 + 1a + 3</w:t>
            </w:r>
          </w:p>
        </w:tc>
        <w:tc>
          <w:tcPr>
            <w:tcW w:w="426" w:type="dxa"/>
            <w:vAlign w:val="center"/>
          </w:tcPr>
          <w:p>
            <w:pPr>
              <w:spacing w:before="20" w:after="20"/>
              <w:jc w:val="right"/>
              <w:rPr>
                <w:noProof/>
                <w:sz w:val="20"/>
              </w:rPr>
            </w:pPr>
          </w:p>
        </w:tc>
        <w:tc>
          <w:tcPr>
            <w:tcW w:w="1275" w:type="dxa"/>
            <w:vAlign w:val="center"/>
          </w:tcPr>
          <w:p>
            <w:pPr>
              <w:spacing w:before="20" w:after="20"/>
              <w:jc w:val="right"/>
              <w:rPr>
                <w:noProof/>
                <w:sz w:val="20"/>
              </w:rPr>
            </w:pPr>
          </w:p>
        </w:tc>
        <w:tc>
          <w:tcPr>
            <w:tcW w:w="1278" w:type="dxa"/>
            <w:vAlign w:val="center"/>
          </w:tcPr>
          <w:p>
            <w:pPr>
              <w:spacing w:before="20" w:after="20"/>
              <w:jc w:val="right"/>
              <w:rPr>
                <w:noProof/>
                <w:sz w:val="20"/>
              </w:rPr>
            </w:pPr>
          </w:p>
        </w:tc>
        <w:tc>
          <w:tcPr>
            <w:tcW w:w="1277" w:type="dxa"/>
            <w:vAlign w:val="center"/>
          </w:tcPr>
          <w:p>
            <w:pPr>
              <w:spacing w:before="20" w:after="20"/>
              <w:jc w:val="right"/>
              <w:rPr>
                <w:noProof/>
                <w:sz w:val="20"/>
              </w:rPr>
            </w:pPr>
          </w:p>
        </w:tc>
        <w:tc>
          <w:tcPr>
            <w:tcW w:w="1276" w:type="dxa"/>
          </w:tcPr>
          <w:p>
            <w:pPr>
              <w:spacing w:before="20" w:after="20"/>
              <w:jc w:val="right"/>
              <w:rPr>
                <w:noProof/>
                <w:sz w:val="20"/>
              </w:rPr>
            </w:pPr>
          </w:p>
        </w:tc>
        <w:tc>
          <w:tcPr>
            <w:tcW w:w="1276" w:type="dxa"/>
          </w:tcPr>
          <w:p>
            <w:pPr>
              <w:spacing w:before="20" w:after="20"/>
              <w:jc w:val="right"/>
              <w:rPr>
                <w:b/>
                <w:noProof/>
                <w:sz w:val="20"/>
              </w:rPr>
            </w:pPr>
          </w:p>
        </w:tc>
        <w:tc>
          <w:tcPr>
            <w:tcW w:w="1560" w:type="dxa"/>
          </w:tcPr>
          <w:p>
            <w:pPr>
              <w:spacing w:before="20" w:after="20"/>
              <w:jc w:val="right"/>
              <w:rPr>
                <w:b/>
                <w:noProof/>
                <w:sz w:val="20"/>
              </w:rPr>
            </w:pPr>
          </w:p>
        </w:tc>
      </w:tr>
      <w:tr>
        <w:tc>
          <w:tcPr>
            <w:tcW w:w="2200" w:type="dxa"/>
            <w:vMerge/>
          </w:tcPr>
          <w:p>
            <w:pPr>
              <w:rPr>
                <w:noProof/>
                <w:sz w:val="20"/>
              </w:rPr>
            </w:pPr>
          </w:p>
        </w:tc>
        <w:tc>
          <w:tcPr>
            <w:tcW w:w="3196" w:type="dxa"/>
            <w:gridSpan w:val="3"/>
            <w:vAlign w:val="center"/>
          </w:tcPr>
          <w:p>
            <w:pPr>
              <w:rPr>
                <w:noProof/>
                <w:sz w:val="18"/>
              </w:rPr>
            </w:pPr>
            <w:r>
              <w:rPr>
                <w:noProof/>
                <w:sz w:val="18"/>
              </w:rPr>
              <w:t>Betalinger</w:t>
            </w:r>
          </w:p>
        </w:tc>
        <w:tc>
          <w:tcPr>
            <w:tcW w:w="630" w:type="dxa"/>
            <w:vAlign w:val="center"/>
          </w:tcPr>
          <w:p>
            <w:pPr>
              <w:jc w:val="center"/>
              <w:rPr>
                <w:noProof/>
                <w:sz w:val="14"/>
              </w:rPr>
            </w:pPr>
            <w:r>
              <w:rPr>
                <w:noProof/>
                <w:sz w:val="14"/>
              </w:rPr>
              <w:t>= 2 + 2a</w:t>
            </w:r>
          </w:p>
          <w:p>
            <w:pPr>
              <w:jc w:val="center"/>
              <w:rPr>
                <w:noProof/>
                <w:sz w:val="14"/>
              </w:rPr>
            </w:pPr>
            <w:r>
              <w:rPr>
                <w:noProof/>
                <w:sz w:val="14"/>
              </w:rPr>
              <w:t>+3</w:t>
            </w:r>
          </w:p>
        </w:tc>
        <w:tc>
          <w:tcPr>
            <w:tcW w:w="426" w:type="dxa"/>
            <w:vAlign w:val="center"/>
          </w:tcPr>
          <w:p>
            <w:pPr>
              <w:spacing w:before="20" w:after="20"/>
              <w:jc w:val="right"/>
              <w:rPr>
                <w:noProof/>
                <w:sz w:val="20"/>
              </w:rPr>
            </w:pPr>
          </w:p>
        </w:tc>
        <w:tc>
          <w:tcPr>
            <w:tcW w:w="1275" w:type="dxa"/>
            <w:vAlign w:val="center"/>
          </w:tcPr>
          <w:p>
            <w:pPr>
              <w:spacing w:before="20" w:after="20"/>
              <w:jc w:val="right"/>
              <w:rPr>
                <w:noProof/>
                <w:sz w:val="20"/>
              </w:rPr>
            </w:pPr>
            <w:r>
              <w:rPr>
                <w:noProof/>
                <w:sz w:val="20"/>
                <w:szCs w:val="20"/>
              </w:rPr>
              <w:t>41 920</w:t>
            </w:r>
          </w:p>
        </w:tc>
        <w:tc>
          <w:tcPr>
            <w:tcW w:w="1278" w:type="dxa"/>
            <w:vAlign w:val="center"/>
          </w:tcPr>
          <w:p>
            <w:pPr>
              <w:spacing w:before="20" w:after="20"/>
              <w:jc w:val="right"/>
              <w:rPr>
                <w:noProof/>
                <w:sz w:val="20"/>
              </w:rPr>
            </w:pPr>
            <w:r>
              <w:rPr>
                <w:noProof/>
                <w:sz w:val="20"/>
                <w:szCs w:val="20"/>
              </w:rPr>
              <w:t>25 200</w:t>
            </w:r>
          </w:p>
        </w:tc>
        <w:tc>
          <w:tcPr>
            <w:tcW w:w="1277" w:type="dxa"/>
            <w:vAlign w:val="center"/>
          </w:tcPr>
          <w:p>
            <w:pPr>
              <w:spacing w:before="20" w:after="20"/>
              <w:jc w:val="right"/>
              <w:rPr>
                <w:noProof/>
                <w:sz w:val="20"/>
              </w:rPr>
            </w:pPr>
            <w:r>
              <w:rPr>
                <w:noProof/>
                <w:sz w:val="20"/>
                <w:szCs w:val="20"/>
              </w:rPr>
              <w:t>0 000</w:t>
            </w:r>
          </w:p>
        </w:tc>
        <w:tc>
          <w:tcPr>
            <w:tcW w:w="1276" w:type="dxa"/>
            <w:vAlign w:val="center"/>
          </w:tcPr>
          <w:p>
            <w:pPr>
              <w:spacing w:before="20" w:after="20"/>
              <w:jc w:val="right"/>
              <w:rPr>
                <w:noProof/>
                <w:sz w:val="20"/>
              </w:rPr>
            </w:pPr>
            <w:r>
              <w:rPr>
                <w:noProof/>
                <w:sz w:val="20"/>
                <w:szCs w:val="20"/>
              </w:rPr>
              <w:t>-33 560</w:t>
            </w:r>
          </w:p>
        </w:tc>
        <w:tc>
          <w:tcPr>
            <w:tcW w:w="1276" w:type="dxa"/>
            <w:vAlign w:val="center"/>
          </w:tcPr>
          <w:p>
            <w:pPr>
              <w:spacing w:before="20" w:after="20"/>
              <w:jc w:val="right"/>
              <w:rPr>
                <w:noProof/>
                <w:sz w:val="20"/>
                <w:highlight w:val="yellow"/>
              </w:rPr>
            </w:pPr>
            <w:r>
              <w:rPr>
                <w:noProof/>
                <w:sz w:val="20"/>
                <w:szCs w:val="20"/>
              </w:rPr>
              <w:t>-33 560</w:t>
            </w:r>
          </w:p>
        </w:tc>
        <w:tc>
          <w:tcPr>
            <w:tcW w:w="1560" w:type="dxa"/>
            <w:vAlign w:val="center"/>
          </w:tcPr>
          <w:p>
            <w:pPr>
              <w:spacing w:before="20" w:after="20"/>
              <w:jc w:val="right"/>
              <w:rPr>
                <w:noProof/>
                <w:sz w:val="20"/>
                <w:highlight w:val="yellow"/>
              </w:rPr>
            </w:pPr>
            <w:r>
              <w:rPr>
                <w:b/>
                <w:noProof/>
                <w:sz w:val="20"/>
              </w:rPr>
              <w:t>0,00</w:t>
            </w:r>
          </w:p>
        </w:tc>
      </w:tr>
      <w:tr>
        <w:trPr>
          <w:trHeight w:val="277"/>
        </w:trPr>
        <w:tc>
          <w:tcPr>
            <w:tcW w:w="3956" w:type="dxa"/>
            <w:gridSpan w:val="2"/>
            <w:vMerge w:val="restart"/>
            <w:vAlign w:val="center"/>
          </w:tcPr>
          <w:p>
            <w:pPr>
              <w:spacing w:before="20" w:after="20"/>
              <w:rPr>
                <w:noProof/>
              </w:rPr>
            </w:pPr>
            <w:r>
              <w:rPr>
                <w:noProof/>
              </w:rPr>
              <w:br w:type="page"/>
            </w:r>
            <w:r>
              <w:rPr>
                <w:noProof/>
                <w:sz w:val="21"/>
              </w:rPr>
              <w:sym w:font="Wingdings" w:char="F09F"/>
            </w:r>
            <w:r>
              <w:rPr>
                <w:noProof/>
                <w:sz w:val="21"/>
              </w:rPr>
              <w:t xml:space="preserve"> Aktionsbevillinger I ALT </w:t>
            </w:r>
          </w:p>
        </w:tc>
        <w:tc>
          <w:tcPr>
            <w:tcW w:w="1440" w:type="dxa"/>
            <w:gridSpan w:val="2"/>
            <w:vAlign w:val="center"/>
          </w:tcPr>
          <w:p>
            <w:pPr>
              <w:spacing w:beforeLines="20" w:before="48" w:afterLines="20" w:after="48"/>
              <w:rPr>
                <w:noProof/>
                <w:sz w:val="18"/>
              </w:rPr>
            </w:pPr>
            <w:r>
              <w:rPr>
                <w:noProof/>
                <w:sz w:val="18"/>
              </w:rPr>
              <w:t>Forpligtelser</w:t>
            </w:r>
          </w:p>
        </w:tc>
        <w:tc>
          <w:tcPr>
            <w:tcW w:w="630" w:type="dxa"/>
            <w:vAlign w:val="center"/>
          </w:tcPr>
          <w:p>
            <w:pPr>
              <w:spacing w:beforeLines="20" w:before="48" w:afterLines="20" w:after="48"/>
              <w:jc w:val="center"/>
              <w:rPr>
                <w:noProof/>
                <w:sz w:val="14"/>
              </w:rPr>
            </w:pPr>
            <w:r>
              <w:rPr>
                <w:noProof/>
                <w:sz w:val="14"/>
              </w:rPr>
              <w:t>(4)</w:t>
            </w:r>
          </w:p>
        </w:tc>
        <w:tc>
          <w:tcPr>
            <w:tcW w:w="426" w:type="dxa"/>
            <w:vAlign w:val="center"/>
          </w:tcPr>
          <w:p>
            <w:pPr>
              <w:spacing w:before="20" w:after="20"/>
              <w:jc w:val="right"/>
              <w:rPr>
                <w:noProof/>
                <w:sz w:val="20"/>
              </w:rPr>
            </w:pPr>
          </w:p>
        </w:tc>
        <w:tc>
          <w:tcPr>
            <w:tcW w:w="1275" w:type="dxa"/>
            <w:vAlign w:val="center"/>
          </w:tcPr>
          <w:p>
            <w:pPr>
              <w:spacing w:before="20" w:after="20"/>
              <w:jc w:val="right"/>
              <w:rPr>
                <w:noProof/>
                <w:sz w:val="20"/>
              </w:rPr>
            </w:pPr>
          </w:p>
        </w:tc>
        <w:tc>
          <w:tcPr>
            <w:tcW w:w="1278" w:type="dxa"/>
            <w:vAlign w:val="center"/>
          </w:tcPr>
          <w:p>
            <w:pPr>
              <w:spacing w:before="20" w:after="20"/>
              <w:jc w:val="right"/>
              <w:rPr>
                <w:noProof/>
                <w:sz w:val="20"/>
              </w:rPr>
            </w:pPr>
          </w:p>
        </w:tc>
        <w:tc>
          <w:tcPr>
            <w:tcW w:w="1277"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560" w:type="dxa"/>
            <w:vAlign w:val="center"/>
          </w:tcPr>
          <w:p>
            <w:pPr>
              <w:spacing w:before="20" w:after="20"/>
              <w:jc w:val="right"/>
              <w:rPr>
                <w:b/>
                <w:noProof/>
                <w:sz w:val="20"/>
              </w:rPr>
            </w:pPr>
          </w:p>
        </w:tc>
      </w:tr>
      <w:tr>
        <w:trPr>
          <w:trHeight w:val="414"/>
        </w:trPr>
        <w:tc>
          <w:tcPr>
            <w:tcW w:w="3956" w:type="dxa"/>
            <w:gridSpan w:val="2"/>
            <w:vMerge/>
          </w:tcPr>
          <w:p>
            <w:pPr>
              <w:jc w:val="center"/>
              <w:rPr>
                <w:noProof/>
                <w:sz w:val="20"/>
              </w:rPr>
            </w:pPr>
          </w:p>
        </w:tc>
        <w:tc>
          <w:tcPr>
            <w:tcW w:w="1440" w:type="dxa"/>
            <w:gridSpan w:val="2"/>
            <w:vAlign w:val="center"/>
          </w:tcPr>
          <w:p>
            <w:pPr>
              <w:spacing w:beforeLines="20" w:before="48" w:afterLines="20" w:after="48"/>
              <w:rPr>
                <w:noProof/>
                <w:sz w:val="18"/>
              </w:rPr>
            </w:pPr>
            <w:r>
              <w:rPr>
                <w:noProof/>
                <w:sz w:val="18"/>
              </w:rPr>
              <w:t>Betalinger</w:t>
            </w:r>
          </w:p>
        </w:tc>
        <w:tc>
          <w:tcPr>
            <w:tcW w:w="630" w:type="dxa"/>
            <w:vAlign w:val="center"/>
          </w:tcPr>
          <w:p>
            <w:pPr>
              <w:spacing w:beforeLines="20" w:before="48" w:afterLines="20" w:after="48"/>
              <w:jc w:val="center"/>
              <w:rPr>
                <w:noProof/>
                <w:sz w:val="14"/>
              </w:rPr>
            </w:pPr>
            <w:r>
              <w:rPr>
                <w:noProof/>
                <w:sz w:val="14"/>
              </w:rPr>
              <w:t>(5)</w:t>
            </w:r>
          </w:p>
        </w:tc>
        <w:tc>
          <w:tcPr>
            <w:tcW w:w="426" w:type="dxa"/>
            <w:vAlign w:val="center"/>
          </w:tcPr>
          <w:p>
            <w:pPr>
              <w:spacing w:before="20" w:after="20"/>
              <w:jc w:val="right"/>
              <w:rPr>
                <w:noProof/>
                <w:sz w:val="20"/>
              </w:rPr>
            </w:pPr>
          </w:p>
        </w:tc>
        <w:tc>
          <w:tcPr>
            <w:tcW w:w="1275" w:type="dxa"/>
            <w:vAlign w:val="center"/>
          </w:tcPr>
          <w:p>
            <w:pPr>
              <w:spacing w:before="20" w:after="20"/>
              <w:jc w:val="right"/>
              <w:rPr>
                <w:noProof/>
                <w:sz w:val="20"/>
              </w:rPr>
            </w:pPr>
            <w:r>
              <w:rPr>
                <w:noProof/>
                <w:sz w:val="20"/>
                <w:szCs w:val="20"/>
              </w:rPr>
              <w:t>41 920</w:t>
            </w:r>
          </w:p>
        </w:tc>
        <w:tc>
          <w:tcPr>
            <w:tcW w:w="1278" w:type="dxa"/>
            <w:vAlign w:val="center"/>
          </w:tcPr>
          <w:p>
            <w:pPr>
              <w:spacing w:before="20" w:after="20"/>
              <w:jc w:val="right"/>
              <w:rPr>
                <w:noProof/>
                <w:sz w:val="20"/>
              </w:rPr>
            </w:pPr>
            <w:r>
              <w:rPr>
                <w:noProof/>
                <w:sz w:val="20"/>
                <w:szCs w:val="20"/>
              </w:rPr>
              <w:t>25 200</w:t>
            </w:r>
          </w:p>
        </w:tc>
        <w:tc>
          <w:tcPr>
            <w:tcW w:w="1277" w:type="dxa"/>
            <w:vAlign w:val="center"/>
          </w:tcPr>
          <w:p>
            <w:pPr>
              <w:spacing w:before="20" w:after="20"/>
              <w:jc w:val="right"/>
              <w:rPr>
                <w:noProof/>
                <w:sz w:val="20"/>
              </w:rPr>
            </w:pPr>
            <w:r>
              <w:rPr>
                <w:noProof/>
                <w:sz w:val="20"/>
                <w:szCs w:val="20"/>
              </w:rPr>
              <w:t>0 000</w:t>
            </w:r>
          </w:p>
        </w:tc>
        <w:tc>
          <w:tcPr>
            <w:tcW w:w="1276" w:type="dxa"/>
            <w:vAlign w:val="center"/>
          </w:tcPr>
          <w:p>
            <w:pPr>
              <w:spacing w:before="20" w:after="20"/>
              <w:jc w:val="right"/>
              <w:rPr>
                <w:noProof/>
                <w:sz w:val="20"/>
              </w:rPr>
            </w:pPr>
            <w:r>
              <w:rPr>
                <w:noProof/>
                <w:sz w:val="20"/>
                <w:szCs w:val="20"/>
              </w:rPr>
              <w:t>-33 560</w:t>
            </w:r>
          </w:p>
        </w:tc>
        <w:tc>
          <w:tcPr>
            <w:tcW w:w="1276" w:type="dxa"/>
            <w:vAlign w:val="center"/>
          </w:tcPr>
          <w:p>
            <w:pPr>
              <w:spacing w:before="20" w:after="20"/>
              <w:jc w:val="right"/>
              <w:rPr>
                <w:noProof/>
                <w:sz w:val="20"/>
                <w:highlight w:val="yellow"/>
              </w:rPr>
            </w:pPr>
            <w:r>
              <w:rPr>
                <w:noProof/>
                <w:sz w:val="20"/>
                <w:szCs w:val="20"/>
              </w:rPr>
              <w:t>-33 560</w:t>
            </w:r>
          </w:p>
        </w:tc>
        <w:tc>
          <w:tcPr>
            <w:tcW w:w="1560" w:type="dxa"/>
            <w:vAlign w:val="center"/>
          </w:tcPr>
          <w:p>
            <w:pPr>
              <w:spacing w:before="20" w:after="20"/>
              <w:jc w:val="right"/>
              <w:rPr>
                <w:b/>
                <w:noProof/>
                <w:sz w:val="20"/>
                <w:highlight w:val="yellow"/>
              </w:rPr>
            </w:pPr>
            <w:r>
              <w:rPr>
                <w:b/>
                <w:noProof/>
                <w:sz w:val="20"/>
              </w:rPr>
              <w:t>0,00</w:t>
            </w:r>
          </w:p>
        </w:tc>
      </w:tr>
      <w:tr>
        <w:trPr>
          <w:trHeight w:val="533"/>
        </w:trPr>
        <w:tc>
          <w:tcPr>
            <w:tcW w:w="5396" w:type="dxa"/>
            <w:gridSpan w:val="4"/>
            <w:vAlign w:val="center"/>
          </w:tcPr>
          <w:p>
            <w:pPr>
              <w:spacing w:beforeLines="20" w:before="48" w:afterLines="20" w:after="48"/>
              <w:rPr>
                <w:noProof/>
              </w:rPr>
            </w:pPr>
            <w:r>
              <w:rPr>
                <w:noProof/>
                <w:sz w:val="21"/>
              </w:rPr>
              <w:sym w:font="Wingdings" w:char="F09F"/>
            </w:r>
            <w:r>
              <w:rPr>
                <w:noProof/>
                <w:sz w:val="21"/>
              </w:rPr>
              <w:t xml:space="preserve"> Administrationsbevillinger finansieret over bevillingsrammen for særprogrammer I ALT </w:t>
            </w:r>
          </w:p>
        </w:tc>
        <w:tc>
          <w:tcPr>
            <w:tcW w:w="630" w:type="dxa"/>
            <w:vAlign w:val="center"/>
          </w:tcPr>
          <w:p>
            <w:pPr>
              <w:spacing w:beforeLines="20" w:before="48" w:afterLines="20" w:after="48"/>
              <w:jc w:val="center"/>
              <w:rPr>
                <w:noProof/>
                <w:sz w:val="14"/>
              </w:rPr>
            </w:pPr>
            <w:r>
              <w:rPr>
                <w:noProof/>
                <w:sz w:val="14"/>
              </w:rPr>
              <w:t>(6)</w:t>
            </w:r>
          </w:p>
        </w:tc>
        <w:tc>
          <w:tcPr>
            <w:tcW w:w="426" w:type="dxa"/>
            <w:vAlign w:val="center"/>
          </w:tcPr>
          <w:p>
            <w:pPr>
              <w:spacing w:before="20" w:after="20"/>
              <w:jc w:val="right"/>
              <w:rPr>
                <w:b/>
                <w:noProof/>
                <w:sz w:val="20"/>
              </w:rPr>
            </w:pPr>
          </w:p>
        </w:tc>
        <w:tc>
          <w:tcPr>
            <w:tcW w:w="1275" w:type="dxa"/>
            <w:vAlign w:val="center"/>
          </w:tcPr>
          <w:p>
            <w:pPr>
              <w:spacing w:before="20" w:after="20"/>
              <w:jc w:val="right"/>
              <w:rPr>
                <w:b/>
                <w:noProof/>
                <w:sz w:val="20"/>
              </w:rPr>
            </w:pPr>
          </w:p>
        </w:tc>
        <w:tc>
          <w:tcPr>
            <w:tcW w:w="1278" w:type="dxa"/>
            <w:vAlign w:val="center"/>
          </w:tcPr>
          <w:p>
            <w:pPr>
              <w:spacing w:before="20" w:after="20"/>
              <w:jc w:val="right"/>
              <w:rPr>
                <w:b/>
                <w:noProof/>
                <w:sz w:val="20"/>
              </w:rPr>
            </w:pPr>
          </w:p>
        </w:tc>
        <w:tc>
          <w:tcPr>
            <w:tcW w:w="1277" w:type="dxa"/>
            <w:vAlign w:val="center"/>
          </w:tcPr>
          <w:p>
            <w:pPr>
              <w:spacing w:before="20" w:after="20"/>
              <w:jc w:val="right"/>
              <w:rPr>
                <w:b/>
                <w:noProof/>
                <w:sz w:val="20"/>
              </w:rPr>
            </w:pPr>
          </w:p>
        </w:tc>
        <w:tc>
          <w:tcPr>
            <w:tcW w:w="1276" w:type="dxa"/>
            <w:vAlign w:val="center"/>
          </w:tcPr>
          <w:p>
            <w:pPr>
              <w:spacing w:before="20" w:after="20"/>
              <w:jc w:val="right"/>
              <w:rPr>
                <w:b/>
                <w:noProof/>
                <w:sz w:val="20"/>
              </w:rPr>
            </w:pPr>
          </w:p>
        </w:tc>
        <w:tc>
          <w:tcPr>
            <w:tcW w:w="1276" w:type="dxa"/>
            <w:vAlign w:val="center"/>
          </w:tcPr>
          <w:p>
            <w:pPr>
              <w:spacing w:before="20" w:after="20"/>
              <w:jc w:val="right"/>
              <w:rPr>
                <w:noProof/>
                <w:sz w:val="20"/>
              </w:rPr>
            </w:pPr>
          </w:p>
        </w:tc>
        <w:tc>
          <w:tcPr>
            <w:tcW w:w="1560" w:type="dxa"/>
            <w:vAlign w:val="center"/>
          </w:tcPr>
          <w:p>
            <w:pPr>
              <w:spacing w:before="20" w:after="20"/>
              <w:jc w:val="right"/>
              <w:rPr>
                <w:b/>
                <w:noProof/>
                <w:sz w:val="20"/>
              </w:rPr>
            </w:pPr>
          </w:p>
        </w:tc>
      </w:tr>
      <w:tr>
        <w:tc>
          <w:tcPr>
            <w:tcW w:w="3956" w:type="dxa"/>
            <w:gridSpan w:val="2"/>
            <w:vMerge w:val="restart"/>
            <w:shd w:val="thinDiagStripe" w:color="C0C0C0" w:fill="auto"/>
            <w:vAlign w:val="center"/>
          </w:tcPr>
          <w:p>
            <w:pPr>
              <w:jc w:val="center"/>
              <w:rPr>
                <w:b/>
                <w:noProof/>
              </w:rPr>
            </w:pPr>
            <w:r>
              <w:rPr>
                <w:b/>
                <w:noProof/>
                <w:sz w:val="22"/>
              </w:rPr>
              <w:t xml:space="preserve">Bevillinger I ALT </w:t>
            </w:r>
            <w:r>
              <w:rPr>
                <w:noProof/>
              </w:rPr>
              <w:br/>
            </w:r>
            <w:r>
              <w:rPr>
                <w:b/>
                <w:noProof/>
                <w:sz w:val="22"/>
              </w:rPr>
              <w:t>under UDGIFTSOMRÅDE 1b</w:t>
            </w:r>
            <w:r>
              <w:rPr>
                <w:noProof/>
              </w:rPr>
              <w:br/>
            </w:r>
            <w:r>
              <w:rPr>
                <w:noProof/>
                <w:sz w:val="22"/>
              </w:rPr>
              <w:t>i den flerårige finansielle ramme</w:t>
            </w:r>
          </w:p>
        </w:tc>
        <w:tc>
          <w:tcPr>
            <w:tcW w:w="1440" w:type="dxa"/>
            <w:gridSpan w:val="2"/>
            <w:vAlign w:val="center"/>
          </w:tcPr>
          <w:p>
            <w:pPr>
              <w:rPr>
                <w:noProof/>
                <w:sz w:val="18"/>
              </w:rPr>
            </w:pPr>
            <w:r>
              <w:rPr>
                <w:noProof/>
                <w:sz w:val="18"/>
              </w:rPr>
              <w:t>Forpligtelser</w:t>
            </w:r>
          </w:p>
        </w:tc>
        <w:tc>
          <w:tcPr>
            <w:tcW w:w="630" w:type="dxa"/>
            <w:vAlign w:val="center"/>
          </w:tcPr>
          <w:p>
            <w:pPr>
              <w:jc w:val="center"/>
              <w:rPr>
                <w:noProof/>
                <w:sz w:val="14"/>
              </w:rPr>
            </w:pPr>
            <w:r>
              <w:rPr>
                <w:noProof/>
                <w:sz w:val="14"/>
              </w:rPr>
              <w:t>= 4+ 6</w:t>
            </w:r>
          </w:p>
        </w:tc>
        <w:tc>
          <w:tcPr>
            <w:tcW w:w="426" w:type="dxa"/>
            <w:vAlign w:val="center"/>
          </w:tcPr>
          <w:p>
            <w:pPr>
              <w:spacing w:before="20" w:after="20"/>
              <w:jc w:val="right"/>
              <w:rPr>
                <w:noProof/>
                <w:sz w:val="20"/>
              </w:rPr>
            </w:pPr>
          </w:p>
        </w:tc>
        <w:tc>
          <w:tcPr>
            <w:tcW w:w="1275" w:type="dxa"/>
            <w:vAlign w:val="center"/>
          </w:tcPr>
          <w:p>
            <w:pPr>
              <w:spacing w:before="20" w:after="20"/>
              <w:jc w:val="right"/>
              <w:rPr>
                <w:noProof/>
                <w:sz w:val="20"/>
              </w:rPr>
            </w:pPr>
          </w:p>
        </w:tc>
        <w:tc>
          <w:tcPr>
            <w:tcW w:w="1278" w:type="dxa"/>
            <w:vAlign w:val="center"/>
          </w:tcPr>
          <w:p>
            <w:pPr>
              <w:spacing w:before="20" w:after="20"/>
              <w:jc w:val="right"/>
              <w:rPr>
                <w:noProof/>
                <w:sz w:val="20"/>
              </w:rPr>
            </w:pPr>
          </w:p>
        </w:tc>
        <w:tc>
          <w:tcPr>
            <w:tcW w:w="1277"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560" w:type="dxa"/>
            <w:vAlign w:val="center"/>
          </w:tcPr>
          <w:p>
            <w:pPr>
              <w:spacing w:before="20" w:after="20"/>
              <w:jc w:val="right"/>
              <w:rPr>
                <w:b/>
                <w:noProof/>
                <w:sz w:val="20"/>
              </w:rPr>
            </w:pPr>
          </w:p>
        </w:tc>
      </w:tr>
      <w:tr>
        <w:tc>
          <w:tcPr>
            <w:tcW w:w="3956" w:type="dxa"/>
            <w:gridSpan w:val="2"/>
            <w:vMerge/>
            <w:shd w:val="thinDiagStripe" w:color="C0C0C0" w:fill="auto"/>
          </w:tcPr>
          <w:p>
            <w:pPr>
              <w:rPr>
                <w:noProof/>
                <w:sz w:val="20"/>
              </w:rPr>
            </w:pPr>
          </w:p>
        </w:tc>
        <w:tc>
          <w:tcPr>
            <w:tcW w:w="1440" w:type="dxa"/>
            <w:gridSpan w:val="2"/>
            <w:vAlign w:val="center"/>
          </w:tcPr>
          <w:p>
            <w:pPr>
              <w:rPr>
                <w:noProof/>
                <w:sz w:val="18"/>
              </w:rPr>
            </w:pPr>
            <w:r>
              <w:rPr>
                <w:noProof/>
                <w:sz w:val="18"/>
              </w:rPr>
              <w:t>Betalinger</w:t>
            </w:r>
          </w:p>
        </w:tc>
        <w:tc>
          <w:tcPr>
            <w:tcW w:w="630" w:type="dxa"/>
            <w:vAlign w:val="center"/>
          </w:tcPr>
          <w:p>
            <w:pPr>
              <w:jc w:val="center"/>
              <w:rPr>
                <w:noProof/>
                <w:sz w:val="14"/>
              </w:rPr>
            </w:pPr>
            <w:r>
              <w:rPr>
                <w:noProof/>
                <w:sz w:val="14"/>
              </w:rPr>
              <w:t>= 5+ 6</w:t>
            </w:r>
          </w:p>
        </w:tc>
        <w:tc>
          <w:tcPr>
            <w:tcW w:w="426" w:type="dxa"/>
            <w:vAlign w:val="center"/>
          </w:tcPr>
          <w:p>
            <w:pPr>
              <w:spacing w:before="20" w:after="20"/>
              <w:jc w:val="right"/>
              <w:rPr>
                <w:noProof/>
                <w:sz w:val="20"/>
              </w:rPr>
            </w:pPr>
          </w:p>
        </w:tc>
        <w:tc>
          <w:tcPr>
            <w:tcW w:w="1275" w:type="dxa"/>
            <w:vAlign w:val="center"/>
          </w:tcPr>
          <w:p>
            <w:pPr>
              <w:spacing w:before="20" w:after="20"/>
              <w:jc w:val="right"/>
              <w:rPr>
                <w:noProof/>
                <w:sz w:val="20"/>
              </w:rPr>
            </w:pPr>
            <w:r>
              <w:rPr>
                <w:noProof/>
                <w:sz w:val="20"/>
                <w:szCs w:val="20"/>
              </w:rPr>
              <w:t>41 920</w:t>
            </w:r>
          </w:p>
        </w:tc>
        <w:tc>
          <w:tcPr>
            <w:tcW w:w="1278" w:type="dxa"/>
            <w:vAlign w:val="center"/>
          </w:tcPr>
          <w:p>
            <w:pPr>
              <w:spacing w:before="20" w:after="20"/>
              <w:jc w:val="right"/>
              <w:rPr>
                <w:noProof/>
                <w:sz w:val="20"/>
              </w:rPr>
            </w:pPr>
            <w:r>
              <w:rPr>
                <w:noProof/>
                <w:sz w:val="20"/>
                <w:szCs w:val="20"/>
              </w:rPr>
              <w:t>25 200</w:t>
            </w:r>
          </w:p>
        </w:tc>
        <w:tc>
          <w:tcPr>
            <w:tcW w:w="1277" w:type="dxa"/>
            <w:vAlign w:val="center"/>
          </w:tcPr>
          <w:p>
            <w:pPr>
              <w:spacing w:before="20" w:after="20"/>
              <w:jc w:val="right"/>
              <w:rPr>
                <w:noProof/>
                <w:sz w:val="20"/>
              </w:rPr>
            </w:pPr>
            <w:r>
              <w:rPr>
                <w:noProof/>
                <w:sz w:val="20"/>
                <w:szCs w:val="20"/>
              </w:rPr>
              <w:t>0 000</w:t>
            </w:r>
          </w:p>
        </w:tc>
        <w:tc>
          <w:tcPr>
            <w:tcW w:w="1276" w:type="dxa"/>
            <w:vAlign w:val="center"/>
          </w:tcPr>
          <w:p>
            <w:pPr>
              <w:spacing w:before="20" w:after="20"/>
              <w:jc w:val="right"/>
              <w:rPr>
                <w:noProof/>
                <w:sz w:val="20"/>
              </w:rPr>
            </w:pPr>
            <w:r>
              <w:rPr>
                <w:noProof/>
                <w:sz w:val="20"/>
                <w:szCs w:val="20"/>
              </w:rPr>
              <w:t>-33 560</w:t>
            </w:r>
          </w:p>
        </w:tc>
        <w:tc>
          <w:tcPr>
            <w:tcW w:w="1276" w:type="dxa"/>
            <w:vAlign w:val="center"/>
          </w:tcPr>
          <w:p>
            <w:pPr>
              <w:spacing w:before="20" w:after="20"/>
              <w:jc w:val="right"/>
              <w:rPr>
                <w:noProof/>
                <w:sz w:val="20"/>
                <w:highlight w:val="yellow"/>
              </w:rPr>
            </w:pPr>
            <w:r>
              <w:rPr>
                <w:noProof/>
                <w:sz w:val="20"/>
                <w:szCs w:val="20"/>
              </w:rPr>
              <w:t>-33 560</w:t>
            </w:r>
          </w:p>
        </w:tc>
        <w:tc>
          <w:tcPr>
            <w:tcW w:w="1560" w:type="dxa"/>
            <w:vAlign w:val="center"/>
          </w:tcPr>
          <w:p>
            <w:pPr>
              <w:spacing w:before="20" w:after="20"/>
              <w:jc w:val="right"/>
              <w:rPr>
                <w:b/>
                <w:noProof/>
                <w:sz w:val="20"/>
                <w:highlight w:val="yellow"/>
              </w:rPr>
            </w:pPr>
            <w:r>
              <w:rPr>
                <w:b/>
                <w:noProof/>
                <w:sz w:val="20"/>
              </w:rPr>
              <w:t>0,00</w:t>
            </w:r>
          </w:p>
        </w:tc>
      </w:tr>
    </w:tbl>
    <w:p>
      <w:pPr>
        <w:spacing w:after="40"/>
        <w:rPr>
          <w:b/>
          <w:noProof/>
          <w:sz w:val="22"/>
          <w:u w:val="single"/>
        </w:rPr>
      </w:pPr>
      <w:r>
        <w:rPr>
          <w:b/>
          <w:noProof/>
          <w:sz w:val="22"/>
          <w:u w:val="single"/>
        </w:rPr>
        <w:t>Hvis flere udgiftsområder påvirkes af forslaget/initiativet:</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386"/>
        <w:gridCol w:w="960"/>
        <w:gridCol w:w="840"/>
        <w:gridCol w:w="840"/>
        <w:gridCol w:w="720"/>
        <w:gridCol w:w="720"/>
        <w:gridCol w:w="960"/>
        <w:gridCol w:w="142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 xml:space="preserve"> Aktionsbevillinger I ALT </w:t>
            </w:r>
          </w:p>
        </w:tc>
        <w:tc>
          <w:tcPr>
            <w:tcW w:w="1440" w:type="dxa"/>
            <w:tcBorders>
              <w:top w:val="single" w:sz="4" w:space="0" w:color="auto"/>
            </w:tcBorders>
            <w:vAlign w:val="center"/>
          </w:tcPr>
          <w:p>
            <w:pPr>
              <w:spacing w:beforeLines="20" w:before="48" w:afterLines="20" w:after="48"/>
              <w:rPr>
                <w:noProof/>
                <w:sz w:val="18"/>
              </w:rPr>
            </w:pPr>
            <w:r>
              <w:rPr>
                <w:noProof/>
                <w:sz w:val="18"/>
              </w:rPr>
              <w:t>Forpligtelser</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1386"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b/>
                <w:noProof/>
                <w:sz w:val="20"/>
              </w:rPr>
            </w:pPr>
          </w:p>
        </w:tc>
        <w:tc>
          <w:tcPr>
            <w:tcW w:w="142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Betalinger</w:t>
            </w:r>
          </w:p>
        </w:tc>
        <w:tc>
          <w:tcPr>
            <w:tcW w:w="654" w:type="dxa"/>
            <w:vAlign w:val="center"/>
          </w:tcPr>
          <w:p>
            <w:pPr>
              <w:spacing w:beforeLines="20" w:before="48" w:afterLines="20" w:after="48"/>
              <w:jc w:val="center"/>
              <w:rPr>
                <w:noProof/>
                <w:sz w:val="14"/>
              </w:rPr>
            </w:pPr>
            <w:r>
              <w:rPr>
                <w:noProof/>
                <w:sz w:val="14"/>
              </w:rPr>
              <w:t>(5)</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Administrationsbevillinger finansieret over bevillingsrammen for særprogrammer I ALT </w:t>
            </w:r>
          </w:p>
        </w:tc>
        <w:tc>
          <w:tcPr>
            <w:tcW w:w="654" w:type="dxa"/>
            <w:vAlign w:val="center"/>
          </w:tcPr>
          <w:p>
            <w:pPr>
              <w:spacing w:beforeLines="20" w:before="48" w:afterLines="20" w:after="48"/>
              <w:jc w:val="center"/>
              <w:rPr>
                <w:noProof/>
                <w:sz w:val="14"/>
              </w:rPr>
            </w:pPr>
            <w:r>
              <w:rPr>
                <w:noProof/>
                <w:sz w:val="14"/>
              </w:rPr>
              <w:t>(6)</w:t>
            </w:r>
          </w:p>
        </w:tc>
        <w:tc>
          <w:tcPr>
            <w:tcW w:w="1386"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142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 xml:space="preserve">Bevillinger I ALT </w:t>
            </w:r>
            <w:r>
              <w:rPr>
                <w:noProof/>
              </w:rPr>
              <w:br/>
            </w:r>
            <w:r>
              <w:rPr>
                <w:b/>
                <w:noProof/>
                <w:sz w:val="22"/>
              </w:rPr>
              <w:t>under UDGIFTSOMRÅDE 1-4</w:t>
            </w:r>
            <w:r>
              <w:rPr>
                <w:noProof/>
              </w:rPr>
              <w:br/>
            </w:r>
            <w:r>
              <w:rPr>
                <w:noProof/>
                <w:sz w:val="22"/>
              </w:rPr>
              <w:t>i den flerårige finansielle ramme</w:t>
            </w:r>
            <w:r>
              <w:rPr>
                <w:noProof/>
              </w:rPr>
              <w:br/>
            </w:r>
            <w:r>
              <w:rPr>
                <w:noProof/>
                <w:sz w:val="20"/>
              </w:rPr>
              <w:t>(referencebeløb)</w:t>
            </w:r>
          </w:p>
        </w:tc>
        <w:tc>
          <w:tcPr>
            <w:tcW w:w="1440" w:type="dxa"/>
            <w:vAlign w:val="center"/>
          </w:tcPr>
          <w:p>
            <w:pPr>
              <w:rPr>
                <w:noProof/>
                <w:sz w:val="18"/>
              </w:rPr>
            </w:pPr>
            <w:r>
              <w:rPr>
                <w:noProof/>
                <w:sz w:val="18"/>
              </w:rPr>
              <w:t>Forpligtelser</w:t>
            </w:r>
          </w:p>
        </w:tc>
        <w:tc>
          <w:tcPr>
            <w:tcW w:w="654" w:type="dxa"/>
            <w:vAlign w:val="center"/>
          </w:tcPr>
          <w:p>
            <w:pPr>
              <w:jc w:val="center"/>
              <w:rPr>
                <w:noProof/>
                <w:sz w:val="14"/>
              </w:rPr>
            </w:pPr>
            <w:r>
              <w:rPr>
                <w:noProof/>
                <w:sz w:val="14"/>
              </w:rPr>
              <w:t>= 4+ 6</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Betalinger</w:t>
            </w:r>
          </w:p>
        </w:tc>
        <w:tc>
          <w:tcPr>
            <w:tcW w:w="654" w:type="dxa"/>
            <w:tcBorders>
              <w:bottom w:val="single" w:sz="4" w:space="0" w:color="auto"/>
            </w:tcBorders>
            <w:vAlign w:val="center"/>
          </w:tcPr>
          <w:p>
            <w:pPr>
              <w:jc w:val="center"/>
              <w:rPr>
                <w:noProof/>
                <w:sz w:val="14"/>
              </w:rPr>
            </w:pPr>
            <w:r>
              <w:rPr>
                <w:noProof/>
                <w:sz w:val="14"/>
              </w:rPr>
              <w:t>= 5+ 6</w:t>
            </w:r>
          </w:p>
        </w:tc>
        <w:tc>
          <w:tcPr>
            <w:tcW w:w="1386" w:type="dxa"/>
            <w:tcBorders>
              <w:bottom w:val="single" w:sz="4" w:space="0" w:color="auto"/>
            </w:tcBorders>
            <w:vAlign w:val="center"/>
          </w:tcPr>
          <w:p>
            <w:pPr>
              <w:spacing w:before="20" w:after="20"/>
              <w:jc w:val="right"/>
              <w:rPr>
                <w:noProof/>
                <w:sz w:val="20"/>
              </w:rPr>
            </w:pPr>
            <w:r>
              <w:rPr>
                <w:noProof/>
                <w:sz w:val="20"/>
              </w:rPr>
              <w:t>0</w:t>
            </w:r>
          </w:p>
        </w:tc>
        <w:tc>
          <w:tcPr>
            <w:tcW w:w="960" w:type="dxa"/>
            <w:tcBorders>
              <w:bottom w:val="single" w:sz="4" w:space="0" w:color="auto"/>
            </w:tcBorders>
            <w:vAlign w:val="center"/>
          </w:tcPr>
          <w:p>
            <w:pPr>
              <w:spacing w:before="20" w:after="20"/>
              <w:jc w:val="right"/>
              <w:rPr>
                <w:noProof/>
                <w:sz w:val="20"/>
              </w:rPr>
            </w:pPr>
          </w:p>
        </w:tc>
        <w:tc>
          <w:tcPr>
            <w:tcW w:w="840" w:type="dxa"/>
            <w:tcBorders>
              <w:bottom w:val="single" w:sz="4" w:space="0" w:color="auto"/>
            </w:tcBorders>
            <w:vAlign w:val="center"/>
          </w:tcPr>
          <w:p>
            <w:pPr>
              <w:spacing w:before="20" w:after="20"/>
              <w:jc w:val="right"/>
              <w:rPr>
                <w:noProof/>
                <w:sz w:val="20"/>
              </w:rPr>
            </w:pPr>
          </w:p>
        </w:tc>
        <w:tc>
          <w:tcPr>
            <w:tcW w:w="840" w:type="dxa"/>
            <w:tcBorders>
              <w:bottom w:val="single" w:sz="4" w:space="0" w:color="auto"/>
            </w:tcBorders>
            <w:vAlign w:val="center"/>
          </w:tcPr>
          <w:p>
            <w:pPr>
              <w:spacing w:before="20" w:after="20"/>
              <w:jc w:val="right"/>
              <w:rPr>
                <w:noProof/>
                <w:sz w:val="20"/>
              </w:rPr>
            </w:pPr>
          </w:p>
        </w:tc>
        <w:tc>
          <w:tcPr>
            <w:tcW w:w="720" w:type="dxa"/>
            <w:tcBorders>
              <w:bottom w:val="single" w:sz="4" w:space="0" w:color="auto"/>
            </w:tcBorders>
            <w:vAlign w:val="center"/>
          </w:tcPr>
          <w:p>
            <w:pPr>
              <w:spacing w:before="20" w:after="20"/>
              <w:jc w:val="right"/>
              <w:rPr>
                <w:noProof/>
                <w:sz w:val="20"/>
              </w:rPr>
            </w:pPr>
          </w:p>
        </w:tc>
        <w:tc>
          <w:tcPr>
            <w:tcW w:w="720" w:type="dxa"/>
            <w:tcBorders>
              <w:bottom w:val="single" w:sz="4" w:space="0" w:color="auto"/>
            </w:tcBorders>
            <w:vAlign w:val="center"/>
          </w:tcPr>
          <w:p>
            <w:pPr>
              <w:spacing w:before="20" w:after="20"/>
              <w:jc w:val="right"/>
              <w:rPr>
                <w:noProof/>
                <w:sz w:val="20"/>
              </w:rPr>
            </w:pPr>
          </w:p>
        </w:tc>
        <w:tc>
          <w:tcPr>
            <w:tcW w:w="960" w:type="dxa"/>
            <w:tcBorders>
              <w:bottom w:val="single" w:sz="4" w:space="0" w:color="auto"/>
            </w:tcBorders>
            <w:vAlign w:val="center"/>
          </w:tcPr>
          <w:p>
            <w:pPr>
              <w:spacing w:before="20" w:after="20"/>
              <w:jc w:val="right"/>
              <w:rPr>
                <w:b/>
                <w:noProof/>
                <w:sz w:val="20"/>
              </w:rPr>
            </w:pPr>
          </w:p>
        </w:tc>
        <w:tc>
          <w:tcPr>
            <w:tcW w:w="1427" w:type="dxa"/>
            <w:tcBorders>
              <w:bottom w:val="single" w:sz="4" w:space="0" w:color="auto"/>
              <w:right w:val="single" w:sz="4" w:space="0" w:color="auto"/>
            </w:tcBorders>
            <w:vAlign w:val="center"/>
          </w:tcPr>
          <w:p>
            <w:pPr>
              <w:spacing w:before="20" w:after="20"/>
              <w:jc w:val="right"/>
              <w:rPr>
                <w:b/>
                <w:noProof/>
                <w:sz w:val="20"/>
              </w:rPr>
            </w:pPr>
            <w:r>
              <w:rPr>
                <w:b/>
                <w:noProof/>
                <w:sz w:val="20"/>
              </w:rPr>
              <w:t>0</w:t>
            </w:r>
          </w:p>
        </w:tc>
      </w:tr>
    </w:tbl>
    <w:p>
      <w:pPr>
        <w:rPr>
          <w:noProof/>
        </w:rPr>
      </w:pPr>
    </w:p>
    <w:p>
      <w:pPr>
        <w:spacing w:before="0" w:after="200" w:line="276" w:lineRule="auto"/>
        <w:jc w:val="left"/>
        <w:rPr>
          <w:noProof/>
        </w:rPr>
      </w:pPr>
      <w:r>
        <w:rPr>
          <w:noProof/>
        </w:rPr>
        <w:br w:type="page"/>
      </w: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 xml:space="preserve">Udgiftsområde i den flerårige finansielle </w:t>
            </w:r>
            <w:r>
              <w:rPr>
                <w:noProof/>
              </w:rPr>
              <w:br/>
            </w:r>
            <w:r>
              <w:rPr>
                <w:b/>
                <w:noProof/>
              </w:rPr>
              <w:t xml:space="preserve">ramme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"Administration"</w:t>
            </w:r>
          </w:p>
        </w:tc>
      </w:tr>
    </w:tbl>
    <w:p>
      <w:pPr>
        <w:jc w:val="right"/>
        <w:rPr>
          <w:noProof/>
          <w:sz w:val="20"/>
        </w:rPr>
      </w:pPr>
      <w:r>
        <w:rPr>
          <w:noProof/>
          <w:sz w:val="20"/>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År</w:t>
            </w:r>
            <w:r>
              <w:rPr>
                <w:noProof/>
              </w:rPr>
              <w:br/>
            </w:r>
            <w:r>
              <w:rPr>
                <w:b/>
                <w:noProof/>
                <w:sz w:val="20"/>
              </w:rPr>
              <w:t>n</w:t>
            </w:r>
          </w:p>
        </w:tc>
        <w:tc>
          <w:tcPr>
            <w:tcW w:w="868" w:type="dxa"/>
            <w:vAlign w:val="center"/>
          </w:tcPr>
          <w:p>
            <w:pPr>
              <w:jc w:val="center"/>
              <w:rPr>
                <w:noProof/>
                <w:sz w:val="20"/>
              </w:rPr>
            </w:pPr>
            <w:r>
              <w:rPr>
                <w:noProof/>
                <w:sz w:val="20"/>
              </w:rPr>
              <w:t>År</w:t>
            </w:r>
            <w:r>
              <w:rPr>
                <w:noProof/>
              </w:rPr>
              <w:br/>
            </w:r>
            <w:r>
              <w:rPr>
                <w:b/>
                <w:noProof/>
                <w:sz w:val="20"/>
              </w:rPr>
              <w:t>n + 1</w:t>
            </w:r>
          </w:p>
        </w:tc>
        <w:tc>
          <w:tcPr>
            <w:tcW w:w="868" w:type="dxa"/>
            <w:vAlign w:val="center"/>
          </w:tcPr>
          <w:p>
            <w:pPr>
              <w:jc w:val="center"/>
              <w:rPr>
                <w:noProof/>
                <w:sz w:val="20"/>
              </w:rPr>
            </w:pPr>
            <w:r>
              <w:rPr>
                <w:noProof/>
                <w:sz w:val="20"/>
              </w:rPr>
              <w:t>År</w:t>
            </w:r>
            <w:r>
              <w:rPr>
                <w:noProof/>
              </w:rPr>
              <w:br/>
            </w:r>
            <w:r>
              <w:rPr>
                <w:b/>
                <w:noProof/>
                <w:sz w:val="20"/>
              </w:rPr>
              <w:t>n + 2</w:t>
            </w:r>
          </w:p>
        </w:tc>
        <w:tc>
          <w:tcPr>
            <w:tcW w:w="868" w:type="dxa"/>
            <w:vAlign w:val="center"/>
          </w:tcPr>
          <w:p>
            <w:pPr>
              <w:jc w:val="center"/>
              <w:rPr>
                <w:noProof/>
                <w:sz w:val="20"/>
              </w:rPr>
            </w:pPr>
            <w:r>
              <w:rPr>
                <w:noProof/>
                <w:sz w:val="20"/>
              </w:rPr>
              <w:t>År</w:t>
            </w:r>
            <w:r>
              <w:rPr>
                <w:noProof/>
              </w:rPr>
              <w:br/>
            </w:r>
            <w:r>
              <w:rPr>
                <w:b/>
                <w:noProof/>
                <w:sz w:val="20"/>
              </w:rPr>
              <w:t>n + 3</w:t>
            </w:r>
          </w:p>
        </w:tc>
        <w:tc>
          <w:tcPr>
            <w:tcW w:w="2604" w:type="dxa"/>
            <w:gridSpan w:val="3"/>
            <w:vAlign w:val="center"/>
          </w:tcPr>
          <w:p>
            <w:pPr>
              <w:jc w:val="center"/>
              <w:rPr>
                <w:b/>
                <w:noProof/>
                <w:sz w:val="18"/>
              </w:rPr>
            </w:pPr>
            <w:r>
              <w:rPr>
                <w:noProof/>
                <w:sz w:val="18"/>
              </w:rPr>
              <w:t xml:space="preserve">Der indsættes flere år, hvis virkningerne varer længere (jf. punkt 1.6) </w:t>
            </w:r>
          </w:p>
        </w:tc>
        <w:tc>
          <w:tcPr>
            <w:tcW w:w="1777" w:type="dxa"/>
            <w:vAlign w:val="center"/>
          </w:tcPr>
          <w:p>
            <w:pPr>
              <w:jc w:val="center"/>
              <w:rPr>
                <w:b/>
                <w:noProof/>
                <w:sz w:val="20"/>
              </w:rPr>
            </w:pPr>
            <w:r>
              <w:rPr>
                <w:b/>
                <w:noProof/>
                <w:sz w:val="20"/>
              </w:rPr>
              <w:t>I ALT</w:t>
            </w:r>
          </w:p>
        </w:tc>
      </w:tr>
      <w:tr>
        <w:trPr>
          <w:gridAfter w:val="10"/>
          <w:wAfter w:w="9947" w:type="dxa"/>
        </w:trPr>
        <w:tc>
          <w:tcPr>
            <w:tcW w:w="3960" w:type="dxa"/>
            <w:vAlign w:val="center"/>
          </w:tcPr>
          <w:p>
            <w:pPr>
              <w:spacing w:before="60" w:after="60"/>
              <w:jc w:val="center"/>
              <w:rPr>
                <w:noProof/>
              </w:rPr>
            </w:pPr>
            <w:r>
              <w:rPr>
                <w:noProof/>
                <w:sz w:val="22"/>
              </w:rPr>
              <w:t xml:space="preserve">GD: </w:t>
            </w:r>
            <w:r>
              <w:rPr>
                <w:noProof/>
              </w:rPr>
              <w:t>&lt;....... &gt;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Menneskelige ressourcer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Andre administrationsudgifter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I ALT GD </w:t>
            </w:r>
            <w:r>
              <w:rPr>
                <w:noProof/>
              </w:rPr>
              <w:t>&lt;…….&gt;</w:t>
            </w:r>
          </w:p>
        </w:tc>
        <w:tc>
          <w:tcPr>
            <w:tcW w:w="2094" w:type="dxa"/>
            <w:gridSpan w:val="2"/>
            <w:vAlign w:val="center"/>
          </w:tcPr>
          <w:p>
            <w:pPr>
              <w:rPr>
                <w:noProof/>
                <w:sz w:val="14"/>
              </w:rPr>
            </w:pPr>
            <w:r>
              <w:rPr>
                <w:noProof/>
                <w:sz w:val="18"/>
              </w:rPr>
              <w:t xml:space="preserve">Bevillinger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Bevillinger I ALT</w:t>
            </w:r>
            <w:r>
              <w:rPr>
                <w:noProof/>
              </w:rPr>
              <w:br/>
            </w:r>
            <w:r>
              <w:rPr>
                <w:b/>
                <w:noProof/>
                <w:sz w:val="22"/>
              </w:rPr>
              <w:t>under UDGIFTSOMRÅDE 5</w:t>
            </w:r>
            <w:r>
              <w:rPr>
                <w:noProof/>
              </w:rPr>
              <w:br/>
            </w:r>
            <w:r>
              <w:rPr>
                <w:noProof/>
                <w:sz w:val="22"/>
              </w:rPr>
              <w:t>i den flerårige finansielle ramme</w:t>
            </w:r>
            <w:r>
              <w:rPr>
                <w:b/>
                <w:noProof/>
                <w:sz w:val="22"/>
              </w:rPr>
              <w:t xml:space="preserve"> </w:t>
            </w:r>
          </w:p>
        </w:tc>
        <w:tc>
          <w:tcPr>
            <w:tcW w:w="2094" w:type="dxa"/>
            <w:vAlign w:val="center"/>
          </w:tcPr>
          <w:p>
            <w:pPr>
              <w:spacing w:before="40" w:after="40"/>
              <w:rPr>
                <w:noProof/>
              </w:rPr>
            </w:pPr>
            <w:r>
              <w:rPr>
                <w:noProof/>
                <w:sz w:val="18"/>
              </w:rPr>
              <w:t>(Forpligtelser i alt = betalinger i alt)</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1147"/>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p>
        </w:tc>
        <w:tc>
          <w:tcPr>
            <w:tcW w:w="868" w:type="dxa"/>
            <w:vAlign w:val="center"/>
          </w:tcPr>
          <w:p>
            <w:pPr>
              <w:jc w:val="center"/>
              <w:rPr>
                <w:noProof/>
                <w:sz w:val="20"/>
              </w:rPr>
            </w:pPr>
          </w:p>
        </w:tc>
        <w:tc>
          <w:tcPr>
            <w:tcW w:w="868" w:type="dxa"/>
          </w:tcPr>
          <w:p>
            <w:pPr>
              <w:jc w:val="center"/>
              <w:rPr>
                <w:noProof/>
                <w:sz w:val="20"/>
              </w:rPr>
            </w:pPr>
            <w:r>
              <w:rPr>
                <w:noProof/>
              </w:rPr>
              <w:t>2020</w:t>
            </w:r>
          </w:p>
        </w:tc>
        <w:tc>
          <w:tcPr>
            <w:tcW w:w="868" w:type="dxa"/>
          </w:tcPr>
          <w:p>
            <w:pPr>
              <w:jc w:val="center"/>
              <w:rPr>
                <w:noProof/>
                <w:sz w:val="20"/>
              </w:rPr>
            </w:pPr>
            <w:r>
              <w:rPr>
                <w:noProof/>
              </w:rPr>
              <w:t>2021</w:t>
            </w:r>
          </w:p>
        </w:tc>
        <w:tc>
          <w:tcPr>
            <w:tcW w:w="868" w:type="dxa"/>
          </w:tcPr>
          <w:p>
            <w:pPr>
              <w:jc w:val="center"/>
              <w:rPr>
                <w:b/>
                <w:noProof/>
                <w:sz w:val="18"/>
              </w:rPr>
            </w:pPr>
            <w:r>
              <w:rPr>
                <w:noProof/>
              </w:rPr>
              <w:t>2022</w:t>
            </w:r>
          </w:p>
        </w:tc>
        <w:tc>
          <w:tcPr>
            <w:tcW w:w="868" w:type="dxa"/>
          </w:tcPr>
          <w:p>
            <w:pPr>
              <w:jc w:val="center"/>
              <w:rPr>
                <w:b/>
                <w:noProof/>
                <w:sz w:val="18"/>
              </w:rPr>
            </w:pPr>
            <w:r>
              <w:rPr>
                <w:noProof/>
              </w:rPr>
              <w:t>2023</w:t>
            </w:r>
          </w:p>
        </w:tc>
        <w:tc>
          <w:tcPr>
            <w:tcW w:w="1147" w:type="dxa"/>
          </w:tcPr>
          <w:p>
            <w:pPr>
              <w:jc w:val="center"/>
              <w:rPr>
                <w:b/>
                <w:noProof/>
                <w:sz w:val="18"/>
              </w:rPr>
            </w:pPr>
            <w:r>
              <w:rPr>
                <w:noProof/>
              </w:rPr>
              <w:t>2024</w:t>
            </w:r>
          </w:p>
        </w:tc>
        <w:tc>
          <w:tcPr>
            <w:tcW w:w="1777" w:type="dxa"/>
            <w:vAlign w:val="center"/>
          </w:tcPr>
          <w:p>
            <w:pPr>
              <w:jc w:val="center"/>
              <w:rPr>
                <w:b/>
                <w:noProof/>
                <w:sz w:val="20"/>
              </w:rPr>
            </w:pPr>
            <w:r>
              <w:rPr>
                <w:b/>
                <w:noProof/>
                <w:sz w:val="20"/>
              </w:rPr>
              <w:t>I ALT</w:t>
            </w:r>
          </w:p>
        </w:tc>
      </w:tr>
      <w:tr>
        <w:tc>
          <w:tcPr>
            <w:tcW w:w="3960" w:type="dxa"/>
            <w:vMerge w:val="restart"/>
            <w:shd w:val="clear" w:color="auto" w:fill="C0C0C0"/>
            <w:vAlign w:val="center"/>
          </w:tcPr>
          <w:p>
            <w:pPr>
              <w:jc w:val="center"/>
              <w:rPr>
                <w:b/>
                <w:noProof/>
              </w:rPr>
            </w:pPr>
            <w:r>
              <w:rPr>
                <w:b/>
                <w:noProof/>
                <w:sz w:val="22"/>
              </w:rPr>
              <w:t xml:space="preserve">Bevillinger I ALT </w:t>
            </w:r>
            <w:r>
              <w:rPr>
                <w:noProof/>
              </w:rPr>
              <w:br/>
            </w:r>
            <w:r>
              <w:rPr>
                <w:b/>
                <w:noProof/>
                <w:sz w:val="22"/>
              </w:rPr>
              <w:t>under UDGIFTSOMRÅDE 1-5</w:t>
            </w:r>
            <w:r>
              <w:rPr>
                <w:noProof/>
              </w:rPr>
              <w:br/>
            </w:r>
            <w:r>
              <w:rPr>
                <w:noProof/>
                <w:sz w:val="22"/>
              </w:rPr>
              <w:t>i den flerårige finansielle ramme</w:t>
            </w:r>
            <w:r>
              <w:rPr>
                <w:b/>
                <w:noProof/>
                <w:sz w:val="22"/>
              </w:rPr>
              <w:t xml:space="preserve"> </w:t>
            </w:r>
          </w:p>
        </w:tc>
        <w:tc>
          <w:tcPr>
            <w:tcW w:w="2094" w:type="dxa"/>
            <w:gridSpan w:val="2"/>
            <w:vAlign w:val="center"/>
          </w:tcPr>
          <w:p>
            <w:pPr>
              <w:rPr>
                <w:noProof/>
                <w:sz w:val="14"/>
              </w:rPr>
            </w:pPr>
            <w:r>
              <w:rPr>
                <w:noProof/>
                <w:sz w:val="18"/>
              </w:rPr>
              <w:t>Forpligtelser</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1147"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Betalinger</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r>
              <w:rPr>
                <w:noProof/>
                <w:sz w:val="20"/>
                <w:szCs w:val="20"/>
              </w:rPr>
              <w:t>41 920</w:t>
            </w:r>
          </w:p>
        </w:tc>
        <w:tc>
          <w:tcPr>
            <w:tcW w:w="868" w:type="dxa"/>
            <w:vAlign w:val="center"/>
          </w:tcPr>
          <w:p>
            <w:pPr>
              <w:spacing w:before="60" w:after="60"/>
              <w:jc w:val="right"/>
              <w:rPr>
                <w:noProof/>
                <w:sz w:val="20"/>
              </w:rPr>
            </w:pPr>
            <w:r>
              <w:rPr>
                <w:noProof/>
                <w:sz w:val="20"/>
                <w:szCs w:val="20"/>
              </w:rPr>
              <w:t>25 200</w:t>
            </w:r>
          </w:p>
        </w:tc>
        <w:tc>
          <w:tcPr>
            <w:tcW w:w="868" w:type="dxa"/>
            <w:vAlign w:val="center"/>
          </w:tcPr>
          <w:p>
            <w:pPr>
              <w:spacing w:before="60" w:after="60"/>
              <w:jc w:val="right"/>
              <w:rPr>
                <w:noProof/>
                <w:sz w:val="20"/>
              </w:rPr>
            </w:pPr>
            <w:r>
              <w:rPr>
                <w:noProof/>
                <w:sz w:val="20"/>
                <w:szCs w:val="20"/>
              </w:rPr>
              <w:t>0 000</w:t>
            </w:r>
          </w:p>
        </w:tc>
        <w:tc>
          <w:tcPr>
            <w:tcW w:w="868" w:type="dxa"/>
            <w:vAlign w:val="center"/>
          </w:tcPr>
          <w:p>
            <w:pPr>
              <w:spacing w:before="60" w:after="60"/>
              <w:jc w:val="right"/>
              <w:rPr>
                <w:noProof/>
                <w:sz w:val="20"/>
              </w:rPr>
            </w:pPr>
            <w:r>
              <w:rPr>
                <w:noProof/>
                <w:sz w:val="20"/>
                <w:szCs w:val="20"/>
              </w:rPr>
              <w:t>-33 560</w:t>
            </w:r>
          </w:p>
        </w:tc>
        <w:tc>
          <w:tcPr>
            <w:tcW w:w="1147" w:type="dxa"/>
            <w:vAlign w:val="center"/>
          </w:tcPr>
          <w:p>
            <w:pPr>
              <w:spacing w:before="60" w:after="60"/>
              <w:jc w:val="right"/>
              <w:rPr>
                <w:b/>
                <w:noProof/>
                <w:sz w:val="20"/>
              </w:rPr>
            </w:pPr>
            <w:r>
              <w:rPr>
                <w:noProof/>
                <w:sz w:val="20"/>
                <w:szCs w:val="20"/>
              </w:rPr>
              <w:t>-33 560</w:t>
            </w:r>
          </w:p>
        </w:tc>
        <w:tc>
          <w:tcPr>
            <w:tcW w:w="1777" w:type="dxa"/>
            <w:vAlign w:val="center"/>
          </w:tcPr>
          <w:p>
            <w:pPr>
              <w:spacing w:before="60" w:after="60"/>
              <w:jc w:val="right"/>
              <w:rPr>
                <w:b/>
                <w:noProof/>
                <w:sz w:val="20"/>
              </w:rPr>
            </w:pPr>
            <w:r>
              <w:rPr>
                <w:b/>
                <w:noProof/>
                <w:sz w:val="20"/>
              </w:rPr>
              <w:t>0,00</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Anslåede virkninger for aktionsbevillingerne </w:t>
      </w:r>
    </w:p>
    <w:p>
      <w:pPr>
        <w:pStyle w:val="ListDash1"/>
        <w:rPr>
          <w:noProof/>
        </w:rPr>
      </w:pPr>
      <w:r>
        <w:rPr>
          <w:noProof/>
        </w:rPr>
        <w:sym w:font="Wingdings" w:char="F0A8"/>
      </w:r>
      <w:r>
        <w:rPr>
          <w:noProof/>
        </w:rPr>
        <w:tab/>
        <w:t xml:space="preserve">Forslaget/initiativet medfører ikke anvendelse af aktionsbevillinger </w:t>
      </w:r>
    </w:p>
    <w:p>
      <w:pPr>
        <w:pStyle w:val="ListDash1"/>
        <w:rPr>
          <w:noProof/>
        </w:rPr>
      </w:pPr>
      <w:r>
        <w:rPr>
          <w:noProof/>
        </w:rPr>
        <w:sym w:font="Wingdings" w:char="F078"/>
      </w:r>
      <w:r>
        <w:rPr>
          <w:noProof/>
        </w:rPr>
        <w:tab/>
        <w:t>Forslaget/initiativet medfører anvendelse af aktionsbevillinger som anført herunder:</w:t>
      </w:r>
    </w:p>
    <w:p>
      <w:pPr>
        <w:jc w:val="right"/>
        <w:rPr>
          <w:noProof/>
          <w:sz w:val="20"/>
        </w:rPr>
      </w:pPr>
      <w:r>
        <w:rPr>
          <w:noProof/>
          <w:sz w:val="20"/>
        </w:rPr>
        <w:t>Forpligtelsesbevillinger i mio. EUR (tre decimaler)</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Der angives mål og resultater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År</w:t>
            </w:r>
            <w:r>
              <w:rPr>
                <w:noProof/>
              </w:rPr>
              <w:br/>
            </w:r>
            <w:r>
              <w:rPr>
                <w:b/>
                <w:noProof/>
                <w:sz w:val="18"/>
              </w:rPr>
              <w:t>n</w:t>
            </w:r>
          </w:p>
        </w:tc>
        <w:tc>
          <w:tcPr>
            <w:tcW w:w="1260" w:type="dxa"/>
            <w:gridSpan w:val="2"/>
            <w:vAlign w:val="center"/>
          </w:tcPr>
          <w:p>
            <w:pPr>
              <w:ind w:right="-29"/>
              <w:jc w:val="center"/>
              <w:rPr>
                <w:noProof/>
                <w:sz w:val="18"/>
                <w:szCs w:val="18"/>
              </w:rPr>
            </w:pPr>
            <w:r>
              <w:rPr>
                <w:noProof/>
                <w:sz w:val="18"/>
              </w:rPr>
              <w:t>År</w:t>
            </w:r>
            <w:r>
              <w:rPr>
                <w:noProof/>
              </w:rPr>
              <w:br/>
            </w:r>
            <w:r>
              <w:rPr>
                <w:b/>
                <w:noProof/>
                <w:sz w:val="18"/>
              </w:rPr>
              <w:t>n + 1</w:t>
            </w:r>
          </w:p>
        </w:tc>
        <w:tc>
          <w:tcPr>
            <w:tcW w:w="1440" w:type="dxa"/>
            <w:gridSpan w:val="2"/>
            <w:vAlign w:val="center"/>
          </w:tcPr>
          <w:p>
            <w:pPr>
              <w:ind w:right="-29"/>
              <w:jc w:val="center"/>
              <w:rPr>
                <w:noProof/>
                <w:sz w:val="18"/>
                <w:szCs w:val="18"/>
              </w:rPr>
            </w:pPr>
            <w:r>
              <w:rPr>
                <w:noProof/>
                <w:sz w:val="18"/>
              </w:rPr>
              <w:t>År</w:t>
            </w:r>
            <w:r>
              <w:rPr>
                <w:noProof/>
              </w:rPr>
              <w:br/>
            </w:r>
            <w:r>
              <w:rPr>
                <w:b/>
                <w:noProof/>
                <w:sz w:val="18"/>
              </w:rPr>
              <w:t>n + 2</w:t>
            </w:r>
          </w:p>
        </w:tc>
        <w:tc>
          <w:tcPr>
            <w:tcW w:w="1620" w:type="dxa"/>
            <w:gridSpan w:val="3"/>
            <w:vAlign w:val="center"/>
          </w:tcPr>
          <w:p>
            <w:pPr>
              <w:ind w:right="-29"/>
              <w:jc w:val="center"/>
              <w:rPr>
                <w:noProof/>
                <w:sz w:val="18"/>
                <w:szCs w:val="18"/>
              </w:rPr>
            </w:pPr>
            <w:r>
              <w:rPr>
                <w:noProof/>
                <w:sz w:val="18"/>
              </w:rPr>
              <w:t>År</w:t>
            </w:r>
            <w:r>
              <w:rPr>
                <w:noProof/>
              </w:rPr>
              <w:br/>
            </w:r>
            <w:r>
              <w:rPr>
                <w:b/>
                <w:noProof/>
                <w:sz w:val="18"/>
              </w:rPr>
              <w:t>n + 3</w:t>
            </w:r>
          </w:p>
        </w:tc>
        <w:tc>
          <w:tcPr>
            <w:tcW w:w="3600" w:type="dxa"/>
            <w:gridSpan w:val="6"/>
            <w:vAlign w:val="center"/>
          </w:tcPr>
          <w:p>
            <w:pPr>
              <w:jc w:val="center"/>
              <w:rPr>
                <w:noProof/>
                <w:sz w:val="18"/>
                <w:szCs w:val="18"/>
              </w:rPr>
            </w:pPr>
            <w:r>
              <w:rPr>
                <w:noProof/>
                <w:sz w:val="18"/>
              </w:rPr>
              <w:t>Der indsættes flere år, hvis virkningerne varer længere (jf. punkt 1.6)</w:t>
            </w:r>
          </w:p>
        </w:tc>
        <w:tc>
          <w:tcPr>
            <w:tcW w:w="1620" w:type="dxa"/>
            <w:gridSpan w:val="2"/>
            <w:tcBorders>
              <w:left w:val="nil"/>
              <w:bottom w:val="nil"/>
            </w:tcBorders>
            <w:vAlign w:val="center"/>
          </w:tcPr>
          <w:p>
            <w:pPr>
              <w:ind w:right="-29"/>
              <w:jc w:val="center"/>
              <w:rPr>
                <w:noProof/>
                <w:sz w:val="18"/>
                <w:szCs w:val="18"/>
              </w:rPr>
            </w:pPr>
            <w:r>
              <w:rPr>
                <w:b/>
                <w:noProof/>
                <w:sz w:val="18"/>
              </w:rPr>
              <w:t>I ALT</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RESULTATER</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Type</w:t>
            </w:r>
            <w:r>
              <w:rPr>
                <w:rStyle w:val="FootnoteReference"/>
                <w:noProof/>
                <w:sz w:val="18"/>
              </w:rPr>
              <w:footnoteReference w:id="11"/>
            </w:r>
          </w:p>
          <w:p>
            <w:pPr>
              <w:spacing w:before="0" w:after="0"/>
              <w:jc w:val="center"/>
              <w:rPr>
                <w:noProof/>
                <w:sz w:val="18"/>
                <w:szCs w:val="18"/>
              </w:rPr>
            </w:pPr>
          </w:p>
        </w:tc>
        <w:tc>
          <w:tcPr>
            <w:tcW w:w="701" w:type="dxa"/>
            <w:vAlign w:val="center"/>
          </w:tcPr>
          <w:p>
            <w:pPr>
              <w:jc w:val="center"/>
              <w:rPr>
                <w:noProof/>
                <w:sz w:val="18"/>
                <w:szCs w:val="18"/>
              </w:rPr>
            </w:pPr>
            <w:r>
              <w:rPr>
                <w:noProof/>
                <w:sz w:val="18"/>
              </w:rPr>
              <w:t>Resultaternes gennemsnitlige omkostninger</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Omkostninger</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Omkostninger</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Omkostninger</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Omkostninger</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648" w:type="dxa"/>
            <w:tcBorders>
              <w:left w:val="dashSmallGap" w:sz="4" w:space="0" w:color="auto"/>
            </w:tcBorders>
            <w:shd w:val="pct10" w:color="auto" w:fill="auto"/>
            <w:vAlign w:val="center"/>
          </w:tcPr>
          <w:p>
            <w:pPr>
              <w:jc w:val="center"/>
              <w:rPr>
                <w:noProof/>
                <w:sz w:val="18"/>
                <w:szCs w:val="18"/>
              </w:rPr>
            </w:pPr>
            <w:r>
              <w:rPr>
                <w:noProof/>
                <w:sz w:val="18"/>
              </w:rPr>
              <w:t>Omkostninger</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Omkostninger</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Omkostninger</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Antal resultater i alt</w:t>
            </w:r>
          </w:p>
        </w:tc>
        <w:tc>
          <w:tcPr>
            <w:tcW w:w="900" w:type="dxa"/>
            <w:tcBorders>
              <w:left w:val="dashSmallGap" w:sz="4" w:space="0" w:color="auto"/>
            </w:tcBorders>
            <w:shd w:val="pct10" w:color="auto" w:fill="auto"/>
            <w:vAlign w:val="center"/>
          </w:tcPr>
          <w:p>
            <w:pPr>
              <w:jc w:val="center"/>
              <w:rPr>
                <w:noProof/>
                <w:sz w:val="18"/>
                <w:szCs w:val="18"/>
              </w:rPr>
            </w:pPr>
            <w:r>
              <w:rPr>
                <w:noProof/>
                <w:sz w:val="18"/>
              </w:rPr>
              <w:t>Omkostninger i alt</w:t>
            </w:r>
          </w:p>
        </w:tc>
      </w:tr>
      <w:tr>
        <w:trPr>
          <w:jc w:val="center"/>
        </w:trPr>
        <w:tc>
          <w:tcPr>
            <w:tcW w:w="2844" w:type="dxa"/>
            <w:gridSpan w:val="3"/>
            <w:vAlign w:val="center"/>
          </w:tcPr>
          <w:p>
            <w:pPr>
              <w:spacing w:before="60" w:after="60"/>
              <w:ind w:right="-29"/>
              <w:jc w:val="center"/>
              <w:rPr>
                <w:noProof/>
                <w:sz w:val="18"/>
                <w:szCs w:val="18"/>
              </w:rPr>
            </w:pPr>
            <w:r>
              <w:rPr>
                <w:noProof/>
                <w:sz w:val="18"/>
              </w:rPr>
              <w:t>SPECIFIKT MÅL NR. 1</w:t>
            </w:r>
            <w:r>
              <w:rPr>
                <w:rStyle w:val="FootnoteReference"/>
                <w:noProof/>
                <w:sz w:val="18"/>
              </w:rPr>
              <w:footnoteReference w:id="12"/>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Subtotal for specifikt mål nr.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SPECIFIKT MÅL NR.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Subtotal for specifikt mål nr.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OMKOSTNINGER I ALT</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Anslåede virkninger for administrationsbevillingerne</w:t>
      </w:r>
    </w:p>
    <w:p>
      <w:pPr>
        <w:pStyle w:val="ManualHeading4"/>
        <w:rPr>
          <w:noProof/>
        </w:rPr>
      </w:pPr>
      <w:r>
        <w:rPr>
          <w:noProof/>
        </w:rPr>
        <w:t>3.2.3.1.</w:t>
      </w:r>
      <w:r>
        <w:rPr>
          <w:noProof/>
        </w:rPr>
        <w:tab/>
        <w:t xml:space="preserve">Resumé </w:t>
      </w:r>
    </w:p>
    <w:p>
      <w:pPr>
        <w:pStyle w:val="ListDash1"/>
        <w:rPr>
          <w:noProof/>
        </w:rPr>
      </w:pPr>
      <w:r>
        <w:rPr>
          <w:noProof/>
        </w:rPr>
        <w:sym w:font="Wingdings" w:char="F078"/>
      </w:r>
      <w:r>
        <w:rPr>
          <w:noProof/>
        </w:rPr>
        <w:tab/>
        <w:t xml:space="preserve">Forslaget/initiativet medfører ikke anvendelse af administrationsbevillinger </w:t>
      </w:r>
    </w:p>
    <w:p>
      <w:pPr>
        <w:pStyle w:val="ListDash1"/>
        <w:rPr>
          <w:noProof/>
        </w:rPr>
      </w:pPr>
      <w:r>
        <w:rPr>
          <w:noProof/>
        </w:rPr>
        <w:sym w:font="Wingdings" w:char="F0A8"/>
      </w:r>
      <w:r>
        <w:rPr>
          <w:noProof/>
        </w:rPr>
        <w:tab/>
        <w:t>Forslaget/initiativet medfører anvendelse af administrationsbevillinger som anført herunder:</w:t>
      </w:r>
    </w:p>
    <w:p>
      <w:pPr>
        <w:rPr>
          <w:noProof/>
          <w:sz w:val="20"/>
        </w:rPr>
      </w:pPr>
      <w:r>
        <w:rPr>
          <w:noProof/>
          <w:sz w:val="20"/>
        </w:rPr>
        <w:t>i mio. EUR (tre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År</w:t>
            </w:r>
            <w:r>
              <w:rPr>
                <w:noProof/>
              </w:rPr>
              <w:br/>
            </w:r>
            <w:r>
              <w:rPr>
                <w:b/>
                <w:noProof/>
                <w:sz w:val="16"/>
              </w:rPr>
              <w:t xml:space="preserve">n </w:t>
            </w:r>
            <w:r>
              <w:rPr>
                <w:rStyle w:val="FootnoteReference"/>
                <w:b/>
                <w:noProof/>
                <w:sz w:val="16"/>
              </w:rPr>
              <w:footnoteReference w:id="13"/>
            </w:r>
          </w:p>
        </w:tc>
        <w:tc>
          <w:tcPr>
            <w:tcW w:w="1080" w:type="dxa"/>
            <w:vAlign w:val="center"/>
          </w:tcPr>
          <w:p>
            <w:pPr>
              <w:spacing w:before="60" w:after="60" w:line="200" w:lineRule="exact"/>
              <w:jc w:val="center"/>
              <w:rPr>
                <w:noProof/>
                <w:sz w:val="16"/>
                <w:szCs w:val="16"/>
              </w:rPr>
            </w:pPr>
            <w:r>
              <w:rPr>
                <w:noProof/>
                <w:sz w:val="16"/>
              </w:rPr>
              <w:t>År</w:t>
            </w:r>
            <w:r>
              <w:rPr>
                <w:noProof/>
              </w:rPr>
              <w:br/>
            </w:r>
            <w:r>
              <w:rPr>
                <w:b/>
                <w:noProof/>
                <w:sz w:val="16"/>
              </w:rPr>
              <w:t>n + 1</w:t>
            </w:r>
          </w:p>
        </w:tc>
        <w:tc>
          <w:tcPr>
            <w:tcW w:w="1080" w:type="dxa"/>
            <w:vAlign w:val="center"/>
          </w:tcPr>
          <w:p>
            <w:pPr>
              <w:spacing w:before="60" w:after="60" w:line="200" w:lineRule="exact"/>
              <w:jc w:val="center"/>
              <w:rPr>
                <w:noProof/>
                <w:sz w:val="16"/>
                <w:szCs w:val="16"/>
              </w:rPr>
            </w:pPr>
            <w:r>
              <w:rPr>
                <w:noProof/>
                <w:sz w:val="16"/>
              </w:rPr>
              <w:t>År</w:t>
            </w:r>
            <w:r>
              <w:rPr>
                <w:noProof/>
              </w:rPr>
              <w:br/>
            </w:r>
            <w:r>
              <w:rPr>
                <w:b/>
                <w:noProof/>
                <w:sz w:val="16"/>
              </w:rPr>
              <w:t>n + 2</w:t>
            </w:r>
          </w:p>
        </w:tc>
        <w:tc>
          <w:tcPr>
            <w:tcW w:w="1080" w:type="dxa"/>
            <w:vAlign w:val="center"/>
          </w:tcPr>
          <w:p>
            <w:pPr>
              <w:spacing w:before="60" w:after="60" w:line="200" w:lineRule="exact"/>
              <w:jc w:val="center"/>
              <w:rPr>
                <w:noProof/>
                <w:sz w:val="16"/>
                <w:szCs w:val="16"/>
              </w:rPr>
            </w:pPr>
            <w:r>
              <w:rPr>
                <w:noProof/>
                <w:sz w:val="16"/>
              </w:rPr>
              <w:t>År</w:t>
            </w:r>
            <w:r>
              <w:rPr>
                <w:noProof/>
              </w:rPr>
              <w:br/>
            </w:r>
            <w:r>
              <w:rPr>
                <w:b/>
                <w:noProof/>
                <w:sz w:val="16"/>
              </w:rPr>
              <w:t>n + 3</w:t>
            </w:r>
          </w:p>
        </w:tc>
        <w:tc>
          <w:tcPr>
            <w:tcW w:w="3240" w:type="dxa"/>
            <w:vAlign w:val="center"/>
          </w:tcPr>
          <w:p>
            <w:pPr>
              <w:spacing w:line="200" w:lineRule="exact"/>
              <w:jc w:val="center"/>
              <w:rPr>
                <w:b/>
                <w:noProof/>
                <w:sz w:val="16"/>
                <w:szCs w:val="16"/>
              </w:rPr>
            </w:pPr>
            <w:r>
              <w:rPr>
                <w:noProof/>
                <w:sz w:val="16"/>
              </w:rPr>
              <w:t>Der indsættes flere år, hvis virkningerne varer længere (jf. punkt 1.6)</w:t>
            </w:r>
          </w:p>
        </w:tc>
        <w:tc>
          <w:tcPr>
            <w:tcW w:w="1080" w:type="dxa"/>
            <w:vAlign w:val="center"/>
          </w:tcPr>
          <w:p>
            <w:pPr>
              <w:spacing w:before="60" w:after="60" w:line="200" w:lineRule="exact"/>
              <w:jc w:val="center"/>
              <w:rPr>
                <w:b/>
                <w:noProof/>
                <w:sz w:val="16"/>
                <w:szCs w:val="16"/>
              </w:rPr>
            </w:pPr>
            <w:r>
              <w:rPr>
                <w:b/>
                <w:noProof/>
                <w:sz w:val="16"/>
              </w:rPr>
              <w:t>I ALT</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UDGIFTSOMRÅDE 5</w:t>
            </w:r>
            <w:r>
              <w:rPr>
                <w:noProof/>
              </w:rPr>
              <w:br/>
            </w:r>
            <w:r>
              <w:rPr>
                <w:b/>
                <w:noProof/>
                <w:sz w:val="16"/>
              </w:rPr>
              <w:t>i den flerårige finansielle ramme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Menneskelige ressourcer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Andre administrationsudgifter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UDGIFTSOMRÅDE 5</w:t>
            </w:r>
            <w:r>
              <w:rPr>
                <w:noProof/>
              </w:rPr>
              <w:br/>
            </w:r>
            <w:r>
              <w:rPr>
                <w:b/>
                <w:noProof/>
                <w:sz w:val="16"/>
              </w:rPr>
              <w:t xml:space="preserve">i den flerårige finansielle ramme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Uden for UDGIFTSOMRÅDE 5</w:t>
            </w:r>
            <w:r>
              <w:rPr>
                <w:rStyle w:val="FootnoteReference"/>
                <w:b/>
                <w:noProof/>
                <w:sz w:val="16"/>
              </w:rPr>
              <w:footnoteReference w:id="14"/>
            </w:r>
            <w:r>
              <w:rPr>
                <w:noProof/>
              </w:rPr>
              <w:br/>
            </w:r>
            <w:r>
              <w:rPr>
                <w:b/>
                <w:noProof/>
                <w:sz w:val="16"/>
                <w:szCs w:val="16"/>
              </w:rPr>
              <w:t>i den flerårige finansielle ramme</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Menneskelige ressourcer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Andre udgifter </w:t>
            </w:r>
            <w:r>
              <w:rPr>
                <w:noProof/>
              </w:rPr>
              <w:br/>
            </w:r>
            <w:r>
              <w:rPr>
                <w:noProof/>
                <w:sz w:val="16"/>
              </w:rPr>
              <w:t>af administrativ art</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rPr>
              <w:br/>
            </w:r>
            <w:r>
              <w:rPr>
                <w:b/>
                <w:noProof/>
                <w:sz w:val="16"/>
              </w:rPr>
              <w:t>uden for UDGIFTSOMRÅDE 5</w:t>
            </w:r>
            <w:r>
              <w:rPr>
                <w:noProof/>
              </w:rPr>
              <w:br/>
            </w:r>
            <w:r>
              <w:rPr>
                <w:b/>
                <w:noProof/>
                <w:sz w:val="16"/>
              </w:rPr>
              <w:t xml:space="preserve">i den flerårige finansielle ramme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 ALT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Bevillingerne til menneskelige ressourcer og andre administrationsudgifter vil blive dækket ved hjælp af de bevillinger, der i forvejen er afsat til generaldirektoratets forvaltning af aktionen, og/eller ved intern omfordeling i generaldirektoratet, eventuelt suppleret med yderligere bevillinger, som tildeles det ansvarlige generaldirektorat i forbindelse med den årlige tildelingsprocedure under hensyntagen til de budgetmæssige begrænsninger.</w:t>
      </w:r>
      <w:r>
        <w:rPr>
          <w:noProof/>
          <w:sz w:val="18"/>
        </w:rPr>
        <w:tab/>
      </w:r>
    </w:p>
    <w:p>
      <w:pPr>
        <w:pStyle w:val="ManualHeading4"/>
        <w:rPr>
          <w:bCs/>
          <w:noProof/>
          <w:szCs w:val="24"/>
        </w:rPr>
      </w:pPr>
      <w:r>
        <w:rPr>
          <w:noProof/>
        </w:rPr>
        <w:t>3.2.3.2.</w:t>
      </w:r>
      <w:r>
        <w:rPr>
          <w:noProof/>
        </w:rPr>
        <w:tab/>
        <w:t>Anslået behov for menneskelige ressourcer</w:t>
      </w:r>
    </w:p>
    <w:p>
      <w:pPr>
        <w:pStyle w:val="ListDash1"/>
        <w:rPr>
          <w:noProof/>
        </w:rPr>
      </w:pPr>
      <w:r>
        <w:rPr>
          <w:noProof/>
        </w:rPr>
        <w:sym w:font="Wingdings" w:char="F078"/>
      </w:r>
      <w:r>
        <w:rPr>
          <w:noProof/>
        </w:rPr>
        <w:tab/>
        <w:t xml:space="preserve">Forslaget/initiativet medfører ikke anvendelse af menneskelige ressourcer </w:t>
      </w:r>
    </w:p>
    <w:p>
      <w:pPr>
        <w:pStyle w:val="ListDash1"/>
        <w:rPr>
          <w:noProof/>
        </w:rPr>
      </w:pPr>
      <w:r>
        <w:rPr>
          <w:noProof/>
        </w:rPr>
        <w:sym w:font="Wingdings" w:char="F0A8"/>
      </w:r>
      <w:r>
        <w:rPr>
          <w:noProof/>
        </w:rPr>
        <w:tab/>
        <w:t>Forslaget/initiativet medfører anvendelse af menneskelige ressourcer som anført herunder:</w:t>
      </w:r>
    </w:p>
    <w:p>
      <w:pPr>
        <w:spacing w:after="60"/>
        <w:jc w:val="right"/>
        <w:rPr>
          <w:i/>
          <w:noProof/>
          <w:sz w:val="20"/>
        </w:rPr>
      </w:pPr>
      <w:r>
        <w:rPr>
          <w:i/>
          <w:noProof/>
          <w:sz w:val="20"/>
        </w:rPr>
        <w:t>Overslag angives i årsværk</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År</w:t>
            </w:r>
            <w:r>
              <w:rPr>
                <w:noProof/>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År</w:t>
            </w:r>
            <w:r>
              <w:rPr>
                <w:noProof/>
              </w:rPr>
              <w:br/>
            </w:r>
            <w:r>
              <w:rPr>
                <w:b/>
                <w:noProof/>
                <w:sz w:val="16"/>
              </w:rPr>
              <w:t>n + 1</w:t>
            </w:r>
          </w:p>
        </w:tc>
        <w:tc>
          <w:tcPr>
            <w:tcW w:w="1891" w:type="pct"/>
            <w:shd w:val="clear" w:color="auto" w:fill="auto"/>
            <w:vAlign w:val="center"/>
          </w:tcPr>
          <w:p>
            <w:pPr>
              <w:spacing w:before="20" w:after="20"/>
              <w:jc w:val="center"/>
              <w:rPr>
                <w:noProof/>
                <w:sz w:val="16"/>
                <w:szCs w:val="16"/>
              </w:rPr>
            </w:pPr>
            <w:r>
              <w:rPr>
                <w:noProof/>
                <w:sz w:val="16"/>
                <w:szCs w:val="16"/>
              </w:rPr>
              <w:t xml:space="preserve">År </w:t>
            </w:r>
            <w:r>
              <w:rPr>
                <w:b/>
                <w:noProof/>
                <w:sz w:val="16"/>
                <w:szCs w:val="16"/>
              </w:rPr>
              <w:t>n + 2</w:t>
            </w:r>
          </w:p>
        </w:tc>
        <w:tc>
          <w:tcPr>
            <w:tcW w:w="226" w:type="pct"/>
            <w:shd w:val="clear" w:color="auto" w:fill="auto"/>
            <w:vAlign w:val="center"/>
          </w:tcPr>
          <w:p>
            <w:pPr>
              <w:spacing w:before="20" w:after="20"/>
              <w:jc w:val="center"/>
              <w:rPr>
                <w:noProof/>
                <w:sz w:val="16"/>
                <w:szCs w:val="16"/>
              </w:rPr>
            </w:pPr>
            <w:r>
              <w:rPr>
                <w:noProof/>
                <w:sz w:val="16"/>
                <w:szCs w:val="16"/>
              </w:rPr>
              <w:t xml:space="preserve">År </w:t>
            </w:r>
            <w:r>
              <w:rPr>
                <w:b/>
                <w:noProof/>
                <w:sz w:val="16"/>
                <w:szCs w:val="16"/>
              </w:rPr>
              <w:t>n + 3</w:t>
            </w:r>
          </w:p>
        </w:tc>
        <w:tc>
          <w:tcPr>
            <w:tcW w:w="345" w:type="pct"/>
            <w:gridSpan w:val="3"/>
            <w:shd w:val="clear" w:color="auto" w:fill="auto"/>
            <w:vAlign w:val="center"/>
          </w:tcPr>
          <w:p>
            <w:pPr>
              <w:jc w:val="center"/>
              <w:rPr>
                <w:b/>
                <w:noProof/>
                <w:sz w:val="16"/>
                <w:szCs w:val="16"/>
              </w:rPr>
            </w:pPr>
            <w:r>
              <w:rPr>
                <w:noProof/>
                <w:sz w:val="16"/>
              </w:rPr>
              <w:t>Der indsættes flere år, hvis virkningerne varer længere (jf. punkt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 xml:space="preserve"> Stillinger i stillingsfortegnelsen (tjenestemænd og midlertidigt ansatte)</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(i hovedsædet og i Kommissionens repræsentationskontorer)</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(i delegationer)</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(indirekte forskning)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(direkte forskning)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Eksternt personale (i årsværk)</w:t>
            </w:r>
            <w:r>
              <w:rPr>
                <w:rStyle w:val="FootnoteReference"/>
                <w:b/>
                <w:noProof/>
                <w:sz w:val="16"/>
              </w:rPr>
              <w:footnoteReference w:id="15"/>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(KA, UNE, V under den samlede bevillingsramme)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(KA, LA, UNE, V og JED i delegationerne)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16"/>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i hovedsædet</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i delegationer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(KA, UNE, V – indirekte forskning)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(KA, UNE, V – direkte forskning)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Andre budgetposter (skal angives)</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I ALT</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szCs w:val="18"/>
        </w:rPr>
        <w:t>XX</w:t>
      </w:r>
      <w:r>
        <w:rPr>
          <w:noProof/>
          <w:sz w:val="18"/>
          <w:szCs w:val="18"/>
        </w:rPr>
        <w:t xml:space="preserve"> angiver det berørte politikområde eller budgetafsnit.</w:t>
      </w:r>
    </w:p>
    <w:p>
      <w:pPr>
        <w:pStyle w:val="Text1"/>
        <w:rPr>
          <w:noProof/>
          <w:sz w:val="18"/>
          <w:szCs w:val="18"/>
        </w:rPr>
      </w:pPr>
      <w:r>
        <w:rPr>
          <w:noProof/>
          <w:sz w:val="18"/>
        </w:rPr>
        <w:t>Personalebehovet vil blive dækket ved hjælp af det personale, som generaldirektoratet allerede har afsat til aktionen, og/eller interne rokader i generaldirektoratet, eventuelt suppleret med yderligere bevillinger, som tildeles det ansvarlige generaldirektorat i forbindelse med den årlige tildelingsprocedure under hensyntagen til de budgetmæssige begrænsninger.</w:t>
      </w:r>
    </w:p>
    <w:p>
      <w:pPr>
        <w:rPr>
          <w:noProof/>
          <w:sz w:val="20"/>
        </w:rPr>
      </w:pPr>
      <w:r>
        <w:rPr>
          <w:noProof/>
          <w:sz w:val="20"/>
        </w:rPr>
        <w:t>Opgavebeskrivelse: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Tjenestemænd og midlertidigt ansatte</w:t>
            </w:r>
          </w:p>
        </w:tc>
        <w:tc>
          <w:tcPr>
            <w:tcW w:w="7200" w:type="dxa"/>
          </w:tcPr>
          <w:p>
            <w:pPr>
              <w:rPr>
                <w:noProof/>
                <w:sz w:val="20"/>
              </w:rPr>
            </w:pPr>
          </w:p>
        </w:tc>
      </w:tr>
      <w:tr>
        <w:tc>
          <w:tcPr>
            <w:tcW w:w="3240" w:type="dxa"/>
          </w:tcPr>
          <w:p>
            <w:pPr>
              <w:spacing w:before="60" w:after="60"/>
              <w:rPr>
                <w:noProof/>
                <w:sz w:val="20"/>
              </w:rPr>
            </w:pPr>
            <w:r>
              <w:rPr>
                <w:noProof/>
                <w:sz w:val="20"/>
              </w:rPr>
              <w:t>Eksternt personale</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Forenelighed med indeværende flerårige finansielle ramme </w:t>
      </w:r>
    </w:p>
    <w:p>
      <w:pPr>
        <w:pStyle w:val="ListDash1"/>
        <w:rPr>
          <w:noProof/>
        </w:rPr>
      </w:pPr>
      <w:r>
        <w:rPr>
          <w:noProof/>
        </w:rPr>
        <w:sym w:font="Wingdings" w:char="F078"/>
      </w:r>
      <w:r>
        <w:rPr>
          <w:noProof/>
        </w:rPr>
        <w:tab/>
        <w:t>Forslaget/initiativet er foreneligt med indeværende flerårige finansielle ramme</w:t>
      </w:r>
    </w:p>
    <w:p>
      <w:pPr>
        <w:pStyle w:val="ListDash1"/>
        <w:rPr>
          <w:noProof/>
        </w:rPr>
      </w:pPr>
      <w:r>
        <w:rPr>
          <w:noProof/>
        </w:rPr>
        <w:sym w:font="Wingdings" w:char="F0A8"/>
      </w:r>
      <w:r>
        <w:rPr>
          <w:noProof/>
        </w:rPr>
        <w:tab/>
        <w:t>Forslaget/initiativet kræver omlægning af det relevante udgiftsområde i den flerårige finansielle ramme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omlægningen med angivelse af de berørte budgetposter og beløbenes størrelse</w:t>
      </w:r>
    </w:p>
    <w:p>
      <w:pPr>
        <w:pStyle w:val="ListDash1"/>
        <w:rPr>
          <w:noProof/>
        </w:rPr>
      </w:pPr>
      <w:r>
        <w:rPr>
          <w:noProof/>
        </w:rPr>
        <w:sym w:font="Wingdings" w:char="F0A8"/>
      </w:r>
      <w:r>
        <w:rPr>
          <w:noProof/>
        </w:rPr>
        <w:tab/>
        <w:t>Forslaget/initiativet kræver, at fleksibilitetsinstrumentet anvendes, eller at den flerårige finansielle ramme revideres</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behovet med angivelse af de berørte udgiftsområder og budgetposter og beløbenes størrelse</w:t>
      </w:r>
    </w:p>
    <w:p>
      <w:pPr>
        <w:pStyle w:val="ManualHeading3"/>
        <w:rPr>
          <w:bCs/>
          <w:noProof/>
          <w:szCs w:val="24"/>
        </w:rPr>
      </w:pPr>
      <w:r>
        <w:rPr>
          <w:noProof/>
        </w:rPr>
        <w:t>3.2.5.</w:t>
      </w:r>
      <w:r>
        <w:rPr>
          <w:noProof/>
        </w:rPr>
        <w:tab/>
        <w:t xml:space="preserve">Tredjemands bidrag til finansieringen </w:t>
      </w:r>
    </w:p>
    <w:p>
      <w:pPr>
        <w:pStyle w:val="ListDash1"/>
        <w:rPr>
          <w:noProof/>
        </w:rPr>
      </w:pPr>
      <w:r>
        <w:rPr>
          <w:noProof/>
        </w:rPr>
        <w:t xml:space="preserve">Forslaget/initiativet indeholder ikke bestemmelser om samfinansiering med tredjemand. </w:t>
      </w:r>
    </w:p>
    <w:p>
      <w:pPr>
        <w:pStyle w:val="ListDash1"/>
        <w:rPr>
          <w:noProof/>
        </w:rPr>
      </w:pPr>
      <w:r>
        <w:rPr>
          <w:noProof/>
        </w:rPr>
        <w:t>Forslaget/initiativet indeholder bestemmelser om samfinansiering, jf. følgende overslag:</w:t>
      </w:r>
    </w:p>
    <w:p>
      <w:pPr>
        <w:jc w:val="right"/>
        <w:rPr>
          <w:noProof/>
          <w:sz w:val="20"/>
        </w:rPr>
      </w:pPr>
      <w:r>
        <w:rPr>
          <w:noProof/>
          <w:sz w:val="20"/>
        </w:rPr>
        <w:t>Bevillinger i mio. EUR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År</w:t>
            </w:r>
            <w:r>
              <w:rPr>
                <w:noProof/>
              </w:rPr>
              <w:br/>
            </w:r>
            <w:r>
              <w:rPr>
                <w:b/>
                <w:noProof/>
                <w:sz w:val="20"/>
              </w:rPr>
              <w:t>n</w:t>
            </w:r>
          </w:p>
        </w:tc>
        <w:tc>
          <w:tcPr>
            <w:tcW w:w="964" w:type="dxa"/>
            <w:vAlign w:val="center"/>
          </w:tcPr>
          <w:p>
            <w:pPr>
              <w:jc w:val="center"/>
              <w:rPr>
                <w:noProof/>
                <w:sz w:val="20"/>
              </w:rPr>
            </w:pPr>
            <w:r>
              <w:rPr>
                <w:noProof/>
                <w:sz w:val="20"/>
              </w:rPr>
              <w:t>År</w:t>
            </w:r>
            <w:r>
              <w:rPr>
                <w:noProof/>
              </w:rPr>
              <w:br/>
            </w:r>
            <w:r>
              <w:rPr>
                <w:b/>
                <w:noProof/>
                <w:sz w:val="20"/>
              </w:rPr>
              <w:t>n + 1</w:t>
            </w:r>
          </w:p>
        </w:tc>
        <w:tc>
          <w:tcPr>
            <w:tcW w:w="964" w:type="dxa"/>
            <w:vAlign w:val="center"/>
          </w:tcPr>
          <w:p>
            <w:pPr>
              <w:jc w:val="center"/>
              <w:rPr>
                <w:noProof/>
                <w:sz w:val="20"/>
              </w:rPr>
            </w:pPr>
            <w:r>
              <w:rPr>
                <w:noProof/>
                <w:sz w:val="20"/>
              </w:rPr>
              <w:t>År</w:t>
            </w:r>
            <w:r>
              <w:rPr>
                <w:noProof/>
              </w:rPr>
              <w:br/>
            </w:r>
            <w:r>
              <w:rPr>
                <w:b/>
                <w:noProof/>
                <w:sz w:val="20"/>
              </w:rPr>
              <w:t>n + 2</w:t>
            </w:r>
          </w:p>
        </w:tc>
        <w:tc>
          <w:tcPr>
            <w:tcW w:w="964" w:type="dxa"/>
            <w:vAlign w:val="center"/>
          </w:tcPr>
          <w:p>
            <w:pPr>
              <w:jc w:val="center"/>
              <w:rPr>
                <w:noProof/>
                <w:sz w:val="20"/>
              </w:rPr>
            </w:pPr>
            <w:r>
              <w:rPr>
                <w:noProof/>
                <w:sz w:val="20"/>
              </w:rPr>
              <w:t>År</w:t>
            </w:r>
            <w:r>
              <w:rPr>
                <w:noProof/>
              </w:rPr>
              <w:br/>
            </w:r>
            <w:r>
              <w:rPr>
                <w:b/>
                <w:noProof/>
                <w:sz w:val="20"/>
              </w:rPr>
              <w:t>n + 3</w:t>
            </w:r>
          </w:p>
        </w:tc>
        <w:tc>
          <w:tcPr>
            <w:tcW w:w="2892" w:type="dxa"/>
            <w:gridSpan w:val="3"/>
            <w:vAlign w:val="center"/>
          </w:tcPr>
          <w:p>
            <w:pPr>
              <w:jc w:val="center"/>
              <w:rPr>
                <w:b/>
                <w:noProof/>
                <w:sz w:val="20"/>
              </w:rPr>
            </w:pPr>
            <w:r>
              <w:rPr>
                <w:noProof/>
                <w:sz w:val="20"/>
              </w:rPr>
              <w:t>Der indsættes flere år, hvis virkningerne varer længere (jf. punkt 1.6)</w:t>
            </w:r>
          </w:p>
        </w:tc>
        <w:tc>
          <w:tcPr>
            <w:tcW w:w="1158" w:type="dxa"/>
            <w:vAlign w:val="center"/>
          </w:tcPr>
          <w:p>
            <w:pPr>
              <w:spacing w:before="60" w:after="60"/>
              <w:jc w:val="center"/>
              <w:rPr>
                <w:noProof/>
                <w:sz w:val="20"/>
              </w:rPr>
            </w:pPr>
            <w:r>
              <w:rPr>
                <w:noProof/>
                <w:sz w:val="20"/>
              </w:rPr>
              <w:t>I alt</w:t>
            </w:r>
          </w:p>
        </w:tc>
      </w:tr>
      <w:tr>
        <w:trPr>
          <w:cantSplit/>
        </w:trPr>
        <w:tc>
          <w:tcPr>
            <w:tcW w:w="2340" w:type="dxa"/>
          </w:tcPr>
          <w:p>
            <w:pPr>
              <w:rPr>
                <w:noProof/>
              </w:rPr>
            </w:pPr>
            <w:r>
              <w:rPr>
                <w:noProof/>
                <w:sz w:val="20"/>
              </w:rPr>
              <w:t>Angiv organ, som deltager i samfinansieringen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Samfinansierede bevillinger I ALT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pStyle w:val="ManualHeading2"/>
        <w:rPr>
          <w:bCs/>
          <w:noProof/>
          <w:szCs w:val="24"/>
        </w:rPr>
      </w:pPr>
      <w:r>
        <w:rPr>
          <w:noProof/>
        </w:rPr>
        <w:t>3.3.</w:t>
      </w:r>
      <w:r>
        <w:rPr>
          <w:noProof/>
        </w:rPr>
        <w:tab/>
        <w:t xml:space="preserve">Anslåede virkninger for indtægterne </w:t>
      </w:r>
    </w:p>
    <w:p>
      <w:pPr>
        <w:pStyle w:val="ListDash1"/>
        <w:rPr>
          <w:noProof/>
        </w:rPr>
      </w:pPr>
      <w:r>
        <w:rPr>
          <w:noProof/>
        </w:rPr>
        <w:sym w:font="Wingdings" w:char="F078"/>
      </w:r>
      <w:r>
        <w:rPr>
          <w:noProof/>
        </w:rPr>
        <w:tab/>
        <w:t>Forslaget/initiativet har ingen finansielle virkninger for indtægterne</w:t>
      </w:r>
    </w:p>
    <w:p>
      <w:pPr>
        <w:pStyle w:val="ListDash1"/>
        <w:rPr>
          <w:noProof/>
        </w:rPr>
      </w:pPr>
      <w:r>
        <w:rPr>
          <w:noProof/>
        </w:rPr>
        <w:sym w:font="Wingdings" w:char="F0A8"/>
      </w:r>
      <w:r>
        <w:rPr>
          <w:noProof/>
        </w:rPr>
        <w:tab/>
        <w:t>Forslaget/initiativet har følgende finansielle virkninger:</w:t>
      </w:r>
    </w:p>
    <w:p>
      <w:pPr>
        <w:pStyle w:val="ListNumberLevel3"/>
        <w:tabs>
          <w:tab w:val="clear" w:pos="2126"/>
        </w:tabs>
        <w:rPr>
          <w:noProof/>
        </w:rPr>
      </w:pPr>
      <w:r>
        <w:rPr>
          <w:noProof/>
        </w:rPr>
        <w:sym w:font="Wingdings" w:char="F0A8"/>
      </w:r>
      <w:r>
        <w:rPr>
          <w:noProof/>
        </w:rPr>
        <w:tab/>
        <w:t xml:space="preserve">for egne indtægter </w:t>
      </w:r>
    </w:p>
    <w:p>
      <w:pPr>
        <w:pStyle w:val="ListNumberLevel3"/>
        <w:tabs>
          <w:tab w:val="clear" w:pos="2126"/>
        </w:tabs>
        <w:rPr>
          <w:noProof/>
        </w:rPr>
      </w:pPr>
      <w:r>
        <w:rPr>
          <w:noProof/>
        </w:rPr>
        <w:sym w:font="Wingdings" w:char="F0A8"/>
      </w:r>
      <w:r>
        <w:rPr>
          <w:noProof/>
        </w:rPr>
        <w:tab/>
        <w:t xml:space="preserve">for diverse indtægter </w:t>
      </w:r>
    </w:p>
    <w:p>
      <w:pPr>
        <w:jc w:val="right"/>
        <w:rPr>
          <w:i/>
          <w:noProof/>
          <w:sz w:val="20"/>
        </w:rPr>
      </w:pPr>
      <w:r>
        <w:rPr>
          <w:noProof/>
        </w:rPr>
        <w:t>i mio. EUR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Indtægtspost på budgettet</w:t>
            </w:r>
          </w:p>
        </w:tc>
        <w:tc>
          <w:tcPr>
            <w:tcW w:w="1276" w:type="dxa"/>
            <w:vMerge w:val="restart"/>
            <w:vAlign w:val="center"/>
          </w:tcPr>
          <w:p>
            <w:pPr>
              <w:jc w:val="center"/>
              <w:rPr>
                <w:noProof/>
                <w:sz w:val="18"/>
              </w:rPr>
            </w:pPr>
            <w:r>
              <w:rPr>
                <w:noProof/>
                <w:sz w:val="18"/>
              </w:rPr>
              <w:t>Bevillinger til rådighed i indeværende regnskabsår</w:t>
            </w:r>
          </w:p>
        </w:tc>
        <w:tc>
          <w:tcPr>
            <w:tcW w:w="7200" w:type="dxa"/>
            <w:gridSpan w:val="7"/>
            <w:vAlign w:val="center"/>
          </w:tcPr>
          <w:p>
            <w:pPr>
              <w:jc w:val="center"/>
              <w:rPr>
                <w:noProof/>
                <w:sz w:val="18"/>
              </w:rPr>
            </w:pPr>
            <w:r>
              <w:rPr>
                <w:noProof/>
                <w:sz w:val="18"/>
              </w:rPr>
              <w:t>Forslagets/initiativets virkninger</w:t>
            </w:r>
            <w:r>
              <w:rPr>
                <w:rStyle w:val="FootnoteReference"/>
                <w:noProof/>
                <w:sz w:val="18"/>
              </w:rPr>
              <w:footnoteReference w:id="17"/>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År</w:t>
            </w:r>
            <w:r>
              <w:rPr>
                <w:noProof/>
              </w:rPr>
              <w:br/>
            </w:r>
            <w:r>
              <w:rPr>
                <w:b/>
                <w:noProof/>
                <w:sz w:val="18"/>
              </w:rPr>
              <w:t>n</w:t>
            </w:r>
          </w:p>
        </w:tc>
        <w:tc>
          <w:tcPr>
            <w:tcW w:w="900" w:type="dxa"/>
            <w:vAlign w:val="center"/>
          </w:tcPr>
          <w:p>
            <w:pPr>
              <w:jc w:val="center"/>
              <w:rPr>
                <w:noProof/>
                <w:sz w:val="18"/>
              </w:rPr>
            </w:pPr>
            <w:r>
              <w:rPr>
                <w:noProof/>
                <w:sz w:val="18"/>
              </w:rPr>
              <w:t>År</w:t>
            </w:r>
            <w:r>
              <w:rPr>
                <w:noProof/>
              </w:rPr>
              <w:br/>
            </w:r>
            <w:r>
              <w:rPr>
                <w:b/>
                <w:noProof/>
                <w:sz w:val="18"/>
              </w:rPr>
              <w:t>n + 1</w:t>
            </w:r>
          </w:p>
        </w:tc>
        <w:tc>
          <w:tcPr>
            <w:tcW w:w="900" w:type="dxa"/>
            <w:vAlign w:val="center"/>
          </w:tcPr>
          <w:p>
            <w:pPr>
              <w:jc w:val="center"/>
              <w:rPr>
                <w:noProof/>
                <w:sz w:val="18"/>
              </w:rPr>
            </w:pPr>
            <w:r>
              <w:rPr>
                <w:noProof/>
                <w:sz w:val="18"/>
              </w:rPr>
              <w:t>År</w:t>
            </w:r>
            <w:r>
              <w:rPr>
                <w:noProof/>
              </w:rPr>
              <w:br/>
            </w:r>
            <w:r>
              <w:rPr>
                <w:b/>
                <w:noProof/>
                <w:sz w:val="18"/>
              </w:rPr>
              <w:t>n + 2</w:t>
            </w:r>
          </w:p>
        </w:tc>
        <w:tc>
          <w:tcPr>
            <w:tcW w:w="1080" w:type="dxa"/>
            <w:vAlign w:val="center"/>
          </w:tcPr>
          <w:p>
            <w:pPr>
              <w:jc w:val="center"/>
              <w:rPr>
                <w:noProof/>
                <w:sz w:val="18"/>
              </w:rPr>
            </w:pPr>
            <w:r>
              <w:rPr>
                <w:noProof/>
                <w:sz w:val="18"/>
              </w:rPr>
              <w:t>År</w:t>
            </w:r>
            <w:r>
              <w:rPr>
                <w:noProof/>
              </w:rPr>
              <w:br/>
            </w:r>
            <w:r>
              <w:rPr>
                <w:b/>
                <w:noProof/>
                <w:sz w:val="18"/>
              </w:rPr>
              <w:t>n + 3</w:t>
            </w:r>
          </w:p>
        </w:tc>
        <w:tc>
          <w:tcPr>
            <w:tcW w:w="3240" w:type="dxa"/>
            <w:gridSpan w:val="3"/>
            <w:vAlign w:val="center"/>
          </w:tcPr>
          <w:p>
            <w:pPr>
              <w:jc w:val="center"/>
              <w:rPr>
                <w:b/>
                <w:noProof/>
                <w:sz w:val="18"/>
              </w:rPr>
            </w:pPr>
            <w:r>
              <w:rPr>
                <w:noProof/>
                <w:sz w:val="18"/>
              </w:rPr>
              <w:t>Der indsættes flere år, hvis virkningerne varer længere (jf. punkt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For diverse indtægter, der er formålsbestemte, angives det, hvilke af budgettets udgiftsposter der påvirkes.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rPr>
      </w:pPr>
      <w:r>
        <w:rPr>
          <w:noProof/>
          <w:sz w:val="20"/>
        </w:rPr>
        <w:t>Det oplyses, hvilken metode der er benyttet til at beregne virkningerne for indtægterne.</w:t>
      </w: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EUT C  af , s. .</w:t>
      </w:r>
    </w:p>
  </w:footnote>
  <w:footnote w:id="2">
    <w:p>
      <w:pPr>
        <w:pStyle w:val="FootnoteText"/>
      </w:pPr>
      <w:r>
        <w:rPr>
          <w:rStyle w:val="FootnoteReference"/>
        </w:rPr>
        <w:footnoteRef/>
      </w:r>
      <w:r>
        <w:tab/>
        <w:t>EUT C  af , s. .</w:t>
      </w:r>
    </w:p>
  </w:footnote>
  <w:footnote w:id="3">
    <w:p>
      <w:pPr>
        <w:pStyle w:val="FootnoteText"/>
        <w:ind w:left="708" w:hanging="708"/>
      </w:pPr>
      <w:r>
        <w:rPr>
          <w:rStyle w:val="FootnoteReference"/>
        </w:rPr>
        <w:footnoteRef/>
      </w:r>
      <w:r>
        <w:tab/>
        <w:t>Europa-Parlamentets og Rådets forordning (EU) nr. 223/2014 af 11. marts 2014 om Den Europæiske Fond for Bistand til de Socialt Dårligst Stillede (EUT L 72 af 12.3.2014, s. 1).</w:t>
      </w:r>
    </w:p>
  </w:footnote>
  <w:footnote w:id="4">
    <w:p>
      <w:pPr>
        <w:pStyle w:val="FootnoteText"/>
        <w:rPr>
          <w:szCs w:val="24"/>
        </w:rPr>
      </w:pPr>
      <w:r>
        <w:rPr>
          <w:rStyle w:val="FootnoteReference"/>
        </w:rPr>
        <w:footnoteRef/>
      </w:r>
      <w:r>
        <w:tab/>
        <w:t>ABM: Activity Based Management (aktivitetsbaseret ledelse) – ABB: Activity Based Budgeting (aktivitetsbaseret budgetlægning).</w:t>
      </w:r>
    </w:p>
  </w:footnote>
  <w:footnote w:id="5">
    <w:p>
      <w:pPr>
        <w:pStyle w:val="FootnoteText"/>
        <w:rPr>
          <w:szCs w:val="24"/>
        </w:rPr>
      </w:pPr>
      <w:r>
        <w:rPr>
          <w:rStyle w:val="FootnoteReference"/>
        </w:rPr>
        <w:footnoteRef/>
      </w:r>
      <w:r>
        <w:tab/>
        <w:t>Jf. finansforordningens artikel 54, stk. 2, litra a) hhv. b).</w:t>
      </w:r>
    </w:p>
  </w:footnote>
  <w:footnote w:id="6">
    <w:p>
      <w:pPr>
        <w:pStyle w:val="FootnoteText"/>
        <w:rPr>
          <w:szCs w:val="24"/>
        </w:rPr>
      </w:pPr>
      <w:r>
        <w:rPr>
          <w:rStyle w:val="FootnoteReference"/>
        </w:rPr>
        <w:footnoteRef/>
      </w:r>
      <w:r>
        <w:tab/>
        <w:t xml:space="preserve">Forklaringer vedrørende forvaltningsmetoder og henvisninger til finansforordningen findes på webstedet BudgWeb: </w:t>
      </w:r>
      <w:hyperlink r:id="rId1" w:history="1">
        <w:r>
          <w:rPr>
            <w:rStyle w:val="Hyperlink"/>
            <w:sz w:val="18"/>
          </w:rPr>
          <w:t>http://www.cc.cec/budg/man/budgmanag/budgmanag_en.html</w:t>
        </w:r>
      </w:hyperlink>
    </w:p>
  </w:footnote>
  <w:footnote w:id="7">
    <w:p>
      <w:pPr>
        <w:pStyle w:val="FootnoteText"/>
        <w:rPr>
          <w:szCs w:val="24"/>
        </w:rPr>
      </w:pPr>
      <w:r>
        <w:rPr>
          <w:rStyle w:val="FootnoteReference"/>
        </w:rPr>
        <w:footnoteRef/>
      </w:r>
      <w:r>
        <w:tab/>
        <w:t>OB = opdelte bevillinger/IOB = ikke-opdelte bevillinger.</w:t>
      </w:r>
    </w:p>
  </w:footnote>
  <w:footnote w:id="8">
    <w:p>
      <w:pPr>
        <w:pStyle w:val="FootnoteText"/>
        <w:rPr>
          <w:szCs w:val="24"/>
        </w:rPr>
      </w:pPr>
      <w:r>
        <w:rPr>
          <w:rStyle w:val="FootnoteReference"/>
        </w:rPr>
        <w:footnoteRef/>
      </w:r>
      <w:r>
        <w:tab/>
        <w:t xml:space="preserve">EFTA: Den Europæiske Frihandelssammenslutning. </w:t>
      </w:r>
    </w:p>
  </w:footnote>
  <w:footnote w:id="9">
    <w:p>
      <w:pPr>
        <w:pStyle w:val="FootnoteText"/>
        <w:rPr>
          <w:szCs w:val="24"/>
        </w:rPr>
      </w:pPr>
      <w:r>
        <w:rPr>
          <w:rStyle w:val="FootnoteReference"/>
        </w:rPr>
        <w:footnoteRef/>
      </w:r>
      <w:r>
        <w:tab/>
        <w:t>Kandidatlande og, efter omstændighederne, potentielle kandidatlande på Vestbalkan.</w:t>
      </w:r>
    </w:p>
  </w:footnote>
  <w:footnote w:id="10">
    <w:p>
      <w:pPr>
        <w:pStyle w:val="FootnoteText"/>
        <w:rPr>
          <w:szCs w:val="24"/>
        </w:rPr>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11">
    <w:p>
      <w:pPr>
        <w:pStyle w:val="FootnoteText"/>
        <w:rPr>
          <w:szCs w:val="24"/>
        </w:rPr>
      </w:pPr>
      <w:r>
        <w:rPr>
          <w:rStyle w:val="FootnoteReference"/>
        </w:rPr>
        <w:footnoteRef/>
      </w:r>
      <w:r>
        <w:tab/>
        <w:t>Resultater er de produkter og tjenesteydelser, der skal leveres (f.eks.: antal finansierede studenterudvekslinger, antal km bygget vej osv.).</w:t>
      </w:r>
    </w:p>
  </w:footnote>
  <w:footnote w:id="12">
    <w:p>
      <w:pPr>
        <w:pStyle w:val="FootnoteText"/>
        <w:rPr>
          <w:szCs w:val="24"/>
        </w:rPr>
      </w:pPr>
      <w:r>
        <w:rPr>
          <w:rStyle w:val="FootnoteReference"/>
        </w:rPr>
        <w:footnoteRef/>
      </w:r>
      <w:r>
        <w:tab/>
        <w:t xml:space="preserve">Som beskrevet i punkt 1.4.2. "Specifikke mål ...". </w:t>
      </w:r>
    </w:p>
  </w:footnote>
  <w:footnote w:id="13">
    <w:p>
      <w:pPr>
        <w:pStyle w:val="FootnoteText"/>
        <w:rPr>
          <w:szCs w:val="24"/>
        </w:rPr>
      </w:pPr>
      <w:r>
        <w:rPr>
          <w:rStyle w:val="FootnoteReference"/>
        </w:rPr>
        <w:footnoteRef/>
      </w:r>
      <w:r>
        <w:tab/>
        <w:t>År n er det år, hvor gennemførelsen af forslaget/initiativet begynder.</w:t>
      </w:r>
    </w:p>
  </w:footnote>
  <w:footnote w:id="14">
    <w:p>
      <w:pPr>
        <w:pStyle w:val="FootnoteText"/>
        <w:rPr>
          <w:szCs w:val="24"/>
        </w:rPr>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15">
    <w:p>
      <w:pPr>
        <w:pStyle w:val="FootnoteText"/>
        <w:rPr>
          <w:szCs w:val="24"/>
        </w:rPr>
      </w:pPr>
      <w:r>
        <w:rPr>
          <w:rStyle w:val="FootnoteReference"/>
        </w:rPr>
        <w:footnoteRef/>
      </w:r>
      <w:r>
        <w:tab/>
        <w:t xml:space="preserve">KA: kontraktansatte, LA: lokalt ansatte, UNE: udstationerede nationale eksperter, V: vikarer, JED: junioreksperter ved delegationerne. </w:t>
      </w:r>
    </w:p>
  </w:footnote>
  <w:footnote w:id="16">
    <w:p>
      <w:pPr>
        <w:pStyle w:val="FootnoteText"/>
        <w:rPr>
          <w:szCs w:val="24"/>
        </w:rPr>
      </w:pPr>
      <w:r>
        <w:rPr>
          <w:rStyle w:val="FootnoteReference"/>
        </w:rPr>
        <w:footnoteRef/>
      </w:r>
      <w:r>
        <w:tab/>
        <w:t>Delloft for eksternt personale under aktionsbevillingerne (tidligere BA-poster).</w:t>
      </w:r>
    </w:p>
  </w:footnote>
  <w:footnote w:id="17">
    <w:p>
      <w:pPr>
        <w:pStyle w:val="FootnoteText"/>
        <w:rPr>
          <w:szCs w:val="24"/>
        </w:rPr>
      </w:pPr>
      <w:r>
        <w:rPr>
          <w:rStyle w:val="FootnoteReference"/>
        </w:rPr>
        <w:footnoteRef/>
      </w:r>
      <w:r>
        <w:tab/>
        <w:t>Med hensyn til EU's traditionelle egne indtægter (told og sukkerafgifter) opgives beløbene netto, dvs. bruttobeløb, hvorfra der er trukket opkrævningsomkostninger på 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AF29F8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B284B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C56D8B8"/>
    <w:lvl w:ilvl="0">
      <w:start w:val="1"/>
      <w:numFmt w:val="decimal"/>
      <w:pStyle w:val="ListNumber2"/>
      <w:lvlText w:val="%1."/>
      <w:lvlJc w:val="left"/>
      <w:pPr>
        <w:tabs>
          <w:tab w:val="num" w:pos="643"/>
        </w:tabs>
        <w:ind w:left="643" w:hanging="360"/>
      </w:pPr>
    </w:lvl>
  </w:abstractNum>
  <w:abstractNum w:abstractNumId="3">
    <w:nsid w:val="FFFFFF81"/>
    <w:multiLevelType w:val="singleLevel"/>
    <w:tmpl w:val="E31C26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E96CDD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414F45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B4A298"/>
    <w:lvl w:ilvl="0">
      <w:start w:val="1"/>
      <w:numFmt w:val="decimal"/>
      <w:pStyle w:val="ListNumber"/>
      <w:lvlText w:val="%1."/>
      <w:lvlJc w:val="left"/>
      <w:pPr>
        <w:tabs>
          <w:tab w:val="num" w:pos="360"/>
        </w:tabs>
        <w:ind w:left="360" w:hanging="360"/>
      </w:pPr>
    </w:lvl>
  </w:abstractNum>
  <w:abstractNum w:abstractNumId="7">
    <w:nsid w:val="FFFFFF89"/>
    <w:multiLevelType w:val="singleLevel"/>
    <w:tmpl w:val="5D9CAD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76773F"/>
    <w:multiLevelType w:val="hybridMultilevel"/>
    <w:tmpl w:val="1758CCB2"/>
    <w:styleLink w:val="ImportedStyle3"/>
    <w:lvl w:ilvl="0" w:tplc="40FEC6F6">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7646D906">
      <w:start w:val="1"/>
      <w:numFmt w:val="lowerLetter"/>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3FCE327E">
      <w:start w:val="1"/>
      <w:numFmt w:val="decimal"/>
      <w:lvlText w:val="(%3)"/>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63CE336C">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0756D076">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E46F476">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F4389FAE">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C826E6A">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0F8A26E">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A970053"/>
    <w:multiLevelType w:val="multilevel"/>
    <w:tmpl w:val="0AEEAB14"/>
    <w:styleLink w:val="ImportedStyle4"/>
    <w:lvl w:ilvl="0">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7"/>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1"/>
  </w:num>
  <w:num w:numId="11">
    <w:abstractNumId w:val="15"/>
  </w:num>
  <w:num w:numId="12">
    <w:abstractNumId w:val="8"/>
  </w:num>
  <w:num w:numId="13">
    <w:abstractNumId w:val="20"/>
  </w:num>
  <w:num w:numId="14">
    <w:abstractNumId w:val="19"/>
  </w:num>
  <w:num w:numId="15">
    <w:abstractNumId w:val="14"/>
  </w:num>
  <w:num w:numId="16">
    <w:abstractNumId w:val="24"/>
  </w:num>
  <w:num w:numId="17">
    <w:abstractNumId w:val="16"/>
  </w:num>
  <w:num w:numId="18">
    <w:abstractNumId w:val="26"/>
  </w:num>
  <w:num w:numId="19">
    <w:abstractNumId w:val="13"/>
  </w:num>
  <w:num w:numId="20">
    <w:abstractNumId w:val="17"/>
  </w:num>
  <w:num w:numId="21">
    <w:abstractNumId w:val="10"/>
  </w:num>
  <w:num w:numId="22">
    <w:abstractNumId w:val="25"/>
  </w:num>
  <w:num w:numId="23">
    <w:abstractNumId w:val="9"/>
  </w:num>
  <w:num w:numId="24">
    <w:abstractNumId w:val="18"/>
  </w:num>
  <w:num w:numId="25">
    <w:abstractNumId w:val="22"/>
  </w:num>
  <w:num w:numId="26">
    <w:abstractNumId w:val="23"/>
  </w:num>
  <w:num w:numId="27">
    <w:abstractNumId w:val="12"/>
  </w:num>
  <w:num w:numId="28">
    <w:abstractNumId w:val="21"/>
  </w:num>
  <w:num w:numId="29">
    <w:abstractNumId w:val="27"/>
  </w:num>
  <w:num w:numId="30">
    <w:abstractNumId w:val="24"/>
  </w:num>
  <w:num w:numId="31">
    <w:abstractNumId w:val="16"/>
  </w:num>
  <w:num w:numId="32">
    <w:abstractNumId w:val="26"/>
  </w:num>
  <w:num w:numId="33">
    <w:abstractNumId w:val="13"/>
  </w:num>
  <w:num w:numId="34">
    <w:abstractNumId w:val="17"/>
  </w:num>
  <w:num w:numId="35">
    <w:abstractNumId w:val="10"/>
  </w:num>
  <w:num w:numId="36">
    <w:abstractNumId w:val="25"/>
  </w:num>
  <w:num w:numId="37">
    <w:abstractNumId w:val="9"/>
  </w:num>
  <w:num w:numId="38">
    <w:abstractNumId w:val="18"/>
  </w:num>
  <w:num w:numId="39">
    <w:abstractNumId w:val="22"/>
  </w:num>
  <w:num w:numId="40">
    <w:abstractNumId w:val="23"/>
  </w:num>
  <w:num w:numId="41">
    <w:abstractNumId w:val="12"/>
  </w:num>
  <w:num w:numId="42">
    <w:abstractNumId w:val="21"/>
  </w:num>
  <w:num w:numId="43">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06 18:16:5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5"/>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156F3C34-ACDF-4B10-8622-4BFB98C11A78"/>
    <w:docVar w:name="LW_COVERPAGE_TYPE" w:val="1"/>
    <w:docVar w:name="LW_CROSSREFERENCE" w:val="&lt;UNUSED&gt;"/>
    <w:docVar w:name="LW_DocType" w:val="COM"/>
    <w:docVar w:name="LW_EMISSION" w:val="2.4.2020"/>
    <w:docVar w:name="LW_EMISSION_ISODATE" w:val="2020-04-02"/>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058"/>
    <w:docVar w:name="LW_REF.II.NEW.CP_YEAR" w:val="2020"/>
    <w:docVar w:name="LW_REF.INST.NEW" w:val="COM"/>
    <w:docVar w:name="LW_REF.INST.NEW_ADOPTED" w:val="final"/>
    <w:docVar w:name="LW_REF.INST.NEW_TEXT" w:val="(2020) 1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ændring af forordning (EU) nr. 223/2014 for så vidt angår indførelsen af specifikke foranstaltninger til håndtering af covid-19-krisen _x000b_"/>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da-DK"/>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da-DK"/>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ImportedStyle3">
    <w:name w:val="Imported Style 3"/>
    <w:pPr>
      <w:numPr>
        <w:numId w:val="10"/>
      </w:numPr>
    </w:pPr>
  </w:style>
  <w:style w:type="numbering" w:customStyle="1" w:styleId="ImportedStyle4">
    <w:name w:val="Imported Style 4"/>
    <w:pPr>
      <w:numPr>
        <w:numId w:val="11"/>
      </w:numPr>
    </w:pPr>
  </w:style>
  <w:style w:type="paragraph" w:customStyle="1" w:styleId="ListBullet1">
    <w:name w:val="List Bullet 1"/>
    <w:basedOn w:val="Normal"/>
    <w:pPr>
      <w:numPr>
        <w:numId w:val="12"/>
      </w:numPr>
    </w:pPr>
    <w:rPr>
      <w:rFonts w:eastAsia="Times New Roman"/>
      <w:lang w:eastAsia="de-DE"/>
    </w:rPr>
  </w:style>
  <w:style w:type="paragraph" w:customStyle="1" w:styleId="ListDash1">
    <w:name w:val="List Dash 1"/>
    <w:basedOn w:val="Normal"/>
    <w:pPr>
      <w:numPr>
        <w:numId w:val="13"/>
      </w:numPr>
    </w:pPr>
    <w:rPr>
      <w:rFonts w:eastAsia="Times New Roman"/>
      <w:lang w:eastAsia="de-DE"/>
    </w:rPr>
  </w:style>
  <w:style w:type="paragraph" w:customStyle="1" w:styleId="ListDash2">
    <w:name w:val="List Dash 2"/>
    <w:basedOn w:val="Normal"/>
    <w:pPr>
      <w:numPr>
        <w:numId w:val="14"/>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styleId="FollowedHyperlink">
    <w:name w:val="FollowedHyperlink"/>
    <w:uiPriority w:val="99"/>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lang w:eastAsia="en-GB"/>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lang w:eastAsia="en-GB"/>
    </w:rPr>
  </w:style>
  <w:style w:type="paragraph" w:customStyle="1" w:styleId="doc-ti">
    <w:name w:val="doc-ti"/>
    <w:basedOn w:val="Normal"/>
    <w:pPr>
      <w:spacing w:before="240"/>
      <w:jc w:val="center"/>
    </w:pPr>
    <w:rPr>
      <w:rFonts w:eastAsia="Times New Roman"/>
      <w:b/>
      <w:bCs/>
      <w:lang w:eastAsia="en-GB"/>
    </w:rPr>
  </w:style>
  <w:style w:type="paragraph" w:customStyle="1" w:styleId="ListDash">
    <w:name w:val="List Dash"/>
    <w:basedOn w:val="Normal"/>
    <w:pPr>
      <w:numPr>
        <w:numId w:val="15"/>
      </w:numPr>
    </w:pPr>
    <w:rPr>
      <w:rFonts w:eastAsia="Times New Roman"/>
      <w:szCs w:val="20"/>
      <w:lang w:eastAsia="en-GB"/>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lang w:eastAsia="en-GB"/>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lang w:eastAsia="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0" w:after="150"/>
      <w:jc w:val="left"/>
    </w:pPr>
    <w:rPr>
      <w:rFonts w:eastAsia="Times New Roman"/>
      <w:szCs w:val="24"/>
      <w:lang w:eastAsia="en-GB"/>
    </w:rPr>
  </w:style>
  <w:style w:type="paragraph" w:customStyle="1" w:styleId="hidden">
    <w:name w:val="hidden"/>
    <w:basedOn w:val="Normal"/>
    <w:pPr>
      <w:spacing w:before="0" w:after="150"/>
      <w:jc w:val="left"/>
    </w:pPr>
    <w:rPr>
      <w:rFonts w:eastAsia="Times New Roman"/>
      <w:vanish/>
      <w:szCs w:val="24"/>
      <w:lang w:eastAsia="en-GB"/>
    </w:rPr>
  </w:style>
  <w:style w:type="paragraph" w:customStyle="1" w:styleId="Body">
    <w:name w:val="Body"/>
    <w:uiPriority w:val="99"/>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nl-BE"/>
      <w14:textOutline w14:w="0" w14:cap="flat" w14:cmpd="sng" w14:algn="ctr">
        <w14:noFill/>
        <w14:prstDash w14:val="solid"/>
        <w14:bevel/>
      </w14:textOutlin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da-DK"/>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da-DK"/>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ImportedStyle3">
    <w:name w:val="Imported Style 3"/>
    <w:pPr>
      <w:numPr>
        <w:numId w:val="10"/>
      </w:numPr>
    </w:pPr>
  </w:style>
  <w:style w:type="numbering" w:customStyle="1" w:styleId="ImportedStyle4">
    <w:name w:val="Imported Style 4"/>
    <w:pPr>
      <w:numPr>
        <w:numId w:val="11"/>
      </w:numPr>
    </w:pPr>
  </w:style>
  <w:style w:type="paragraph" w:customStyle="1" w:styleId="ListBullet1">
    <w:name w:val="List Bullet 1"/>
    <w:basedOn w:val="Normal"/>
    <w:pPr>
      <w:numPr>
        <w:numId w:val="12"/>
      </w:numPr>
    </w:pPr>
    <w:rPr>
      <w:rFonts w:eastAsia="Times New Roman"/>
      <w:lang w:eastAsia="de-DE"/>
    </w:rPr>
  </w:style>
  <w:style w:type="paragraph" w:customStyle="1" w:styleId="ListDash1">
    <w:name w:val="List Dash 1"/>
    <w:basedOn w:val="Normal"/>
    <w:pPr>
      <w:numPr>
        <w:numId w:val="13"/>
      </w:numPr>
    </w:pPr>
    <w:rPr>
      <w:rFonts w:eastAsia="Times New Roman"/>
      <w:lang w:eastAsia="de-DE"/>
    </w:rPr>
  </w:style>
  <w:style w:type="paragraph" w:customStyle="1" w:styleId="ListDash2">
    <w:name w:val="List Dash 2"/>
    <w:basedOn w:val="Normal"/>
    <w:pPr>
      <w:numPr>
        <w:numId w:val="14"/>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styleId="FollowedHyperlink">
    <w:name w:val="FollowedHyperlink"/>
    <w:uiPriority w:val="99"/>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lang w:eastAsia="en-GB"/>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lang w:eastAsia="en-GB"/>
    </w:rPr>
  </w:style>
  <w:style w:type="paragraph" w:customStyle="1" w:styleId="doc-ti">
    <w:name w:val="doc-ti"/>
    <w:basedOn w:val="Normal"/>
    <w:pPr>
      <w:spacing w:before="240"/>
      <w:jc w:val="center"/>
    </w:pPr>
    <w:rPr>
      <w:rFonts w:eastAsia="Times New Roman"/>
      <w:b/>
      <w:bCs/>
      <w:lang w:eastAsia="en-GB"/>
    </w:rPr>
  </w:style>
  <w:style w:type="paragraph" w:customStyle="1" w:styleId="ListDash">
    <w:name w:val="List Dash"/>
    <w:basedOn w:val="Normal"/>
    <w:pPr>
      <w:numPr>
        <w:numId w:val="15"/>
      </w:numPr>
    </w:pPr>
    <w:rPr>
      <w:rFonts w:eastAsia="Times New Roman"/>
      <w:szCs w:val="20"/>
      <w:lang w:eastAsia="en-GB"/>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lang w:eastAsia="en-GB"/>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lang w:eastAsia="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0" w:after="150"/>
      <w:jc w:val="left"/>
    </w:pPr>
    <w:rPr>
      <w:rFonts w:eastAsia="Times New Roman"/>
      <w:szCs w:val="24"/>
      <w:lang w:eastAsia="en-GB"/>
    </w:rPr>
  </w:style>
  <w:style w:type="paragraph" w:customStyle="1" w:styleId="hidden">
    <w:name w:val="hidden"/>
    <w:basedOn w:val="Normal"/>
    <w:pPr>
      <w:spacing w:before="0" w:after="150"/>
      <w:jc w:val="left"/>
    </w:pPr>
    <w:rPr>
      <w:rFonts w:eastAsia="Times New Roman"/>
      <w:vanish/>
      <w:szCs w:val="24"/>
      <w:lang w:eastAsia="en-GB"/>
    </w:rPr>
  </w:style>
  <w:style w:type="paragraph" w:customStyle="1" w:styleId="Body">
    <w:name w:val="Body"/>
    <w:uiPriority w:val="99"/>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nl-BE"/>
      <w14:textOutline w14:w="0" w14:cap="flat" w14:cmpd="sng" w14:algn="ctr">
        <w14:noFill/>
        <w14:prstDash w14:val="solid"/>
        <w14:bevel/>
      </w14:textOutlin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47BDA-986F-48B5-870C-29D18643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23</Pages>
  <Words>4948</Words>
  <Characters>31376</Characters>
  <Application>Microsoft Office Word</Application>
  <DocSecurity>0</DocSecurity>
  <Lines>1494</Lines>
  <Paragraphs>595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2020-04-06T13:25:00Z</dcterms:created>
  <dcterms:modified xsi:type="dcterms:W3CDTF">2020-04-06T16:16:00Z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