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4F47198-AA91-444C-B522-08ADE49368E2" style="width:451.25pt;height:365.8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Dôvody a ciele návrhu</w:t>
      </w:r>
    </w:p>
    <w:p>
      <w:pPr>
        <w:keepNext/>
        <w:tabs>
          <w:tab w:val="left" w:pos="0"/>
        </w:tabs>
        <w:outlineLvl w:val="1"/>
        <w:rPr>
          <w:rFonts w:eastAsia="Calibri"/>
          <w:noProof/>
        </w:rPr>
      </w:pPr>
      <w:r>
        <w:rPr>
          <w:noProof/>
        </w:rPr>
        <w:t>Priame i nepriame účinky šírenia ochorenia COVID-19 vo všetkých členských štátoch stále narastajú. Súčasná situácia je bezprecedentná a vyžaduje si na ňu prispôsobené výnimočné opatrenia, ktoré treba v týchto okolnostiach uplatňovať.</w:t>
      </w:r>
    </w:p>
    <w:p>
      <w:pPr>
        <w:keepNext/>
        <w:tabs>
          <w:tab w:val="left" w:pos="0"/>
        </w:tabs>
        <w:outlineLvl w:val="1"/>
        <w:rPr>
          <w:rFonts w:eastAsia="Calibri"/>
          <w:noProof/>
        </w:rPr>
      </w:pPr>
      <w:r>
        <w:rPr>
          <w:noProof/>
        </w:rPr>
        <w:t>Prvá investičná iniciatíva v reakcii na koronavírus (Coronavirus Response Investment Initiative, ďalej len „CRII“) – balík opatrení, ktorý Komisia navrhla 13. marca 2020 – priniesla niekoľko dôležitých zmien, ktoré umožňujú účinnejšie reagovať na súčasnú situáciu.</w:t>
      </w:r>
    </w:p>
    <w:p>
      <w:pPr>
        <w:keepNext/>
        <w:tabs>
          <w:tab w:val="left" w:pos="0"/>
        </w:tabs>
        <w:outlineLvl w:val="1"/>
        <w:rPr>
          <w:rFonts w:eastAsia="Calibri"/>
          <w:noProof/>
        </w:rPr>
      </w:pPr>
      <w:r>
        <w:rPr>
          <w:noProof/>
        </w:rPr>
        <w:t xml:space="preserve">Táto iniciatíva bola zameraná na podporu investícií zmobilizovaním dostupných hotovostných rezerv v európskych štrukturálnych a investičných fondoch (EŠIF) s cieľom okamžite bojovať proti kríze a po nej nasledovali doplňujúce opatrenia navrhnuté v rámci iniciatívy CRII plus. Napriek tomu sú nevyhnutné ďalšie opatrenia aj v iných oblastiach politiky, najmä na ochranu tých najzraniteľnejších. </w:t>
      </w:r>
    </w:p>
    <w:p>
      <w:pPr>
        <w:keepNext/>
        <w:tabs>
          <w:tab w:val="left" w:pos="0"/>
        </w:tabs>
        <w:outlineLvl w:val="1"/>
        <w:rPr>
          <w:rFonts w:eastAsia="Calibri"/>
          <w:noProof/>
        </w:rPr>
      </w:pPr>
      <w:r>
        <w:rPr>
          <w:noProof/>
        </w:rPr>
        <w:t xml:space="preserve">Kríza spôsobená koronavírusom takisto predstavuje bezprecedentnú výzvu pre riadenie a poskytovanie pomoci pre najodkázanejšie osoby, ktoré dostávajú podporu z Fondu európskej pomoci pre najodkázanejšie osoby (FEAD). </w:t>
      </w:r>
    </w:p>
    <w:p>
      <w:pPr>
        <w:keepNext/>
        <w:tabs>
          <w:tab w:val="left" w:pos="0"/>
        </w:tabs>
        <w:outlineLvl w:val="1"/>
        <w:rPr>
          <w:rFonts w:eastAsia="Calibri"/>
          <w:noProof/>
        </w:rPr>
      </w:pPr>
      <w:r>
        <w:rPr>
          <w:noProof/>
        </w:rPr>
        <w:t xml:space="preserve">A hlavne predstavuje osobitné riziká pre najodkázanejšie osoby medzi tými najzraniteľnejšími v našich spoločnostiach. Preto treba urýchlene prijať osobitné opatrenia s cieľom chrániť tieto osoby, aby sa nestali obeťami tohto ochorenia, a zabezpečiť, aby sa k nim pomoc z FEAD aj tak dostala, napr. poskytovaním potrebných ochranných prostriedkov proti tomuto ochoreniu. Distribúcia potravinovej a základnej materiálnej pomoci, ako aj podpora pri sociálnom začlenení čelia rastúcim logistickým obmedzeniam a obmedzeniam vyplývajúcim z nedostatku ľudských zdrojov, najmä v dôsledku obmedzenia pohybu a súrnej potreby zaviesť opatrenia na obmedzenie sociálnych kontaktov, aby sa zabránilo šíreniu vírusu. Mnohých z dobrovoľníkov, ktorí sú nosným pilierom fondu, už nemožno povolať, lebo často patria do skupín s vyšším rizikom závažného ochorenia COVID-19. Napriek tomu existuje potreba zabezpečiť, aby sa podpora stále dostávala k najodkázanejším osobám, napr. pomocou nových metód poskytovania, ktoré zaručujú bezpečnosť všetkých týchto osôb zapojených do vykonávania FEAD, ako aj tých najodkázanejších. </w:t>
      </w:r>
    </w:p>
    <w:p>
      <w:pPr>
        <w:keepNext/>
        <w:tabs>
          <w:tab w:val="left" w:pos="0"/>
        </w:tabs>
        <w:outlineLvl w:val="1"/>
        <w:rPr>
          <w:rFonts w:eastAsia="Calibri"/>
          <w:noProof/>
        </w:rPr>
      </w:pPr>
      <w:r>
        <w:rPr>
          <w:noProof/>
        </w:rPr>
        <w:t xml:space="preserve">Nariadenie o FEAD preto musí umožniť riadiacim orgánom, partnerským organizáciám a iným aktérom zahrnutým do vykonávania fondu rýchlo reagovať na vznikajúce dodatočné potreby cieľových skupín, ktoré sú vystavené ďalším útrapám spôsobeným touto krízou. </w:t>
      </w:r>
    </w:p>
    <w:p>
      <w:pPr>
        <w:keepNext/>
        <w:tabs>
          <w:tab w:val="left" w:pos="0"/>
        </w:tabs>
        <w:outlineLvl w:val="1"/>
        <w:rPr>
          <w:rFonts w:eastAsia="Calibri"/>
          <w:noProof/>
        </w:rPr>
      </w:pPr>
      <w:r>
        <w:rPr>
          <w:noProof/>
        </w:rPr>
        <w:t>Komisia preto navrhuje zmeniť nariadenie o FEAD s cieľom reagovať na výzvy, ktorým verejné orgány a partnerské organizácie čelia pri vykonávaní FEAD počas šírenia ochorenia COVID-19.</w:t>
      </w:r>
    </w:p>
    <w:p>
      <w:pPr>
        <w:keepNext/>
        <w:tabs>
          <w:tab w:val="left" w:pos="0"/>
        </w:tabs>
        <w:outlineLvl w:val="1"/>
        <w:rPr>
          <w:noProof/>
        </w:rPr>
      </w:pPr>
      <w:r>
        <w:rPr>
          <w:noProof/>
        </w:rPr>
        <w:t xml:space="preserve">V súlade so zmenami navrhnutými pre EŠIF sa navrhuje zaviesť osobitné ustanovenia, ktoré umožnia členským štátom rýchlo uskutočniť potrebné opatrenia na riešenie núdzovej situácie. Podobne ako v prípade toho, čo sa navrhlo pre EŠIF, sa navrhuje, aby výdavky na tie operácie FEAD, ktoré zvyšujú kapacity reakcie na krízu v súvislosti so šírením ochorenia COVID-19, boli oprávnené od 1. februára 2020. Podobne sa navrhuje, že zmena určitých prvkov operačného programu, ktoré sú zamerané na riešenie šírenia ochorenia COVID-19, si nevyžaduje schválenie rozhodnutím Komisie. Ďalej sa v návrhu zavádza možnosť pre orgány </w:t>
      </w:r>
      <w:r>
        <w:rPr>
          <w:noProof/>
        </w:rPr>
        <w:lastRenderedPageBreak/>
        <w:t>poskytovať potravinovú/základnú materiálnu pomoc prostredníctvom elektronických poukážok, čím sa znižuje riziko kontaminácie počas poskytovania tejto pomoci.</w:t>
      </w:r>
    </w:p>
    <w:p>
      <w:pPr>
        <w:keepNext/>
        <w:tabs>
          <w:tab w:val="left" w:pos="0"/>
        </w:tabs>
        <w:outlineLvl w:val="1"/>
        <w:rPr>
          <w:rFonts w:eastAsia="Calibri"/>
          <w:noProof/>
        </w:rPr>
      </w:pPr>
      <w:r>
        <w:rPr>
          <w:noProof/>
        </w:rPr>
        <w:t xml:space="preserve">Okrem týchto zmien sa navrhuje zaviesť flexibilitu vzhľadom na dodržiavanie určitých právnych požiadaviek počas tohto bezprecedentného obdobia. Výnimočne na tento rok sa navrhuje predĺžiť lehotu na predloženie ročných správ o vykonávaní a objasňuje sa, že členské štáty môžu prispôsobiť postupy kontroly a auditu počas výskytu tohto ochorenia. Takisto sa navrhuje zaviesť osobitné ustanovenia týkajúce sa oprávnenosti nákladov, ktoré prijímateľom vzniknú, ak sa poskytovanie potravinovej/základnej materiálnej pomoci alebo sociálnej pomoci oneskorí, ako aj pre pozastavené a neúplne realizované operácie. </w:t>
      </w:r>
    </w:p>
    <w:p>
      <w:pPr>
        <w:pStyle w:val="Body"/>
        <w:keepNext/>
        <w:rPr>
          <w:noProof/>
        </w:rPr>
      </w:pPr>
      <w:r>
        <w:rPr>
          <w:noProof/>
        </w:rPr>
        <w:t>A napokon s cieľom zaručiť, aby všetka podpora z fondu mohla byť mobilizovaná na minimalizáciu účinkov krízy v oblasti verejného zdravia na tie najodkázanejšie osoby, je nevyhnutné ako dočasné a výnimočné opatrenie (bez toho, aby boli dotknuté pravidlá, ktoré by sa mali uplatňovať za bežných okolností) povoliť dočasnú možnosť 100-percentného spolufinancovania z rozpočtu EÚ.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 existujúcimi ustanoveniami v tejto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Calibri"/>
          <w:noProof/>
        </w:rPr>
      </w:pPr>
      <w:r>
        <w:rPr>
          <w:noProof/>
        </w:rPr>
        <w:t>Tento návrh je v súlade s existujúcimi ustanoveniami v tejto oblasti politiky, najmä s ustanoveniami, ktoré Komisia navrhla pre EŠIF v reakcii na šírenie ochorenia COVID-19 ako súčasť iniciatív CRII a CRII plus.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 ostatnými politikami Únie</w:t>
      </w:r>
    </w:p>
    <w:p>
      <w:pPr>
        <w:pStyle w:val="Body"/>
        <w:keepNext/>
        <w:rPr>
          <w:noProof/>
        </w:rPr>
      </w:pPr>
      <w:r>
        <w:rPr>
          <w:noProof/>
        </w:rPr>
        <w:t xml:space="preserve">Návrh je v súlade s ostatnými návrhmi a iniciatívami prijatými Európskou komisiou, najmä s návrhmi, ktoré Komisia prijala pre EŠIF v reakcii na šírenie ochorenia COVID-19. Je takisto súčasťou druhého legislatívneho balíka prijatého Komisiou, ktorý zahŕňa návrhy na zmenu nariadenia o spoločných ustanoveniach.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Právny základ</w:t>
      </w:r>
    </w:p>
    <w:p>
      <w:pPr>
        <w:pStyle w:val="Body"/>
        <w:keepNext/>
        <w:rPr>
          <w:noProof/>
        </w:rPr>
      </w:pPr>
      <w:r>
        <w:rPr>
          <w:noProof/>
        </w:rPr>
        <w:t>Návrh sa zakladá na článku 175 ods. 3 Zmluvy o fungovaní Európskej únie. Poskytuje dočasnú možnosť miery spolufinancovania vo výške 100 %, ako aj objasnenie týkajúce sa oprávnenosti nákladov, na ktoré vplývajú opatrenia zavedené v reakcii na zdravotnú krízu. V konečnom dôsledku zmierňuje niektoré požiadavky na členské štáty tam, kde spôsobujú administratívne zaťaženie, ktoré by mohlo oddialiť vykonávanie opatrení v reakcii na krízu. Týmito výnimočnými zmenami nie sú dotknuté pravidlá, ktoré sa uplatňujú za bežných okolností.</w:t>
      </w:r>
      <w:r>
        <w:rPr>
          <w:noProof/>
          <w:highlight w:val="yellow"/>
        </w:rPr>
        <w:t xml:space="preserve">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Subsidiarita (v prípade inej ako výlučnej právomoci)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Calibri"/>
          <w:noProof/>
        </w:rPr>
      </w:pPr>
      <w:r>
        <w:rPr>
          <w:noProof/>
        </w:rPr>
        <w:t xml:space="preserve">Návrh je v súlade so zásadou subsidiarity.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rPr>
          <w:rFonts w:eastAsia="Calibri"/>
          <w:noProof/>
        </w:rPr>
      </w:pPr>
      <w:r>
        <w:rPr>
          <w:noProof/>
        </w:rPr>
        <w:t>Návrh je primeraný a nezahŕňa ustanovenia, ktoré nie sú potrebné na dosiahnutie cieľov zmluvy. Obmedzuje sa na zmeny považované za potrebné na riešenie problémov, ktorým členské štáty čelia počas krízy COVID-19 v kontexte vykonávania FEAD.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Calibri"/>
          <w:noProof/>
        </w:rPr>
      </w:pPr>
      <w:r>
        <w:rPr>
          <w:noProof/>
        </w:rPr>
        <w:t>Navrhovaný nástroj: zmena súčasného nariadenia.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lastRenderedPageBreak/>
        <w:t>Komisia preskúmala priestor na manévrovanie poskytnutý právnym rámcom a považuje za potrebné navrhnúť zmeny nariadenia (EÚ) č. 223/2014.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HODNOTENÍ </w:t>
      </w:r>
      <w:r>
        <w:rPr>
          <w:i/>
          <w:noProof/>
        </w:rPr>
        <w:t>EX POST</w:t>
      </w:r>
      <w:r>
        <w:rPr>
          <w:noProof/>
        </w:rPr>
        <w:t>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Hodnotenia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/kontroly vhodnosti existujúcich právnych predpisov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 xml:space="preserve">Vzhľadom na osobitné okolnosti sprevádzajúce tento návrh sa neuskutočnili žiadne hodnotenia </w:t>
      </w:r>
      <w:r>
        <w:rPr>
          <w:i/>
          <w:noProof/>
        </w:rPr>
        <w:t>ex post</w:t>
      </w:r>
      <w:r>
        <w:rPr>
          <w:noProof/>
        </w:rPr>
        <w:t>/alebo kontroly vhodnosti existujúcich právnych predpisov.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Konzultácie so zainteresovanými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Vzhľadom na osobitné okolnosti sprevádzajúce tento návrh sa neuskutočnili žiadne konzultácie s externými zainteresovanými stranami.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Získavanie a využívanie expertízy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Využitie externej expertízy nebolo potrebné.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Regulačná vhodnosť a zjednodušenie</w:t>
      </w:r>
    </w:p>
    <w:p>
      <w:pPr>
        <w:rPr>
          <w:rFonts w:eastAsia="Calibri"/>
          <w:noProof/>
        </w:rPr>
      </w:pPr>
      <w:r>
        <w:rPr>
          <w:noProof/>
        </w:rPr>
        <w:t>Nejde o iniciatívu v rámci Programu regulačnej vhodnosti a efektívnosti (REFIT)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Základné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Návrh nemá žiadne dôsledky na ochranu základných práv.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Calibri"/>
          <w:noProof/>
        </w:rPr>
      </w:pPr>
      <w:r>
        <w:rPr>
          <w:noProof/>
        </w:rPr>
        <w:t xml:space="preserve">Navrhovaná zmena nemá za následok žiadne zmeny, pokiaľ ide o ročné stropy záväzkov a platieb vo viacročnom finančnom rámci podľa nariadenia (EÚ) č. 223/2014. Celkové ročné rozdelenie viazaných rozpočtových prostriedkov pre Fond európskej pomoci pre najodkázanejšie osoby ostáva nezmenené. </w:t>
      </w:r>
      <w:r>
        <w:rPr>
          <w:noProof/>
        </w:rPr>
        <w:tab/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Calibri"/>
          <w:noProof/>
        </w:rPr>
      </w:pPr>
      <w:r>
        <w:rPr>
          <w:noProof/>
        </w:rPr>
        <w:t>Návrh uľahčí urýchlenie vykonávania programu a bude viesť k predsunutiu platobných rozpočtových prostriedkov.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Calibri"/>
          <w:noProof/>
        </w:rPr>
      </w:pPr>
      <w:r>
        <w:rPr>
          <w:noProof/>
        </w:rPr>
        <w:t>Komisia bude dôkladne monitorovať vplyv navrhovanej zmeny na platobné rozpočtové prostriedky v roku 2020, pričom zohľadní plnenie rozpočtu a revidované prognózy členských štátov.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Plány vykonávania a spôsob monitorovania, hodnotenia a podávania správ</w:t>
      </w:r>
    </w:p>
    <w:p>
      <w:pPr>
        <w:rPr>
          <w:noProof/>
        </w:rPr>
      </w:pPr>
      <w:r>
        <w:rPr>
          <w:noProof/>
        </w:rPr>
        <w:t>Vykonávanie týchto opatrení sa bude monitorovať a budú sa o ňom podávať správy v rámci všeobecných mechanizmov podávania správ stanovených v nariadení (EÚ) č. 223/2014.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Vysvetľujúce dokumenty (v prípade smerníc)</w:t>
      </w:r>
    </w:p>
    <w:p>
      <w:pPr>
        <w:rPr>
          <w:noProof/>
        </w:rPr>
      </w:pPr>
      <w:r>
        <w:rPr>
          <w:noProof/>
        </w:rPr>
        <w:t>Neuplatňuje sa.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2020/0058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NARIADENIE EURÓPSKEHO PARLAMENTU A RADY,</w:t>
      </w:r>
    </w:p>
    <w:p>
      <w:pPr>
        <w:pStyle w:val="Titreobjet"/>
        <w:rPr>
          <w:noProof/>
        </w:rPr>
      </w:pPr>
      <w:r>
        <w:rPr>
          <w:noProof/>
        </w:rPr>
        <w:t xml:space="preserve">ktorým sa mení nariadenie (EÚ) č. 223/2014, pokiaľ ide o zavedenie osobitných opatrení na riešenie krízy COVID-19 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EURÓPSKY PARLAMENT A RADA EURÓPSKEJ ÚNIE,</w:t>
      </w:r>
    </w:p>
    <w:p>
      <w:pPr>
        <w:rPr>
          <w:noProof/>
        </w:rPr>
      </w:pPr>
      <w:r>
        <w:rPr>
          <w:noProof/>
        </w:rPr>
        <w:t xml:space="preserve">so zreteľom na Zmluvu o fungovaní Európskej únie, a najmä na jej článok 175 ods. 3, 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po postúpení návrhu legislatívneho aktu národným parlamentom,</w:t>
      </w:r>
    </w:p>
    <w:p>
      <w:pPr>
        <w:rPr>
          <w:noProof/>
        </w:rPr>
      </w:pPr>
      <w:r>
        <w:rPr>
          <w:noProof/>
        </w:rPr>
        <w:t>so zreteľom na stanovisko Európskeho hospodárskeho a sociálneho výboru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so zreteľom na stanovisko Výboru regiónov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konajúc v súlade s 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Nariadením Európskeho parlamentu a Rady (EÚ) č. 223/2014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sa stanovujú pravidlá uplatniteľné na Fond európskej pomoci pre najodkázanejšie osoby.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Členské štáty boli zasiahnuté šírením ochorenia COVID-19 v dosiaľ nevídanom rozsahu. Kríza prináša so sebou zvýšené riziko pre najzraniteľnejšie skupiny obyvateľstva, ako sú najodkázanejšie osoby, predovšetkým riziko prerušenia podpory poskytovanej z FEAD.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 cieľom poskytnúť okamžitú reakciu na vplyv krízy na najviac odkázané osoby by mali byť výdavky na operácie na zvýšenie kapacít reakcie na krízu v súvislosti so šírením ochorenia COVID-19 oprávnené od 1. februára 2020.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S cieľom zmierniť zaťaženie verejných rozpočtov, ktoré reagujú na krízovú situáciu, by sa mala členským štátom poskytnúť výnimočná možnosť požiadať o mieru spolufinancovania vo výške 100 %, ktorá by sa uplatňovala v účtovnom roku 2020 – 2021 v súlade s rozpočtovými prostriedkami a v závislosti od dostupných finančných prostriedkov. Na základe posúdenia používania tejto výnimočnej miery spolufinancovania môže Komisia navrhnúť predĺženie tohto opatrenia.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S cieľom zaručiť, aby najodkázanejšie osoby mohli naďalej dostávať pomoc z fondu v bezpečnom prostredí, treba dať členským štátom dostatočnú flexibilitu na prispôsobenie schém podpory súčasnej situácii, okrem iného tak, že sa umožnia alternatívne schémy poskytovania pomoci prostredníctvom elektronických poukážok a že sa členským štátom umožní zmeniť určité prvky operačného programu bez toho, aby bolo potrebné schválenie rozhodnutím Komisie. Aby sa nenarušili tradičné </w:t>
      </w:r>
      <w:r>
        <w:rPr>
          <w:noProof/>
        </w:rPr>
        <w:lastRenderedPageBreak/>
        <w:t>schémy poskytovania pomoci, malo by byť takisto možné dodať potrebné ochranné materiály a prostriedky partnerským organizáciám mimo rozpočtových prostriedkov na technickú pomoc.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Je vhodné stanoviť osobitné pravidlá na určenie oprávnených nákladov, ktoré znášajú prijímatelia, ak sú určité operácie oneskorené, pozastavené alebo neúplne realizované v dôsledku šírenia ochorenia COVID-19.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S cieľom umožniť členským štátom koncentrovať sa na zavedenie opatrení na riešenie krízy a zabrániť prerušeniu poskytovania podpory pre najodkázanejšie osoby v dôsledku rizika kontaminácie je vhodné stanoviť osobitné opatrenia, ktoré znížia administratívne zaťaženie pre orgány a poskytnú flexibilitu, pokiaľ ide o súlad s určitými legislatívnymi požiadavkami, najmä týkajúcimi sa monitorovania, kontroly a auditu.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Keďže je súrne zaviesť tieto opatrenia na zaručenie účinného vykonávania FEAD počas krízy COVID-19, toto nariadenie by malo nadobudnúť účinnosť dňom nasledujúcim po jeho uverejnení v </w:t>
      </w:r>
      <w:r>
        <w:rPr>
          <w:i/>
          <w:noProof/>
        </w:rPr>
        <w:t>Úradnom vestníku Európskej únie.</w:t>
      </w:r>
      <w:r>
        <w:rPr>
          <w:noProof/>
        </w:rPr>
        <w:t xml:space="preserve">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Vzhľadom na šírenie ochorenia COVID-19 a súrnosť riešiť súvisiacu krízu v oblasti verejného zdravia sa považovalo za vhodné poskytnúť výnimku z osemtýždňovej lehoty uvedenej v článku 4 Protokolu č. 1 o úlohe národných parlamentov v Európskej únii, ktorý je pripojený k Zmluve o Európskej únii, k Zmluve o fungovaní Európskej únie a k Zmluve o založení Európskeho spoločenstva pre atómovú energiu.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Nariadenie (EÚ) č. 223/2014 by sa preto malo zodpovedajúcim spôsobom zmeniť,</w:t>
      </w:r>
    </w:p>
    <w:p>
      <w:pPr>
        <w:pStyle w:val="Formuledadoption"/>
        <w:rPr>
          <w:noProof/>
        </w:rPr>
      </w:pPr>
      <w:r>
        <w:rPr>
          <w:noProof/>
        </w:rPr>
        <w:t>PRIJALI TOTO NARIADENIE: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rFonts w:eastAsia="Calibri"/>
          <w:noProof/>
        </w:rPr>
      </w:pPr>
      <w:r>
        <w:rPr>
          <w:noProof/>
        </w:rPr>
        <w:t>Nariadenie (EÚ) č. 223/2014 sa mení takto: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V článku 9 sa odsek 4 nahrádza takto: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720" w:hanging="11"/>
        <w:rPr>
          <w:rFonts w:eastAsia="Calibri"/>
          <w:noProof/>
        </w:rPr>
      </w:pPr>
      <w:r>
        <w:rPr>
          <w:noProof/>
        </w:rPr>
        <w:t xml:space="preserve">„4. Odseky 1, 2 a 3 sa neuplatňujú na účely úpravy prvkov operačného programu, na ktoré sa vzťahujú pododdiely 3.5 a 3.6 a oddiel 4 vzorov pre operačný program stanovených v prílohe I, alebo prvkov stanovených v článku 7 ods. 2 písm. a), b), c), d), e) a g), ak sa upravujú v dôsledku reakcie na krízu v súvislosti so šírením ochorenia COVID-19.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720"/>
        <w:rPr>
          <w:rFonts w:eastAsia="Calibri"/>
          <w:noProof/>
        </w:rPr>
      </w:pPr>
      <w:r>
        <w:rPr>
          <w:noProof/>
        </w:rPr>
        <w:t>Členský štát oznámi Komisii akékoľvek rozhodnutie upraviť prvky uvedené v prvom pododseku do jedného mesiaca odo dňa prijatia uvedeného rozhodnutia. V rozhodnutí sa uvedie dátum nadobudnutia jeho účinnosti, ktorý nesmie byť skorší ako dátum jeho prijatia.“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V článku 13 ods. 1 sa dopĺňa tento pododsek: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720"/>
        <w:contextualSpacing/>
        <w:rPr>
          <w:rFonts w:eastAsia="Calibri"/>
          <w:noProof/>
        </w:rPr>
      </w:pPr>
      <w:r>
        <w:rPr>
          <w:noProof/>
        </w:rPr>
        <w:t>„Odchylne od prvého pododseku termín na predloženie ročnej správy o vykonávaní za rok 2019 je 30. september 2020.“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V článku 20 sa vkladá tento odsek:</w:t>
      </w:r>
    </w:p>
    <w:p>
      <w:pPr>
        <w:ind w:left="709"/>
        <w:rPr>
          <w:noProof/>
        </w:rPr>
      </w:pPr>
      <w:r>
        <w:rPr>
          <w:noProof/>
        </w:rPr>
        <w:t xml:space="preserve">„1a. </w:t>
      </w:r>
      <w:r>
        <w:rPr>
          <w:noProof/>
        </w:rPr>
        <w:tab/>
        <w:t xml:space="preserve">Odchylne od odseku 1 sa na požiadanie členského štátu môže uplatňovať miera spolufinancovania vo výške 100 % na verejné výdavky vykázané v žiadostiach o platbu počas účtovného roka, ktorý sa začína 1. júla 2020 a končí 30. júna 2021. </w:t>
      </w:r>
    </w:p>
    <w:p>
      <w:pPr>
        <w:ind w:left="709"/>
        <w:rPr>
          <w:noProof/>
        </w:rPr>
      </w:pPr>
      <w:r>
        <w:rPr>
          <w:noProof/>
        </w:rPr>
        <w:lastRenderedPageBreak/>
        <w:t>Žiadosti o úpravu miery spolufinancovania sa musia podať postupom na zmenu operačných programov podľa článku 9 a k žiadosti sa musí priložiť upravený program. Miera spolufinancovania vo výške 100 % sa uplatňuje, len ak Komisia schváli zmenu príslušného programu najneskôr pred predložením konečnej žiadosti o priebežnú platbu v súlade s článkom 45 ods. 2.</w:t>
      </w:r>
    </w:p>
    <w:p>
      <w:pPr>
        <w:ind w:left="709"/>
        <w:rPr>
          <w:noProof/>
        </w:rPr>
      </w:pPr>
      <w:r>
        <w:rPr>
          <w:noProof/>
        </w:rPr>
        <w:t>Pred predložením prvej žiadosti o platbu na účtovný rok začínajúci 1. júla 2021 členské štáty oznámia tabuľku uvedenú v oddiele 5.1 vzorov pre operačný program stanovených v prílohe I, čím potvrdia mieru spolufinancovania, ktorá sa uplatňovala počas účtovného roku končiaceho 30. júna 2020.“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V článku 22 ods. 4 sa vkladá tento pododsek:</w:t>
      </w:r>
    </w:p>
    <w:p>
      <w:pPr>
        <w:ind w:left="720"/>
        <w:rPr>
          <w:noProof/>
        </w:rPr>
      </w:pPr>
      <w:r>
        <w:rPr>
          <w:noProof/>
        </w:rPr>
        <w:t>„Odchylne od prvého pododseku výdavky na operácie na zvýšenie kapacít reakcie na krízu v súvislosti so šírením ochorenia COVID-19 sú oprávnené od 1. februára 2020.“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V článku 23 sa vkladá tento odsek: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1440" w:hanging="720"/>
        <w:contextualSpacing/>
        <w:rPr>
          <w:rFonts w:eastAsia="Calibri"/>
          <w:noProof/>
        </w:rPr>
      </w:pPr>
      <w:r>
        <w:rPr>
          <w:noProof/>
        </w:rPr>
        <w:t xml:space="preserve">„4a. </w:t>
      </w:r>
      <w:r>
        <w:rPr>
          <w:noProof/>
        </w:rPr>
        <w:tab/>
        <w:t>Potravinová a/alebo základná materiálna pomoc sa môže poskytovať priamo najodkázanejším osobám alebo nepriamo prostredníctvom elektronických poukážok alebo kariet, ak za ne možno získať len potravinovú a/alebo základnú materiálnu pomoc v zmysle článku 2 ods. 1.“</w:t>
      </w:r>
    </w:p>
    <w:p>
      <w:pPr>
        <w:pStyle w:val="Point0"/>
        <w:rPr>
          <w:noProof/>
        </w:rPr>
      </w:pPr>
      <w:r>
        <w:rPr>
          <w:noProof/>
        </w:rPr>
        <w:t>6.</w:t>
      </w:r>
      <w:r>
        <w:rPr>
          <w:noProof/>
        </w:rPr>
        <w:tab/>
        <w:t>V článku 26 sa odsek 2 mení takto:</w:t>
      </w:r>
    </w:p>
    <w:p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Písmeno a) sa nahrádza takto:</w:t>
      </w:r>
    </w:p>
    <w:p>
      <w:pPr>
        <w:ind w:left="720"/>
        <w:rPr>
          <w:noProof/>
        </w:rPr>
      </w:pPr>
      <w:r>
        <w:rPr>
          <w:noProof/>
        </w:rPr>
        <w:t>„a) náklady na nákup potravinovej a/alebo základnej materiálnej pomoci a náklady na nákup osobných ochranných materiálov a prostriedkov pre partnerské organizácie;“.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Písmeno c) sa nahrádza takto:</w:t>
      </w:r>
    </w:p>
    <w:p>
      <w:pPr>
        <w:ind w:left="720"/>
        <w:rPr>
          <w:noProof/>
        </w:rPr>
      </w:pPr>
      <w:r>
        <w:rPr>
          <w:noProof/>
        </w:rPr>
        <w:t xml:space="preserve">„c) administratívne náklady, náklady na prípravu, dopravu a skladovanie vzniknuté partnerským organizáciám v paušálnej sadzbe 5 % nákladov uvedených v písmene a), alebo 5 % hodnoty potravinových výrobkov, s ktorými sa nakladá podľa článku 16 nariadenia (EÚ) č. 1308/2013;“. </w:t>
      </w:r>
    </w:p>
    <w:p>
      <w:pPr>
        <w:pStyle w:val="Point0"/>
        <w:rPr>
          <w:noProof/>
        </w:rPr>
      </w:pPr>
      <w:r>
        <w:rPr>
          <w:noProof/>
        </w:rPr>
        <w:t>7.</w:t>
      </w:r>
      <w:r>
        <w:rPr>
          <w:noProof/>
        </w:rPr>
        <w:tab/>
        <w:t>Vkladajú sa tieto články 26a, 26b a 26c:</w:t>
      </w:r>
    </w:p>
    <w:p>
      <w:pPr>
        <w:pStyle w:val="NormalCentered"/>
        <w:ind w:firstLine="720"/>
        <w:rPr>
          <w:noProof/>
        </w:rPr>
      </w:pPr>
      <w:r>
        <w:rPr>
          <w:noProof/>
        </w:rPr>
        <w:t xml:space="preserve">„Článok 26a </w:t>
      </w:r>
    </w:p>
    <w:p>
      <w:pPr>
        <w:pStyle w:val="NormalCentered"/>
        <w:ind w:firstLine="720"/>
        <w:rPr>
          <w:noProof/>
        </w:rPr>
      </w:pPr>
      <w:r>
        <w:rPr>
          <w:noProof/>
        </w:rPr>
        <w:t>Oprávnenosť výdavkov na operácie podporované v rámci OP I počas ich pozastavenia v dôsledku šírenia ochorenia COVID-19</w:t>
      </w:r>
    </w:p>
    <w:p>
      <w:pPr>
        <w:pStyle w:val="Text1"/>
        <w:rPr>
          <w:noProof/>
        </w:rPr>
      </w:pPr>
      <w:r>
        <w:rPr>
          <w:noProof/>
        </w:rPr>
        <w:t>Oneskorenia v poskytovaní potravinovej/základnej materiálnej pomoci v dôsledku šírenia ochorenia COVID-19 nevedú k zníženiu oprávnených nákladov, ktoré vznikli nakupujúcemu subjektu alebo partnerským organizáciám v súlade s článkom 26 ods. 2. Tieto náklady možno vykázať Komisii v súlade s článkom 26 ods. 2 pred poskytnutím potravinovej/základnej materiálnej pomoci najodkázanejším osobám, ak sa v jej dodávke pokračuje po prekonaní krízy COVID-19.</w:t>
      </w:r>
    </w:p>
    <w:p>
      <w:pPr>
        <w:pStyle w:val="Text1"/>
        <w:rPr>
          <w:noProof/>
        </w:rPr>
      </w:pPr>
      <w:r>
        <w:rPr>
          <w:noProof/>
        </w:rPr>
        <w:t>Ak sa potraviny pre pozastavenie dodávky v dôsledku šírenia ochorenia COVID-19 pokazia, náklady stanovené v článku 26 ods. 2 písm. a) sa neznížia.</w:t>
      </w:r>
    </w:p>
    <w:p>
      <w:pPr>
        <w:pStyle w:val="NormalCentered"/>
        <w:rPr>
          <w:noProof/>
        </w:rPr>
      </w:pPr>
      <w:r>
        <w:rPr>
          <w:noProof/>
        </w:rPr>
        <w:t>Článok 26b</w:t>
      </w:r>
    </w:p>
    <w:p>
      <w:pPr>
        <w:pStyle w:val="NormalCentered"/>
        <w:rPr>
          <w:noProof/>
        </w:rPr>
      </w:pPr>
      <w:r>
        <w:rPr>
          <w:noProof/>
        </w:rPr>
        <w:tab/>
        <w:t>Oprávnenosť výdavkov na operácie podporované v rámci OP II alebo technickej pomoci počas ich pozastavenia v dôsledku šírenia ochorenia COVID-19</w:t>
      </w:r>
    </w:p>
    <w:p>
      <w:pPr>
        <w:pStyle w:val="Text1"/>
        <w:rPr>
          <w:noProof/>
        </w:rPr>
      </w:pPr>
      <w:r>
        <w:rPr>
          <w:noProof/>
        </w:rPr>
        <w:lastRenderedPageBreak/>
        <w:t>1.</w:t>
      </w:r>
      <w:r>
        <w:rPr>
          <w:noProof/>
        </w:rPr>
        <w:tab/>
        <w:t>V prípade operácií, ktorých realizácia je pozastavená v dôsledku šírenia ochorenia COVID-19, môže členský štát považovať výdavky počas pozastavenia za oprávnené výdavky, aj keď nie sú poskytnuté žiadne služby, ak sú splnené tieto kumulatívne podmienky:</w:t>
      </w:r>
    </w:p>
    <w:p>
      <w:pPr>
        <w:pStyle w:val="Text1"/>
        <w:rPr>
          <w:noProof/>
        </w:rPr>
      </w:pPr>
      <w:r>
        <w:rPr>
          <w:noProof/>
        </w:rPr>
        <w:t>a)</w:t>
      </w:r>
      <w:r>
        <w:rPr>
          <w:noProof/>
        </w:rPr>
        <w:tab/>
        <w:t>realizácia operácie je pozastavená po 31. januári 2020;</w:t>
      </w:r>
    </w:p>
    <w:p>
      <w:pPr>
        <w:pStyle w:val="Text1"/>
        <w:rPr>
          <w:noProof/>
        </w:rPr>
      </w:pPr>
      <w:r>
        <w:rPr>
          <w:noProof/>
        </w:rPr>
        <w:t>b)</w:t>
      </w:r>
      <w:r>
        <w:rPr>
          <w:noProof/>
        </w:rPr>
        <w:tab/>
        <w:t>operácia je pozastavená v dôsledku šírenia ochorenia COVID-19;</w:t>
      </w:r>
    </w:p>
    <w:p>
      <w:pPr>
        <w:pStyle w:val="Tex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výdavky boli vynaložené a zaplatené; </w:t>
      </w:r>
    </w:p>
    <w:p>
      <w:pPr>
        <w:pStyle w:val="Tex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výdavky predstavujú skutočné náklady pre prijímateľa a nemožno ich vymôcť ani kompenzovať; v prípade vymožených platieb a kompenzácií, ktoré neposkytuje členský štát, môže členský štát akceptovať, že splnenie tejto podmienky je preukázané vo vyhlásení prijímateľa; vymožené platby a kompenzácie sa odpočítajú od výdavkov; </w:t>
      </w:r>
    </w:p>
    <w:p>
      <w:pPr>
        <w:pStyle w:val="Text1"/>
        <w:rPr>
          <w:noProof/>
        </w:rPr>
      </w:pPr>
      <w:r>
        <w:rPr>
          <w:noProof/>
        </w:rPr>
        <w:t>e)</w:t>
      </w:r>
      <w:r>
        <w:rPr>
          <w:noProof/>
        </w:rPr>
        <w:tab/>
        <w:t>výdavky sú obmedzené na obdobie pozastavenia operácie.</w:t>
      </w:r>
    </w:p>
    <w:p>
      <w:pPr>
        <w:pStyle w:val="Text1"/>
        <w:rPr>
          <w:noProof/>
        </w:rPr>
      </w:pPr>
      <w:r>
        <w:rPr>
          <w:noProof/>
        </w:rPr>
        <w:t>2.</w:t>
      </w:r>
      <w:r>
        <w:rPr>
          <w:noProof/>
        </w:rPr>
        <w:tab/>
        <w:t>V prípade operácií, kde sa prijímateľovi uhradia výdavky na základe zjednodušeného vykazovania výdavkov a realizácia činností predstavujúcich základ na uhradenie je pozastavená v dôsledku šírenia ochorenia COVID-19, dotknutý členský štát môže uhradiť výdavky prijímateľovi na základe výstupov plánovaných na obdobie pozastavenia, aj keď neboli poskytnuté žiadne činnosti, ak sú splnené tieto kumulatívne podmienky:</w:t>
      </w:r>
    </w:p>
    <w:p>
      <w:pPr>
        <w:pStyle w:val="Text1"/>
        <w:rPr>
          <w:noProof/>
        </w:rPr>
      </w:pPr>
      <w:r>
        <w:rPr>
          <w:noProof/>
        </w:rPr>
        <w:t>a)</w:t>
      </w:r>
      <w:r>
        <w:rPr>
          <w:noProof/>
        </w:rPr>
        <w:tab/>
        <w:t>realizácia činností je pozastavená po 31. januári 2020;</w:t>
      </w:r>
    </w:p>
    <w:p>
      <w:pPr>
        <w:pStyle w:val="Text1"/>
        <w:rPr>
          <w:noProof/>
        </w:rPr>
      </w:pPr>
      <w:r>
        <w:rPr>
          <w:noProof/>
        </w:rPr>
        <w:t>b)</w:t>
      </w:r>
      <w:r>
        <w:rPr>
          <w:noProof/>
        </w:rPr>
        <w:tab/>
        <w:t>činnosti sú pozastavené v dôsledku šírenia ochorenia COVID-19;</w:t>
      </w:r>
    </w:p>
    <w:p>
      <w:pPr>
        <w:pStyle w:val="Text1"/>
        <w:rPr>
          <w:noProof/>
        </w:rPr>
      </w:pPr>
      <w:r>
        <w:rPr>
          <w:noProof/>
        </w:rPr>
        <w:t>c)</w:t>
      </w:r>
      <w:r>
        <w:rPr>
          <w:noProof/>
        </w:rPr>
        <w:tab/>
        <w:t>zjednodušené vykazovanie výdavkov zodpovedá skutočným vzniknutým nákladom prijímateľa, ktoré musí preukázať a ktoré nemožno vymôcť ani kompenzovať; v prípade vymožených platieb a kompenzácií, ktoré neposkytuje členský štát, môže členský štát akceptovať, že neexistujú žiadne vymožené platby ani kompenzácie na základe vyhlásenia prijímateľa; vymožené platby a kompenzácie sa odpočítajú od sumy zodpovedajúcej zjednodušenému vykazovaniu výdavkov;</w:t>
      </w:r>
    </w:p>
    <w:p>
      <w:pPr>
        <w:pStyle w:val="Text1"/>
        <w:rPr>
          <w:noProof/>
        </w:rPr>
      </w:pPr>
      <w:r>
        <w:rPr>
          <w:noProof/>
        </w:rPr>
        <w:t>d)</w:t>
      </w:r>
      <w:r>
        <w:rPr>
          <w:noProof/>
        </w:rPr>
        <w:tab/>
        <w:t>uhradenie výdavkov prijímateľovi je obmedzené na obdobie pozastavenia činnosti.</w:t>
      </w:r>
    </w:p>
    <w:p>
      <w:pPr>
        <w:pStyle w:val="Text1"/>
        <w:rPr>
          <w:noProof/>
        </w:rPr>
      </w:pPr>
      <w:r>
        <w:rPr>
          <w:noProof/>
        </w:rPr>
        <w:t>V prípade operácií uvedených v prvom pododseku môže členský štát takisto uhradiť výdavky prijímateľovi na základe nákladov podľa článku 25 ods. 1 písm. a), ak sú splnené podmienky stanovené v odseku 1 tohto článku.</w:t>
      </w:r>
    </w:p>
    <w:p>
      <w:pPr>
        <w:pStyle w:val="Text1"/>
        <w:rPr>
          <w:noProof/>
        </w:rPr>
      </w:pPr>
      <w:r>
        <w:rPr>
          <w:noProof/>
        </w:rPr>
        <w:t>Ak členský štát uhradí prijímateľovi výdavky na základe oboch možností, zabezpečí, že tie isté výdavky sú uhradené len raz.</w:t>
      </w:r>
    </w:p>
    <w:p>
      <w:pPr>
        <w:pStyle w:val="NormalCentered"/>
        <w:rPr>
          <w:noProof/>
        </w:rPr>
      </w:pPr>
      <w:r>
        <w:rPr>
          <w:noProof/>
        </w:rPr>
        <w:t>Článok 26c</w:t>
      </w:r>
    </w:p>
    <w:p>
      <w:pPr>
        <w:pStyle w:val="NormalCentered"/>
        <w:ind w:left="720"/>
        <w:rPr>
          <w:noProof/>
        </w:rPr>
      </w:pPr>
      <w:r>
        <w:rPr>
          <w:noProof/>
        </w:rPr>
        <w:t xml:space="preserve">Oprávnenosť výdavkov na operácie podporované v rámci OP II alebo technickej pomoci, ktoré nie sú plne realizované v dôsledku šírenia ochorenia COVID-19  </w:t>
      </w:r>
    </w:p>
    <w:p>
      <w:pPr>
        <w:pStyle w:val="Text1"/>
        <w:rPr>
          <w:noProof/>
        </w:rPr>
      </w:pPr>
      <w:r>
        <w:rPr>
          <w:noProof/>
        </w:rPr>
        <w:t>1. Členský štát môže považovať výdavky na operácie, ktoré nie sú plne realizované v dôsledku šírenia ochorenia COVID-19, za oprávnené výdavky, ak sú splnené tieto kumulatívne podmienky:</w:t>
      </w:r>
    </w:p>
    <w:p>
      <w:pPr>
        <w:pStyle w:val="Text1"/>
        <w:rPr>
          <w:noProof/>
        </w:rPr>
      </w:pPr>
      <w:r>
        <w:rPr>
          <w:noProof/>
        </w:rPr>
        <w:t>a) realizácia operácie je zrušená po 31. januári 2020;</w:t>
      </w:r>
    </w:p>
    <w:p>
      <w:pPr>
        <w:pStyle w:val="Text1"/>
        <w:rPr>
          <w:noProof/>
        </w:rPr>
      </w:pPr>
      <w:r>
        <w:rPr>
          <w:noProof/>
        </w:rPr>
        <w:t>b) operácia je zrušená v dôsledku šírenia ochorenia COVID-19;</w:t>
      </w:r>
    </w:p>
    <w:p>
      <w:pPr>
        <w:pStyle w:val="Text1"/>
        <w:rPr>
          <w:noProof/>
        </w:rPr>
      </w:pPr>
      <w:r>
        <w:rPr>
          <w:noProof/>
        </w:rPr>
        <w:t>c) výdavky vzniknuté pred zrušením operácie prijímateľ vynaložil a zaplatil.</w:t>
      </w:r>
    </w:p>
    <w:p>
      <w:pPr>
        <w:pStyle w:val="Text1"/>
        <w:rPr>
          <w:noProof/>
        </w:rPr>
      </w:pPr>
      <w:r>
        <w:rPr>
          <w:noProof/>
        </w:rPr>
        <w:lastRenderedPageBreak/>
        <w:t>2. V prípade výdavkov na operácie, ktoré boli prijímateľovi uhradené na základe zjednodušeného vykazovania výdavkov, môže členský štát považovať výdavky na operácie, ktoré nie sú plne realizované v dôsledku šírenia ochorenia COVID-19, za oprávnené výdavky, ak sú splnené tieto kumulatívne podmienky:</w:t>
      </w:r>
    </w:p>
    <w:p>
      <w:pPr>
        <w:pStyle w:val="Text1"/>
        <w:rPr>
          <w:noProof/>
        </w:rPr>
      </w:pPr>
      <w:r>
        <w:rPr>
          <w:noProof/>
        </w:rPr>
        <w:t>a)</w:t>
      </w:r>
      <w:r>
        <w:rPr>
          <w:noProof/>
        </w:rPr>
        <w:tab/>
        <w:t>realizácia operácie je zrušená po 31. januári 2020;</w:t>
      </w:r>
    </w:p>
    <w:p>
      <w:pPr>
        <w:pStyle w:val="Text1"/>
        <w:rPr>
          <w:noProof/>
        </w:rPr>
      </w:pPr>
      <w:r>
        <w:rPr>
          <w:noProof/>
        </w:rPr>
        <w:t>b)</w:t>
      </w:r>
      <w:r>
        <w:rPr>
          <w:noProof/>
        </w:rPr>
        <w:tab/>
        <w:t>operácia je zrušená v dôsledku šírenia ochorenia COVID-19;</w:t>
      </w:r>
    </w:p>
    <w:p>
      <w:pPr>
        <w:pStyle w:val="Text1"/>
        <w:rPr>
          <w:noProof/>
        </w:rPr>
      </w:pPr>
      <w:r>
        <w:rPr>
          <w:noProof/>
        </w:rPr>
        <w:t>c)</w:t>
      </w:r>
      <w:r>
        <w:rPr>
          <w:noProof/>
        </w:rPr>
        <w:tab/>
        <w:t>činnosti, na ktoré sa vzťahuje zjednodušené vykazovanie výdavkov, boli aspoň čiastočne poskytnuté pred zrušením operácie.</w:t>
      </w:r>
    </w:p>
    <w:p>
      <w:pPr>
        <w:pStyle w:val="Text1"/>
        <w:rPr>
          <w:noProof/>
        </w:rPr>
      </w:pPr>
      <w:r>
        <w:rPr>
          <w:noProof/>
        </w:rPr>
        <w:t>V prípade operácií uvedených v prvom pododseku môže členský štát takisto uhradiť výdavky prijímateľovi na základe nákladov podľa článku 25 ods. 1 písm. a), ak sú splnené podmienky stanovené v odseku 1 tohto článku.</w:t>
      </w:r>
    </w:p>
    <w:p>
      <w:pPr>
        <w:pStyle w:val="Text1"/>
        <w:rPr>
          <w:noProof/>
        </w:rPr>
      </w:pPr>
      <w:r>
        <w:rPr>
          <w:noProof/>
        </w:rPr>
        <w:t>Ak členský štát uhradí prijímateľovi výdavky na základe oboch možností, zabezpečí, že tie isté výdavky sú uhradené len raz.“</w:t>
      </w:r>
    </w:p>
    <w:p>
      <w:pPr>
        <w:pStyle w:val="Point0"/>
        <w:rPr>
          <w:noProof/>
        </w:rPr>
      </w:pPr>
      <w:r>
        <w:rPr>
          <w:noProof/>
        </w:rPr>
        <w:t>8.</w:t>
      </w:r>
      <w:r>
        <w:rPr>
          <w:noProof/>
        </w:rPr>
        <w:tab/>
        <w:t>V článku 30 sa vkladá tento odsek:</w:t>
      </w:r>
    </w:p>
    <w:p>
      <w:pPr>
        <w:ind w:left="720"/>
        <w:rPr>
          <w:noProof/>
        </w:rPr>
      </w:pPr>
      <w:r>
        <w:rPr>
          <w:noProof/>
        </w:rPr>
        <w:t>„1a Na základe analýzy potenciálnych rizík môžu členské štáty počas obdobia šírenia ochorenia COVID-19 stanoviť miernejšie požiadavky na kontrolu a audítorský záznam vzhľadom na distribúciu potravinovej/materiálnej pomoci najodkázanejším osobám.“</w:t>
      </w:r>
    </w:p>
    <w:p>
      <w:pPr>
        <w:pStyle w:val="Titrearticle"/>
        <w:rPr>
          <w:noProof/>
        </w:rPr>
      </w:pPr>
      <w:r>
        <w:rPr>
          <w:noProof/>
        </w:rPr>
        <w:t xml:space="preserve">Článok 2 </w:t>
      </w:r>
    </w:p>
    <w:p>
      <w:pPr>
        <w:rPr>
          <w:rFonts w:eastAsia="Calibri"/>
          <w:noProof/>
        </w:rPr>
      </w:pPr>
      <w:r>
        <w:rPr>
          <w:noProof/>
        </w:rPr>
        <w:t xml:space="preserve">Toto nariadenie nadobúda účinnosť dňom nasledujúcim po jeho uverejnení v </w:t>
      </w:r>
      <w:r>
        <w:rPr>
          <w:i/>
          <w:iCs/>
          <w:noProof/>
        </w:rPr>
        <w:t>Úradnom vestníku Európskej únie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Toto nariadenie je záväzné v celom rozsahu a priamo uplatniteľné vo všetkých členských štátoch.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LEGISLATÍVNY FINANČNÝ VÝKAZ</w:t>
      </w:r>
    </w:p>
    <w:p>
      <w:pPr>
        <w:pStyle w:val="ManualHeading1"/>
        <w:rPr>
          <w:noProof/>
        </w:rPr>
      </w:pPr>
      <w:r>
        <w:rPr>
          <w:noProof/>
        </w:rPr>
        <w:t xml:space="preserve">RÁMEC NÁVRHU/INICIATÍVY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b w:val="0"/>
          <w:noProof/>
        </w:rPr>
        <w:tab/>
        <w:t xml:space="preserve">Názov návrhu/iniciatívy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1.2.</w:t>
      </w:r>
      <w:r>
        <w:rPr>
          <w:b w:val="0"/>
          <w:noProof/>
        </w:rPr>
        <w:tab/>
        <w:t>Príslušné oblasti politiky v rámci ABM/ABB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1.3.</w:t>
      </w:r>
      <w:r>
        <w:rPr>
          <w:b w:val="0"/>
          <w:noProof/>
        </w:rPr>
        <w:tab/>
        <w:t xml:space="preserve">Druh návrhu/iniciatívy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1.4.</w:t>
      </w:r>
      <w:r>
        <w:rPr>
          <w:b w:val="0"/>
          <w:noProof/>
        </w:rPr>
        <w:tab/>
        <w:t xml:space="preserve">Ciele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1.5.</w:t>
      </w:r>
      <w:r>
        <w:rPr>
          <w:b w:val="0"/>
          <w:noProof/>
        </w:rPr>
        <w:tab/>
        <w:t xml:space="preserve">Dôvody návrhu/iniciatívy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1.6.</w:t>
      </w:r>
      <w:r>
        <w:rPr>
          <w:b w:val="0"/>
          <w:noProof/>
        </w:rPr>
        <w:tab/>
        <w:t xml:space="preserve">Trvanie a finančný vplyv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1.7.</w:t>
      </w:r>
      <w:r>
        <w:rPr>
          <w:b w:val="0"/>
          <w:noProof/>
        </w:rPr>
        <w:tab/>
        <w:t xml:space="preserve">Plánovaný spôsob riadenia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OPATRENIA V OBLASTI RIADENIA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2.1.</w:t>
      </w:r>
      <w:r>
        <w:rPr>
          <w:b w:val="0"/>
          <w:noProof/>
        </w:rPr>
        <w:tab/>
        <w:t xml:space="preserve">Opatrenia týkajúce sa monitorovania a predkladania správ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2.2.</w:t>
      </w:r>
      <w:r>
        <w:rPr>
          <w:b w:val="0"/>
          <w:noProof/>
        </w:rPr>
        <w:tab/>
        <w:t xml:space="preserve">Systémy riadenia a kontroly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2.3.</w:t>
      </w:r>
      <w:r>
        <w:rPr>
          <w:b w:val="0"/>
          <w:noProof/>
        </w:rPr>
        <w:tab/>
        <w:t xml:space="preserve">Opatrenia na predchádzanie podvodom a nezrovnalostiam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ODHADOVANÝ FINANČNÝ VPLYV NÁVRHU/INICIATÍVY </w:t>
      </w:r>
    </w:p>
    <w:p>
      <w:pPr>
        <w:pStyle w:val="ManualHeading2"/>
        <w:rPr>
          <w:b w:val="0"/>
          <w:noProof/>
        </w:rPr>
      </w:pPr>
      <w:r>
        <w:rPr>
          <w:b w:val="0"/>
          <w:noProof/>
        </w:rPr>
        <w:tab/>
        <w:t>3.1.</w:t>
      </w:r>
      <w:r>
        <w:rPr>
          <w:b w:val="0"/>
          <w:noProof/>
        </w:rPr>
        <w:tab/>
        <w:t xml:space="preserve">Príslušné okruhy viacročného finančného rámca a rozpočtové riadky výdavkov </w:t>
      </w:r>
    </w:p>
    <w:p>
      <w:pPr>
        <w:pStyle w:val="ManualHeading2"/>
        <w:rPr>
          <w:noProof/>
        </w:rPr>
      </w:pPr>
      <w:r>
        <w:rPr>
          <w:b w:val="0"/>
          <w:noProof/>
        </w:rPr>
        <w:tab/>
        <w:t>3.2.</w:t>
      </w:r>
      <w:r>
        <w:rPr>
          <w:b w:val="0"/>
          <w:noProof/>
        </w:rPr>
        <w:tab/>
        <w:t>Odhadovaný vplyv na výdavky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Zhrnutie odhadovaného vplyvu na výdavky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Odhadovaný vplyv na operačné rozpočtové prostriedky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Odhadovaný vplyv na administratívne rozpočtové prostriedky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Súlad s platným viacročným finančným rámcom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Príspevky od tretích strán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b w:val="0"/>
          <w:noProof/>
        </w:rPr>
        <w:tab/>
        <w:t>3.3.</w:t>
      </w:r>
      <w:r>
        <w:rPr>
          <w:b w:val="0"/>
          <w:noProof/>
        </w:rPr>
        <w:tab/>
        <w:t>Odhadovaný vplyv na príjmy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LEGISLATÍVNY FINANČNÝ VÝKAZ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RÁMEC NÁVRHU/INICIATÍVY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Názov návrhu/iniciatívy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Návrh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NARIADENIE EURÓPSKEHO PARLAMENTU A RADY,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ktorým sa mení nariadenie (EÚ) č. 223/2014, pokiaľ ide o zavedenie osobitných opatrení na riešenie krízy COVID-19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>Príslušné oblasti politiky v rámci ABM/ABB</w:t>
      </w:r>
      <w:r>
        <w:rPr>
          <w:rStyle w:val="FootnoteReference"/>
          <w:bCs/>
          <w:noProof/>
        </w:rPr>
        <w:footnoteReference w:id="4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4 Zamestnanosť, sociálne záležitosti a začlenenie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06 – Fond európskej pomoci pre najodkázanejšie osoby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04 06 01 – Podpora sociálnej súdržnosti a zmiernenie najhorších foriem chudoby v Únii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Druh návrhu/iniciatívy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Návrh/iniciatíva sa týka </w:t>
      </w:r>
      <w:r>
        <w:rPr>
          <w:b/>
          <w:noProof/>
        </w:rPr>
        <w:t>novej akcie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Návrh/iniciatíva sa týka </w:t>
      </w:r>
      <w:r>
        <w:rPr>
          <w:b/>
          <w:noProof/>
        </w:rPr>
        <w:t>novej akcie, ktorá nadväzuje na pilotný projekt/prípravnú akciu</w:t>
      </w:r>
      <w:r>
        <w:rPr>
          <w:rStyle w:val="FootnoteReference"/>
          <w:b/>
          <w:noProof/>
        </w:rPr>
        <w:footnoteReference w:id="5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7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Návrh/iniciatíva sa týka </w:t>
      </w:r>
      <w:r>
        <w:rPr>
          <w:b/>
          <w:noProof/>
        </w:rPr>
        <w:t>predĺženia trvania existujúcej akcie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Návrh/iniciatíva sa týka </w:t>
      </w:r>
      <w:r>
        <w:rPr>
          <w:b/>
          <w:noProof/>
        </w:rPr>
        <w:t>akcie presmerovanej na novú akciu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Ciele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Viacročné strategické ciele Komisie, ktoré sú predmetom návrhu/iniciatívy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Špecifické ciele a príslušné činnosti v rámci ABM/ABB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Špecifický cieľ č.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Príslušné činnosti v rámci ABM/ABB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1.4.3.</w:t>
      </w:r>
      <w:r>
        <w:rPr>
          <w:noProof/>
        </w:rPr>
        <w:tab/>
        <w:t>Očakávané výsledky a vplyv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Uveďte, aký vplyv by mal mať návrh/iniciatíva na prijímateľov/cieľové skupiny.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Ukazovatele výsledkov a vplyvu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Uveďte ukazovatele, pomocou ktorých je možné sledovať uskutočňovanie návrhu/iniciatívy.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Dôvody návrhu/iniciatívy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Potreby, ktoré sa majú uspokojiť v krátkodobom alebo dlhodobom horizonte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Prínos zapojenia Európskej únie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Poznatky získané z podobných skúseností v minulosti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Zlučiteľnosť a možná synergia s inými vhodnými nástrojmi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1.6.</w:t>
      </w:r>
      <w:r>
        <w:rPr>
          <w:noProof/>
        </w:rPr>
        <w:tab/>
        <w:t xml:space="preserve">Trvanie a finančný vplyv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Návrh/iniciatíva s </w:t>
      </w:r>
      <w:r>
        <w:rPr>
          <w:b/>
          <w:noProof/>
        </w:rPr>
        <w:t xml:space="preserve">obmedzeným trvaním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Návrh/iniciatíva je v platnosti od 01/07/2020 do 30/06/2021.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Finančný vplyv od 2020 do 2024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Návrh/iniciatíva s </w:t>
      </w:r>
      <w:r>
        <w:rPr>
          <w:b/>
          <w:noProof/>
        </w:rPr>
        <w:t>neobmedzeným trvaním</w:t>
      </w:r>
    </w:p>
    <w:p>
      <w:pPr>
        <w:pStyle w:val="ListDash1"/>
        <w:rPr>
          <w:noProof/>
        </w:rPr>
      </w:pPr>
      <w:r>
        <w:rPr>
          <w:noProof/>
        </w:rPr>
        <w:t>Počiatočná fáza vykonávania bude trvať od RRRR do RRRR,</w:t>
      </w:r>
    </w:p>
    <w:p>
      <w:pPr>
        <w:pStyle w:val="ListDash1"/>
        <w:rPr>
          <w:noProof/>
        </w:rPr>
      </w:pPr>
      <w:r>
        <w:rPr>
          <w:noProof/>
        </w:rPr>
        <w:t>a potom bude implementácia pokračovať v plnom rozsahu.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Plánovaný spôsob riadenia</w:t>
      </w:r>
      <w:r>
        <w:rPr>
          <w:rStyle w:val="FootnoteReference"/>
          <w:bCs/>
          <w:noProof/>
        </w:rPr>
        <w:footnoteReference w:id="6"/>
      </w:r>
      <w:r>
        <w:rPr>
          <w:rStyle w:val="FootnoteReference"/>
          <w:noProof/>
        </w:rPr>
        <w:t xml:space="preserve"> 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Priame riadenie</w:t>
      </w:r>
      <w:r>
        <w:rPr>
          <w:noProof/>
        </w:rPr>
        <w:t xml:space="preserve"> na úrovni Komisie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prostredníctvom jej útvarov vrátane zamestnancov v delegáciách Únie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prostredníctvom výkonných agentúr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noProof/>
        </w:rPr>
        <w:t>Zdieľané riadenie</w:t>
      </w:r>
      <w:r>
        <w:rPr>
          <w:noProof/>
        </w:rPr>
        <w:t xml:space="preserve"> s členskými štátmi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Nepriame riadenie</w:t>
      </w:r>
      <w:r>
        <w:rPr>
          <w:noProof/>
        </w:rPr>
        <w:t>, pri ktorom sa plnením rozpočtu poveria: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tretie krajiny alebo subjekty, ktoré tieto krajiny určili,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medzinárodné organizácie a ich agentúry (uveďte),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Európska investičná banka (EIB) a Európsky investičný fond,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subjekty uvedené v článkoch 208 a 209 nariadenia o rozpočtových pravidlách,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verejnoprávne subjekty,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súkromnoprávne subjekty poverené vykonávaním verejnej služby, pokiaľ tieto subjekty poskytujú dostatočné finančné záruky,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súkromnoprávne subjekty spravované právom členského štátu, ktoré sú poverené vykonávaním verejno-súkromného partnerstva a ktoré poskytujú dostatočné finančné záruky,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osoby poverené vykonávaním osobitných činností v oblasti SZBP podľa hlavy V Zmluvy o Európskej únii a určené v príslušnom základnom akte.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V prípade viacerých spôsobov riadenia uveďte v oddiele „Poznámky“ presnejšie vysvetlenie.</w:t>
      </w:r>
    </w:p>
    <w:p>
      <w:pPr>
        <w:rPr>
          <w:noProof/>
        </w:rPr>
      </w:pPr>
      <w:r>
        <w:rPr>
          <w:noProof/>
        </w:rPr>
        <w:t xml:space="preserve">Poznámky: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OPATRENIA V OBLASTI RIADENIA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Opatrenia týkajúce sa monitorovania a predkladania správ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Uveďte časový interval a podmienky, ktoré sa vzťahujú na tieto opatrenia.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Systémy riadenia a kontroly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Zistené riziká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Informácie o zavedenom systéme vnútornej kontroly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Odhad nákladov a prínosov kontrol a posúdenie očakávanej úrovne rizika chyby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Opatrenia na predchádzanie podvodom a nezrovnalostiam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Uveďte existujúce a plánované preventívne a ochranné opatrenia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Neuplatňuje sa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ODHADOVANÝ FINANČNÝ VPLYV NÁVRHU/INICIATÍVY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Príslušné okruhy viacročného finančného rámca a rozpočtové riadky výdavkov </w:t>
      </w:r>
    </w:p>
    <w:p>
      <w:pPr>
        <w:pStyle w:val="ListBullet1"/>
        <w:rPr>
          <w:noProof/>
        </w:rPr>
      </w:pPr>
      <w:r>
        <w:rPr>
          <w:noProof/>
        </w:rPr>
        <w:t xml:space="preserve">Existujúce rozpočtové riadky </w:t>
      </w:r>
    </w:p>
    <w:p>
      <w:pPr>
        <w:pStyle w:val="Text1"/>
        <w:rPr>
          <w:noProof/>
        </w:rPr>
      </w:pPr>
      <w:r>
        <w:rPr>
          <w:noProof/>
          <w:u w:val="single"/>
        </w:rPr>
        <w:t>V poradí</w:t>
      </w:r>
      <w:r>
        <w:rPr>
          <w:noProof/>
        </w:rPr>
        <w:t>, v akom za sebou nasledujú okruhy viacročného finančného rámca a rozpočtové riadky.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Okruh viacročného finančného rámca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Rozpočtový riadok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Druh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výdavkov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Príspevky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Číslo 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[Okruh………………………...……………]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DRP/NRP</w:t>
            </w:r>
            <w:r>
              <w:rPr>
                <w:rStyle w:val="FootnoteReference"/>
                <w:noProof/>
                <w:sz w:val="18"/>
              </w:rPr>
              <w:footnoteReference w:id="7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krajín EZVO</w:t>
            </w:r>
            <w:r>
              <w:rPr>
                <w:rStyle w:val="FootnoteReference"/>
                <w:noProof/>
                <w:sz w:val="18"/>
              </w:rPr>
              <w:footnoteReference w:id="8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kandidátskych krajín</w:t>
            </w:r>
            <w:r>
              <w:rPr>
                <w:rStyle w:val="FootnoteReference"/>
                <w:noProof/>
                <w:sz w:val="18"/>
              </w:rPr>
              <w:footnoteReference w:id="9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tretích krajín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v zmysle článku 21 ods. 2 písm. b) nariadenia o rozpočtových pravidlách </w:t>
            </w:r>
          </w:p>
        </w:tc>
      </w:tr>
      <w:tr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1 Inteligentný a inkluzívny rast</w:t>
            </w:r>
          </w:p>
        </w:tc>
        <w:tc>
          <w:tcPr>
            <w:tcW w:w="3960" w:type="dxa"/>
            <w:vAlign w:val="center"/>
          </w:tcPr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06 01 – Podpora sociálnej súdržnosti a zmiernenie najhorších foriem chudoby v Únii</w:t>
            </w:r>
          </w:p>
          <w:p>
            <w:pPr>
              <w:spacing w:after="60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DRP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NIE</w:t>
            </w:r>
          </w:p>
        </w:tc>
      </w:tr>
    </w:tbl>
    <w:p>
      <w:pPr>
        <w:rPr>
          <w:noProof/>
        </w:rPr>
      </w:pPr>
    </w:p>
    <w:p>
      <w:pPr>
        <w:pStyle w:val="ListBullet1"/>
        <w:rPr>
          <w:noProof/>
        </w:rPr>
      </w:pPr>
      <w:r>
        <w:rPr>
          <w:noProof/>
        </w:rPr>
        <w:t xml:space="preserve">Požadované nové rozpočtové riadky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V poradí</w:t>
      </w:r>
      <w:r>
        <w:rPr>
          <w:i/>
          <w:noProof/>
        </w:rPr>
        <w:t>, v akom za sebou nasledujú okruhy viacročného finančného rámca a rozpočtové riadky.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761"/>
        <w:gridCol w:w="1275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Okruh viacročného finančného rámca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Rozpočtový riadok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Druh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výdavkov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Príspevky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Číslo 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[Okruh………………………...……………]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DRP/NRP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krajín EZVO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kandidátskych krajín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tretích krajín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v zmysle článku 21 ods. 2 písm. b) nariadenia o rozpočtových pravidlách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[XX YY 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ÁNO/NIE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ÁNO/NIE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ÁNO/NIE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ÁNO/NIE</w:t>
            </w:r>
          </w:p>
        </w:tc>
      </w:tr>
    </w:tbl>
    <w:p>
      <w:pPr>
        <w:pStyle w:val="Institution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3.2.</w:t>
      </w:r>
      <w:r>
        <w:rPr>
          <w:noProof/>
        </w:rPr>
        <w:tab/>
        <w:t xml:space="preserve">Odhadovaný vplyv na výdavky </w:t>
      </w:r>
    </w:p>
    <w:p>
      <w:pPr>
        <w:rPr>
          <w:noProof/>
        </w:rPr>
      </w:pPr>
      <w:r>
        <w:rPr>
          <w:noProof/>
        </w:rPr>
        <w:t>Navrhovaná zmena nemá za následok žiadne zmeny, pokiaľ ide o ročné stropy záväzkov a platieb vo viacročnom finančnom rámci podľa nariadenia (EÚ) č. 223/2014. Celkové ročné rozdelenie viazaných rozpočtových prostriedkov pre FEAD ostáva nezmenené.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Návrhom sa predsunú platobné rozpočtové prostriedky na účtovné obdobie, ktoré sa začne 1. júla 2020 a skončí 30. júna 2021, ako sa odhaduje ďalej. </w:t>
      </w: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Zhrnutie odhadovaného vplyvu na výdavky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 mil. EUR v bežných cenách (zaokrúhlené na 3 desatinné miesta)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80"/>
        <w:gridCol w:w="7817"/>
      </w:tblGrid>
      <w:tr>
        <w:trPr>
          <w:jc w:val="center"/>
        </w:trPr>
        <w:tc>
          <w:tcPr>
            <w:tcW w:w="5351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Okruh viacročného finančného 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rámca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Číslo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1b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Inteligentný a inkluzívny rast</w:t>
            </w:r>
          </w:p>
        </w:tc>
      </w:tr>
    </w:tbl>
    <w:p>
      <w:pPr>
        <w:rPr>
          <w:noProof/>
          <w:sz w:val="16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756"/>
        <w:gridCol w:w="1362"/>
        <w:gridCol w:w="78"/>
        <w:gridCol w:w="630"/>
        <w:gridCol w:w="426"/>
        <w:gridCol w:w="1275"/>
        <w:gridCol w:w="1278"/>
        <w:gridCol w:w="1277"/>
        <w:gridCol w:w="1276"/>
        <w:gridCol w:w="1276"/>
        <w:gridCol w:w="1560"/>
      </w:tblGrid>
      <w:tr>
        <w:tc>
          <w:tcPr>
            <w:tcW w:w="220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GR: </w:t>
            </w:r>
            <w:r>
              <w:rPr>
                <w:noProof/>
              </w:rPr>
              <w:t>EMPL</w:t>
            </w:r>
          </w:p>
        </w:tc>
        <w:tc>
          <w:tcPr>
            <w:tcW w:w="3118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</w:tcPr>
          <w:p>
            <w:pPr>
              <w:rPr>
                <w:noProof/>
              </w:rPr>
            </w:pPr>
          </w:p>
        </w:tc>
        <w:tc>
          <w:tcPr>
            <w:tcW w:w="127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27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2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rPr>
          <w:trHeight w:val="213"/>
        </w:trPr>
        <w:tc>
          <w:tcPr>
            <w:tcW w:w="6026" w:type="dxa"/>
            <w:gridSpan w:val="5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Operačné rozpočtové prostriedky </w:t>
            </w:r>
          </w:p>
        </w:tc>
        <w:tc>
          <w:tcPr>
            <w:tcW w:w="42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2200" w:type="dxa"/>
            <w:vAlign w:val="center"/>
          </w:tcPr>
          <w:p>
            <w:pPr>
              <w:spacing w:before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1b: Hospodárska, sociálna a územná súdržnosť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Fond európskej pomoci pre najodkázanejšie osoby</w:t>
            </w:r>
            <w:r>
              <w:rPr>
                <w:noProof/>
                <w:sz w:val="21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before="20" w:after="2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Záväzky </w:t>
            </w:r>
          </w:p>
          <w:p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04 06 01 – Podpora sociálnej súdržnosti a zmiernenie najhorších foriem chudoby v Únii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</w:tc>
      </w:tr>
      <w:tr>
        <w:trPr>
          <w:trHeight w:val="85"/>
        </w:trPr>
        <w:tc>
          <w:tcPr>
            <w:tcW w:w="2200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before="20" w:after="2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Platby </w:t>
            </w:r>
          </w:p>
          <w:p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04 06 01 – Podpora sociálnej súdržnosti a zmiernenie najhorších foriem chudoby v Únii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41 920</w:t>
            </w: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25 200</w:t>
            </w: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5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0,00</w:t>
            </w:r>
          </w:p>
        </w:tc>
      </w:tr>
      <w:tr>
        <w:trPr>
          <w:trHeight w:val="231"/>
        </w:trPr>
        <w:tc>
          <w:tcPr>
            <w:tcW w:w="6026" w:type="dxa"/>
            <w:gridSpan w:val="5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Administratívne rozpočtové prostriedky financované z finančného krytia na vykonávanie osobitných programov</w:t>
            </w:r>
            <w:r>
              <w:rPr>
                <w:rStyle w:val="FootnoteReference"/>
                <w:noProof/>
                <w:sz w:val="21"/>
              </w:rPr>
              <w:footnoteReference w:id="10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2200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Neuplatňuje sa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42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200" w:type="dxa"/>
            <w:vMerge w:val="restart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Rozpočtové prostriedky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pre GR EMPL SPOLU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1 + 1a + 3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560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20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2 + 2a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41 920</w:t>
            </w: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25 200</w:t>
            </w: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0 000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5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highlight w:val="yellow"/>
              </w:rPr>
            </w:pPr>
            <w:r>
              <w:rPr>
                <w:b/>
                <w:noProof/>
                <w:sz w:val="20"/>
              </w:rPr>
              <w:t>0,00</w:t>
            </w:r>
          </w:p>
        </w:tc>
      </w:tr>
      <w:tr>
        <w:trPr>
          <w:trHeight w:val="277"/>
        </w:trPr>
        <w:tc>
          <w:tcPr>
            <w:tcW w:w="3956" w:type="dxa"/>
            <w:gridSpan w:val="2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Operačné rozpočtové prostriedky SPOLU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630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414"/>
        </w:trPr>
        <w:tc>
          <w:tcPr>
            <w:tcW w:w="3956" w:type="dxa"/>
            <w:gridSpan w:val="2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30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41 920</w:t>
            </w: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25 200</w:t>
            </w: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0 000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5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  <w:highlight w:val="yellow"/>
              </w:rPr>
            </w:pPr>
            <w:r>
              <w:rPr>
                <w:b/>
                <w:noProof/>
                <w:sz w:val="20"/>
              </w:rPr>
              <w:t>0,00</w:t>
            </w:r>
          </w:p>
        </w:tc>
      </w:tr>
      <w:tr>
        <w:trPr>
          <w:trHeight w:val="533"/>
        </w:trPr>
        <w:tc>
          <w:tcPr>
            <w:tcW w:w="5396" w:type="dxa"/>
            <w:gridSpan w:val="4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Administratívne rozpočtové prostriedky financované z finančného krytia na vykonávanie osobitných programov SPOLU </w:t>
            </w:r>
          </w:p>
        </w:tc>
        <w:tc>
          <w:tcPr>
            <w:tcW w:w="630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56" w:type="dxa"/>
            <w:gridSpan w:val="2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Rozpočtové prostriedky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OKRUHU 1b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 xml:space="preserve">viacročného finančného rámca </w:t>
            </w:r>
            <w:r>
              <w:rPr>
                <w:b/>
                <w:noProof/>
                <w:sz w:val="22"/>
              </w:rPr>
              <w:t>SPOLU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4 + 6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56" w:type="dxa"/>
            <w:gridSpan w:val="2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5 + 6</w:t>
            </w:r>
          </w:p>
        </w:tc>
        <w:tc>
          <w:tcPr>
            <w:tcW w:w="4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41 920</w:t>
            </w:r>
          </w:p>
        </w:tc>
        <w:tc>
          <w:tcPr>
            <w:tcW w:w="127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25 200</w:t>
            </w:r>
          </w:p>
        </w:tc>
        <w:tc>
          <w:tcPr>
            <w:tcW w:w="127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0 000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5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  <w:highlight w:val="yellow"/>
              </w:rPr>
            </w:pPr>
            <w:r>
              <w:rPr>
                <w:b/>
                <w:noProof/>
                <w:sz w:val="20"/>
              </w:rPr>
              <w:t>0,00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Ak má návrh/iniciatíva vplyv na viaceré operačné okruhy: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386"/>
        <w:gridCol w:w="960"/>
        <w:gridCol w:w="840"/>
        <w:gridCol w:w="840"/>
        <w:gridCol w:w="720"/>
        <w:gridCol w:w="720"/>
        <w:gridCol w:w="960"/>
        <w:gridCol w:w="142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Operačné rozpočtové prostriedky SPOLU 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Administratívne rozpočtové prostriedky financované z finančného krytia na vykonávanie osobitných programov SPOLU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Rozpočtové prostriedky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OKRUHOV 1 až 4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 xml:space="preserve">viacročného finančného rámca </w:t>
            </w:r>
            <w:r>
              <w:rPr>
                <w:b/>
                <w:noProof/>
                <w:sz w:val="22"/>
              </w:rPr>
              <w:t>SPOLU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(referenčná suma)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4 + 6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5 + 6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 xml:space="preserve">Okruh viacročného finančného 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rámca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„Administratívne výdavky“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v mil. EUR (zaokrúhlené na 3 desatinné miesta)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 + 1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 + 2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 + 3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Uveďte všetky roky, počas ktorých vplyv trvá (pozri bod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GR: </w:t>
            </w:r>
            <w:r>
              <w:rPr>
                <w:noProof/>
              </w:rPr>
              <w:t>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Ľudské zdroje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Ostatné administratívne výdavky 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GR</w:t>
            </w:r>
            <w:r>
              <w:rPr>
                <w:noProof/>
                <w:sz w:val="22"/>
              </w:rPr>
              <w:t xml:space="preserve"> &lt;…….&gt; </w:t>
            </w:r>
            <w:r>
              <w:rPr>
                <w:b/>
                <w:noProof/>
                <w:sz w:val="22"/>
              </w:rPr>
              <w:t>SPOLU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Rozpočtové prostriedky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Rozpočtové prostriedky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OKRUHU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 xml:space="preserve">viacročného finančného rámca </w:t>
            </w:r>
            <w:r>
              <w:rPr>
                <w:b/>
                <w:noProof/>
                <w:sz w:val="22"/>
              </w:rPr>
              <w:t xml:space="preserve">SPOLU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(Záväzky spolu = Platby spolu)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v mil. EUR (zaokrúhlené na 3 desatinné miesta)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1147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2020</w:t>
            </w:r>
          </w:p>
        </w:tc>
        <w:tc>
          <w:tcPr>
            <w:tcW w:w="868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2021</w:t>
            </w:r>
          </w:p>
        </w:tc>
        <w:tc>
          <w:tcPr>
            <w:tcW w:w="868" w:type="dxa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</w:rPr>
              <w:t>2022</w:t>
            </w:r>
          </w:p>
        </w:tc>
        <w:tc>
          <w:tcPr>
            <w:tcW w:w="868" w:type="dxa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</w:rPr>
              <w:t>2023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</w:rPr>
              <w:t>2024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Rozpočtové prostriedky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OKRUHOV 1 až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 xml:space="preserve">viacročného finančného rámca </w:t>
            </w:r>
            <w:r>
              <w:rPr>
                <w:b/>
                <w:noProof/>
                <w:sz w:val="22"/>
              </w:rPr>
              <w:t xml:space="preserve">SPOLU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41 920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25 200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0 000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14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–33 560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0,00</w:t>
            </w:r>
          </w:p>
        </w:tc>
      </w:tr>
    </w:tbl>
    <w:p>
      <w:pPr>
        <w:rPr>
          <w:noProof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 xml:space="preserve">Odhadovaný vplyv na operačné rozpočtové prostriedky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Návrh/iniciatíva si nevyžaduje použitie operačných rozpočtových prostriedkov.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Návrh/iniciatíva si vyžaduje použitie operačných rozpočtových prostriedkov, ako je uvedené v nasledujúcej tabuľke: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viazané rozpočtové prostriedky v mil. EUR (zaokrúhlené na 3 desatinné miesta)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647"/>
        <w:gridCol w:w="774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Uveďte ciele a výstupy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647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 + 1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 + 2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 + 3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Uveďte všetky roky, počas ktorých vplyv trvá (pozri bod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SPOLU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VÝSTUPY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Druh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Priemerné náklady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spolu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 spolu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ŠPECIFICKÝ CIEĽ č. 1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‒ Výstup</w:t>
            </w:r>
          </w:p>
        </w:tc>
        <w:tc>
          <w:tcPr>
            <w:tcW w:w="647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7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‒ Výstup</w:t>
            </w:r>
          </w:p>
        </w:tc>
        <w:tc>
          <w:tcPr>
            <w:tcW w:w="647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7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‒ Výstup</w:t>
            </w:r>
          </w:p>
        </w:tc>
        <w:tc>
          <w:tcPr>
            <w:tcW w:w="647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7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Špecifický cieľ č. 1 medzisúčet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ŠPECIFICKÝ CIEĽ č. 2…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‒ Výstup</w:t>
            </w:r>
          </w:p>
        </w:tc>
        <w:tc>
          <w:tcPr>
            <w:tcW w:w="647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7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Špecifický cieľ č. 2 medzisúčet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NÁKLADY SPOLU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Odhadovaný vplyv na administratívne rozpočtové prostriedky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Zhrnutie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Návrh/iniciatíva si nevyžaduje použitie administratívnych rozpočtových prostriedkov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si vyžaduje použitie administratívnych rozpočtových prostriedkov, ako je uvedené v nasledujúcej tabuľke:</w:t>
      </w:r>
    </w:p>
    <w:p>
      <w:pPr>
        <w:rPr>
          <w:noProof/>
          <w:sz w:val="20"/>
        </w:rPr>
      </w:pPr>
      <w:r>
        <w:rPr>
          <w:noProof/>
          <w:sz w:val="20"/>
        </w:rPr>
        <w:t>v mil. EUR (zaokrúhlené na 3 desatinné miesta)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</w:t>
            </w:r>
            <w:r>
              <w:rPr>
                <w:rStyle w:val="FootnoteReference"/>
                <w:b/>
                <w:noProof/>
                <w:sz w:val="16"/>
              </w:rPr>
              <w:footnoteReference w:id="13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 + 1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 + 2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 + 3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Uveďte všetky roky, počas ktorých vplyv trvá (pozri bod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SPOLU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OKRUH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viacročného finančného rámca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Ľudské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Ostatné administratívne výdavky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Medzisúčet OKRUHU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viacročného finančného rámca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Mimo OKRUHU 5</w:t>
            </w:r>
            <w:r>
              <w:rPr>
                <w:rStyle w:val="FootnoteReference"/>
                <w:b/>
                <w:noProof/>
                <w:sz w:val="16"/>
                <w:szCs w:val="16"/>
              </w:rPr>
              <w:footnoteReference w:id="14"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viacročného finančného rámca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Ľudské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Ostatné 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>administratívne výdavky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Medzisúčet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mimo OKRUHU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viacročného finančného rámca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SPOLU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Rozpočtové prostriedky potrebné na ľudské zdroje a na ostatné administratívne výdavky budú pokryté rozpočtovými prostriedkami GR, ktoré už boli pridelené na riadenie akcie a/alebo boli prerozdelené v rámci GR, a v prípade potreby budú doplnené zdrojmi, ktoré sa môžu prideliť riadiacemu GR v rámci ročného postupu prideľovania zdrojov a v závislosti od rozpočtových obmedzení.</w:t>
      </w:r>
      <w:r>
        <w:rPr>
          <w:noProof/>
          <w:sz w:val="18"/>
        </w:rPr>
        <w:tab/>
      </w: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Odhadované potreby ľudských zdrojov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Návrh/iniciatíva si nevyžaduje použitie ľudských zdrojov.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si vyžaduje použitie ľudských zdrojov, ako je uvedené v nasledujúcej tabuľke: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odhady sa vyjadrujú v jednotkách ekvivalentu plného pracovného času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 + 1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Rok </w:t>
            </w:r>
            <w:r>
              <w:rPr>
                <w:b/>
                <w:noProof/>
                <w:sz w:val="16"/>
                <w:szCs w:val="16"/>
              </w:rPr>
              <w:t>N + 2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Rok </w:t>
            </w:r>
            <w:r>
              <w:rPr>
                <w:b/>
                <w:noProof/>
                <w:sz w:val="16"/>
                <w:szCs w:val="16"/>
              </w:rPr>
              <w:t>N + 3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Uveďte všetky roky, počas ktorých vplyv trvá (pozri bod 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Plán pracovných miest (úradníci a dočasní zamestnanci)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(ústredie a zastúpenia Komisie)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(delegácie)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(nepriamy výskum)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(priamy výskum)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Externí zamestnanci (ekvivalent plného pracovného času FTE)</w:t>
            </w:r>
            <w:r>
              <w:rPr>
                <w:rStyle w:val="FootnoteReference"/>
                <w:b/>
                <w:noProof/>
                <w:sz w:val="16"/>
              </w:rPr>
              <w:footnoteReference w:id="15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(ZZ, VNE, DAZ z celkového finančného krytia)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(ZZ, MZ, VNE, DAZ, PED v delegáciách)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01 04 </w:t>
            </w:r>
            <w:r>
              <w:rPr>
                <w:b/>
                <w:noProof/>
                <w:sz w:val="16"/>
                <w:szCs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16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‒ ústredie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– delegácie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05 02 (ZZ, VNE, DAZ – nepriamy výskum)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(ZZ, DAZ, VNE – priamy výskum)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Iné rozpočtové riadky (uveďte)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SPOLU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XX</w:t>
      </w:r>
      <w:r>
        <w:rPr>
          <w:noProof/>
          <w:sz w:val="18"/>
          <w:szCs w:val="18"/>
        </w:rPr>
        <w:t xml:space="preserve"> predstavuje príslušnú oblasť politiky alebo rozpočtovú hlavu.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Potreby ľudských zdrojov budú pokryté úradníkmi GR, ktorí už boli pridelení na riadenie akcie a/alebo boli interne prerozdelení v rámci GR, a v prípade potreby budú doplnené zdrojmi, ktoré sa môžu prideliť riadiacemu GR v rámci ročného postupu prideľovania zdrojov v závislosti od rozpočtových obmedzení.</w:t>
      </w:r>
    </w:p>
    <w:p>
      <w:pPr>
        <w:rPr>
          <w:noProof/>
          <w:sz w:val="20"/>
        </w:rPr>
      </w:pPr>
      <w:r>
        <w:rPr>
          <w:noProof/>
          <w:sz w:val="20"/>
        </w:rPr>
        <w:t>Opis úloh, ktoré sa majú vykonať: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Úradníci a dočasní zamestnanci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Externí zamestnanci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Súlad s platným viacročným finančným rámcom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Návrh/iniciatíva je v súlade s platným viacročným finančným rámcom.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si vyžaduje zmenu v plánovaní príslušného okruhu vo viacročnom finančnom rámci.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Vysvetlite požadovanú zmenu v plánovaní a uveďte príslušné rozpočtové riadky a zodpovedajúce sumy.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si vyžaduje použitie nástroja flexibility alebo uskutočnenie revízie viacročného finančného rámca.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Vysvetlite potrebu a uveďte príslušné okruhy, rozpočtové riadky a zodpovedajúce sumy.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 xml:space="preserve">Príspevky od tretích strán </w:t>
      </w:r>
    </w:p>
    <w:p>
      <w:pPr>
        <w:pStyle w:val="ListDash1"/>
        <w:rPr>
          <w:noProof/>
        </w:rPr>
      </w:pPr>
      <w:r>
        <w:rPr>
          <w:noProof/>
        </w:rPr>
        <w:t xml:space="preserve">Návrh/iniciatíva nezahŕňa spolufinancovanie tretími stranami. </w:t>
      </w:r>
    </w:p>
    <w:p>
      <w:pPr>
        <w:pStyle w:val="ListDash1"/>
        <w:rPr>
          <w:noProof/>
        </w:rPr>
      </w:pPr>
      <w:r>
        <w:rPr>
          <w:noProof/>
        </w:rPr>
        <w:t>Návrh/iniciatíva zahŕňa spolufinancovanie, ako je odhadnuté v nasledujúcej tabuľke: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rozpočtové prostriedky v mil. EUR (zaokrúhlené na 3 desatinné miesta)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 + 1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 + 2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 + 3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Uveďte všetky roky, počas ktorých vplyv trvá (pozri bod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Spolu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Uveďte spolufinancujúci subjekt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Prostriedky zo spolufinancovania SPOLU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pStyle w:val="ManualHeading2"/>
        <w:rPr>
          <w:bCs/>
          <w:noProof/>
          <w:szCs w:val="24"/>
        </w:rPr>
      </w:pPr>
      <w:r>
        <w:rPr>
          <w:noProof/>
        </w:rPr>
        <w:t>3.3.</w:t>
      </w:r>
      <w:r>
        <w:rPr>
          <w:noProof/>
        </w:rPr>
        <w:tab/>
        <w:t xml:space="preserve">Odhadovaný vplyv na príjmy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Návrh/iniciatíva nemá finančný vplyv na príjmy.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má finančný vplyv na príjmy, ako je uvedené v nasledujúcej tabuľke: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vplyv na vlastné zdroje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vplyv na rôzne príjmy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v mil. EUR (zaokrúhlené na 3 desatinné miesta)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Rozpočtový riadok príjmov: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Rozpočtové prostriedky k dispozícii v bežnom rozpočtovom roku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Vplyv návrhu/iniciatívy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 + 1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 + 2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 + 3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Uveďte všetky roky, počas ktorých vplyv trvá (pozri bod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Článok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V prípade rôznych pripísaných príjmov uveďte príslušné rozpočtové riadky výdavkov.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Uveďte spôsob výpočtu vplyvu na príjmy.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EÚ C , , s.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Ú. v. EÚ C , , s. .</w:t>
      </w:r>
    </w:p>
  </w:footnote>
  <w:footnote w:id="3">
    <w:p>
      <w:pPr>
        <w:pStyle w:val="FootnoteText"/>
        <w:ind w:left="708" w:hanging="708"/>
      </w:pPr>
      <w:r>
        <w:rPr>
          <w:rStyle w:val="FootnoteReference"/>
        </w:rPr>
        <w:footnoteRef/>
      </w:r>
      <w:r>
        <w:tab/>
        <w:t>Nariadenie Európskeho parlamentu a Rady (EÚ) č. 223/2014 z 11. marca 2014 o Fonde európskej pomoci pre najodkázanejšie osoby (Ú. v. EÚ L 72, 12.3.2014, s. 1).</w:t>
      </w:r>
    </w:p>
  </w:footnote>
  <w:footnote w:id="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riadenie podľa činností, ABB: zostavovanie rozpočtu podľa činností.</w:t>
      </w:r>
    </w:p>
  </w:footnote>
  <w:footnote w:id="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Podľa článku 54 ods. 2 písm. a) alebo b) nariadenia o rozpočtových pravidlách.</w:t>
      </w:r>
    </w:p>
  </w:footnote>
  <w:footnote w:id="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Vysvetlenie spôsobov riadenia a odkazy na nariadenie o rozpočtových pravidlách sú k dispozícii na webovej stránke BudgWeb: </w:t>
      </w:r>
      <w:hyperlink r:id="rId1" w:history="1">
        <w:r>
          <w:rPr>
            <w:rStyle w:val="Hyperlink"/>
            <w:sz w:val="18"/>
          </w:rPr>
          <w:t>http://www.cc.cec/budg/man/budgmanag/budgmanag_en.html</w:t>
        </w:r>
      </w:hyperlink>
      <w:r>
        <w:t>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DRP = diferencované rozpočtové prostriedky/NRP = nediferencované rozpočtové prostriedky.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EZVO: Európske združenie voľného obchodu. 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Kandidátske krajiny a prípadne potenciálne kandidátske krajiny zo západného Balkánu.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a/alebo administratívna pomoc a výdavky určené na financovanie vykonávania programov a/alebo akcií Európskej únie (pôvodné rozpočtové riadky „BA“), nepriamy výskum, priamy výskum.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Výstupy sú produkty, ktoré sa majú dodať, a služby, ktoré sa majú poskytnúť (napr.: počet financovaných výmen študentov, vybudované cesty v km atď.).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Ako je uvedené v bode 1.4.2. „Špecifické ciele...“. 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 N je rokom, v ktorom sa návrh/iniciatíva začína vykonávať.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a/alebo administratívna pomoc a výdavky určené na financovanie vykonávania programov a/alebo akcií Európskej únie (pôvodné rozpočtové riadky „BA“), nepriamy výskum, priamy výskum.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ZZ = zmluvný zamestnanec; MZ = miestny zamestnanec; VNE = vyslaný národný expert; DAZ = dočasný agentúrny zamestnanec; PED = pomocný expert v delegácii. 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Čiastkový strop pre externých zamestnancov financovaných z operačných rozpočtových prostriedkov (pôvodné rozpočtové riadky „BA“).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Pokiaľ ide o tradičné vlastné zdroje (clá, odvody z produkcie cukru), uvedené sumy musia predstavovať čisté sumy, t. j. hrubé sumy po odčítaní 25 % na náklady na výber.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AF29F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B284B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C56D8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31C2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E96CD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414F4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5B4A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D9CA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76773F"/>
    <w:multiLevelType w:val="hybridMultilevel"/>
    <w:tmpl w:val="1758CCB2"/>
    <w:styleLink w:val="ImportedStyle3"/>
    <w:lvl w:ilvl="0" w:tplc="40FEC6F6">
      <w:start w:val="1"/>
      <w:numFmt w:val="decimal"/>
      <w:lvlText w:val="(%1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6D906">
      <w:start w:val="1"/>
      <w:numFmt w:val="lowerLetter"/>
      <w:lvlText w:val="(%2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E327E">
      <w:start w:val="1"/>
      <w:numFmt w:val="decimal"/>
      <w:lvlText w:val="(%3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CE336C">
      <w:start w:val="1"/>
      <w:numFmt w:val="lowerLetter"/>
      <w:lvlText w:val="(%4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6D076">
      <w:start w:val="1"/>
      <w:numFmt w:val="decimal"/>
      <w:lvlText w:val="(%5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6F476">
      <w:start w:val="1"/>
      <w:numFmt w:val="lowerLetter"/>
      <w:lvlText w:val="(%6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89FAE">
      <w:start w:val="1"/>
      <w:numFmt w:val="decimal"/>
      <w:lvlText w:val="(%7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826E6A">
      <w:start w:val="1"/>
      <w:numFmt w:val="lowerLetter"/>
      <w:lvlText w:val="(%8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8A26E">
      <w:start w:val="1"/>
      <w:numFmt w:val="lowerLetter"/>
      <w:lvlText w:val="(%9)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A970053"/>
    <w:multiLevelType w:val="multilevel"/>
    <w:tmpl w:val="0AEEAB14"/>
    <w:styleLink w:val="ImportedStyle4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1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8"/>
  </w:num>
  <w:num w:numId="13">
    <w:abstractNumId w:val="20"/>
  </w:num>
  <w:num w:numId="14">
    <w:abstractNumId w:val="19"/>
  </w:num>
  <w:num w:numId="15">
    <w:abstractNumId w:val="14"/>
  </w:num>
  <w:num w:numId="16">
    <w:abstractNumId w:val="24"/>
  </w:num>
  <w:num w:numId="17">
    <w:abstractNumId w:val="16"/>
  </w:num>
  <w:num w:numId="18">
    <w:abstractNumId w:val="26"/>
  </w:num>
  <w:num w:numId="19">
    <w:abstractNumId w:val="13"/>
  </w:num>
  <w:num w:numId="20">
    <w:abstractNumId w:val="17"/>
  </w:num>
  <w:num w:numId="21">
    <w:abstractNumId w:val="10"/>
  </w:num>
  <w:num w:numId="22">
    <w:abstractNumId w:val="25"/>
  </w:num>
  <w:num w:numId="23">
    <w:abstractNumId w:val="9"/>
  </w:num>
  <w:num w:numId="24">
    <w:abstractNumId w:val="18"/>
  </w:num>
  <w:num w:numId="25">
    <w:abstractNumId w:val="22"/>
  </w:num>
  <w:num w:numId="26">
    <w:abstractNumId w:val="23"/>
  </w:num>
  <w:num w:numId="27">
    <w:abstractNumId w:val="12"/>
  </w:num>
  <w:num w:numId="28">
    <w:abstractNumId w:val="21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4-06 18:16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4F47198-AA91-444C-B522-08ADE49368E2"/>
    <w:docVar w:name="LW_COVERPAGE_TYPE" w:val="1"/>
    <w:docVar w:name="LW_CROSSREFERENCE" w:val="&lt;UNUSED&gt;"/>
    <w:docVar w:name="LW_DocType" w:val="COM"/>
    <w:docVar w:name="LW_EMISSION" w:val="2. 4. 2020"/>
    <w:docVar w:name="LW_EMISSION_ISODATE" w:val="2020-04-02"/>
    <w:docVar w:name="LW_EMISSION_LOCATION" w:val="BRX"/>
    <w:docVar w:name="LW_EMISSION_PREFIX" w:val="V Bruseli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58"/>
    <w:docVar w:name="LW_REF.II.NEW.CP_YEAR" w:val="2020"/>
    <w:docVar w:name="LW_REF.INST.NEW" w:val="COM"/>
    <w:docVar w:name="LW_REF.INST.NEW_ADOPTED" w:val="final"/>
    <w:docVar w:name="LW_REF.INST.NEW_TEXT" w:val="(2020) 1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orým sa mení nariadenie (EÚ) \u269?. 223/2014, pokia\u318? ide o zavedenie osobitných opatrení na rie\u353?enie krízy COVID-19 _x000b_"/>
    <w:docVar w:name="LW_TYPE.DOC.CP" w:val="NARIADENIE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paragraph" w:customStyle="1" w:styleId="ListBullet1">
    <w:name w:val="List Bullet 1"/>
    <w:basedOn w:val="Normal"/>
    <w:pPr>
      <w:numPr>
        <w:numId w:val="12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13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14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de-D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lang w:eastAsia="en-GB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lang w:eastAsia="en-GB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  <w:lang w:eastAsia="en-GB"/>
    </w:rPr>
  </w:style>
  <w:style w:type="paragraph" w:customStyle="1" w:styleId="ListDash">
    <w:name w:val="List Dash"/>
    <w:basedOn w:val="Normal"/>
    <w:pPr>
      <w:numPr>
        <w:numId w:val="15"/>
      </w:numPr>
    </w:pPr>
    <w:rPr>
      <w:rFonts w:eastAsia="Times New Roman"/>
      <w:szCs w:val="20"/>
      <w:lang w:eastAsia="en-GB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  <w:lang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0" w:after="150"/>
      <w:jc w:val="left"/>
    </w:pPr>
    <w:rPr>
      <w:rFonts w:eastAsia="Times New Roman"/>
      <w:szCs w:val="24"/>
      <w:lang w:eastAsia="en-GB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  <w:lang w:eastAsia="en-GB"/>
    </w:rPr>
  </w:style>
  <w:style w:type="paragraph" w:customStyle="1" w:styleId="Body">
    <w:name w:val="Body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l-B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paragraph" w:customStyle="1" w:styleId="ListBullet1">
    <w:name w:val="List Bullet 1"/>
    <w:basedOn w:val="Normal"/>
    <w:pPr>
      <w:numPr>
        <w:numId w:val="12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13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14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de-D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lang w:eastAsia="en-GB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lang w:eastAsia="en-GB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  <w:lang w:eastAsia="en-GB"/>
    </w:rPr>
  </w:style>
  <w:style w:type="paragraph" w:customStyle="1" w:styleId="ListDash">
    <w:name w:val="List Dash"/>
    <w:basedOn w:val="Normal"/>
    <w:pPr>
      <w:numPr>
        <w:numId w:val="15"/>
      </w:numPr>
    </w:pPr>
    <w:rPr>
      <w:rFonts w:eastAsia="Times New Roman"/>
      <w:szCs w:val="20"/>
      <w:lang w:eastAsia="en-GB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  <w:lang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0" w:after="150"/>
      <w:jc w:val="left"/>
    </w:pPr>
    <w:rPr>
      <w:rFonts w:eastAsia="Times New Roman"/>
      <w:szCs w:val="24"/>
      <w:lang w:eastAsia="en-GB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  <w:lang w:eastAsia="en-GB"/>
    </w:rPr>
  </w:style>
  <w:style w:type="paragraph" w:customStyle="1" w:styleId="Body">
    <w:name w:val="Body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l-B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0D25-E778-4FBD-B9C9-4FABDD20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21</Pages>
  <Words>4711</Words>
  <Characters>28602</Characters>
  <Application>Microsoft Office Word</Application>
  <DocSecurity>0</DocSecurity>
  <Lines>1430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2020-04-06T13:30:00Z</dcterms:created>
  <dcterms:modified xsi:type="dcterms:W3CDTF">2020-04-06T16:16:00Z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