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8DAB2360-10CB-44CF-94FA-1C07F1A9CEE1" style="width:450.7pt;height:347.8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ManualHeading1"/>
        <w:numPr>
          <w:ilvl w:val="0"/>
          <w:numId w:val="1"/>
        </w:numPr>
        <w:rPr>
          <w:noProof/>
        </w:rPr>
      </w:pPr>
      <w:bookmarkStart w:id="1" w:name="_GoBack"/>
      <w:bookmarkEnd w:id="1"/>
      <w:r>
        <w:rPr>
          <w:noProof/>
        </w:rPr>
        <w:lastRenderedPageBreak/>
        <w:t>Introduzzjoni</w:t>
      </w:r>
    </w:p>
    <w:p>
      <w:pPr>
        <w:pStyle w:val="Text1"/>
        <w:rPr>
          <w:noProof/>
        </w:rPr>
      </w:pPr>
      <w:r>
        <w:rPr>
          <w:noProof/>
        </w:rPr>
        <w:t>Ir-Regolament li jistabbilixxi l-qafas finanzjarju pluriennali (ir-Regolament dwar il-QFP) għas-snin 2014-2020 kif emendat l-aħħar bir-Regolament tal-Kunsill (UE, Euratom) Nru 2017/1123 tal-20 ta’ Ġunju 2017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 aġġustat kif muri fil-Komunikazzjoni dwar l-aġġustament tekniku għall-2020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jinkludi t-tabella tal-qafas finanzjarju għall-perjodu 2014-2020, espressa fi prezzijiet tal-2011 (it-Tabella 1). </w:t>
      </w:r>
    </w:p>
    <w:p>
      <w:pPr>
        <w:pStyle w:val="Text1"/>
        <w:rPr>
          <w:noProof/>
        </w:rPr>
      </w:pPr>
      <w:r>
        <w:rPr>
          <w:noProof/>
        </w:rPr>
        <w:t xml:space="preserve">Skont l-Artikolu 6(1) tar-Regolament dwar il-QFP, ta’ kull sena, qabel il-proċedura baġitarja għas-sena n+1, il-Kummissjoni tagħmel aġġustament tekniku għall-qafas finanzjarju pluriennali (QFP) skont iċ-ċaqliq fl-introjtu nazzjonali gross (ING) u l-prezzijiet tal-UE, u tikkomunika r-riżultati lill-Kunsill u lill-Parlament Ewropew. L-aġġustament tal-limiti massimi skont l-Artikolu 6(1) sar fl-aġġustament tekniku għall-2020 f’Mejju 2019 u abbażi tal-Artikolu 6(4) mhuwiex qed jiġi aġġornat. </w:t>
      </w:r>
    </w:p>
    <w:p>
      <w:pPr>
        <w:pStyle w:val="Text1"/>
        <w:rPr>
          <w:noProof/>
        </w:rPr>
      </w:pPr>
      <w:r>
        <w:rPr>
          <w:noProof/>
        </w:rPr>
        <w:t xml:space="preserve">Il-Komunikazzjoni dwar l-aġġustament tekniku għall-2020 indikat id-disponibbiltà tal-istrumenti speċjali għas-snin 2019 u 2020 f’konformità mal-Artikolu 6(1)(e) u (f) tar-Regolament dwar il-QFP għad-disponibbiltà tal-Marġni globali għall-impenji u tal-Istrument ta’ Flessibbiltà rispettivament kif kien magħruf fir-rebbiegħa tal-2019. L-iskop ta’ din il-Komunikazzjoni huwa li jiġu ppreżentati lill-Kunsill u lill-Parlament Ewropew, id-disponibbiltajiet addizzjonali tal-istrumenti speċjali f’konformità mal-Artikolu 6(1)(e) u (f) tar-Regolament dwar il-QFP għall-Marġni globali għall-impenji u għall-Istrument ta’ flessibbiltà rispettivament għas-sena 2020, li saru disponibbli fi tmiem l-2019. </w:t>
      </w:r>
    </w:p>
    <w:p>
      <w:pPr>
        <w:pStyle w:val="Text1"/>
        <w:rPr>
          <w:noProof/>
        </w:rPr>
      </w:pPr>
      <w:r>
        <w:rPr>
          <w:noProof/>
        </w:rPr>
        <w:t>Għal skopijiet ta’ informazzjoni, il-Komunikazzjoni qed turi wkoll l-ammonti disponibbli tal-istrumenti speċjali kollha u l-użu tagħhom mill-2014 ’il quddiem.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Marġni Globali għall-Pagamenti (MGP)</w:t>
      </w:r>
    </w:p>
    <w:p>
      <w:pPr>
        <w:pStyle w:val="Text1"/>
        <w:rPr>
          <w:noProof/>
        </w:rPr>
      </w:pPr>
      <w:r>
        <w:rPr>
          <w:noProof/>
        </w:rPr>
        <w:t>F’konformità mal-Artikolu 5 tar-Regolament dwar il-QFP, il-Kummissjoni għandha taġġusta l-limitu massimu ’l fuq għall-pagamenti għas-snin 2015-2020 b’ammont ekwivalenti għad-differenza bejn il-pagamenti eżegwiti u l-limitu massimu għall-pagamenti tal-QFP tas-sena n-1. Kull aġġustament ’il fuq għandu jitpaċa kollu bi tnaqqis korrispondenti tal-limitu massimu għall-pagamenti għas-sena n-1, fi prezzijiet kostanti tal-2011.</w:t>
      </w:r>
    </w:p>
    <w:p>
      <w:pPr>
        <w:pStyle w:val="Text1"/>
        <w:rPr>
          <w:noProof/>
        </w:rPr>
      </w:pPr>
      <w:r>
        <w:rPr>
          <w:noProof/>
        </w:rPr>
        <w:t>Ma sar l-ebda kalkolu mill-ġdid tal-MGP għall-2020 billi l-livell limitu stabbilit mill-Artikolu 5(2) tar-Regolament dwar il-QFP intlaħaq fl-aġġustament tekniku għall-2020 li ġie adottat f’Mejju 2019.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Strumenti Speċjali</w:t>
      </w:r>
    </w:p>
    <w:p>
      <w:pPr>
        <w:pStyle w:val="Text1"/>
        <w:rPr>
          <w:noProof/>
        </w:rPr>
      </w:pPr>
      <w:r>
        <w:rPr>
          <w:noProof/>
        </w:rPr>
        <w:t>Hemm għadd ta’ strumenti li huma disponibbli barra mil-limiti massimi tan-nefqa miftiehma fil-qafas finanzjarju għall-2014-2020. Dawn l-istrumenti għandhom l-għan li jipprovdu rispons rapidu għal avvenimenti eċċezzjonali jew mhux previsti, u jipprovdu, sa ċerti limiti, daqsxejn ta’ flessibbiltà lil hinn mil-limiti massimi tan-nefqa miftiehma.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>Riżerva ta’ Għajnuna f’Emerġenza (EAR)</w:t>
      </w:r>
    </w:p>
    <w:p>
      <w:pPr>
        <w:pStyle w:val="Text1"/>
        <w:rPr>
          <w:noProof/>
        </w:rPr>
      </w:pPr>
      <w:r>
        <w:rPr>
          <w:noProof/>
        </w:rPr>
        <w:t xml:space="preserve">Skont l-Artikolu 9 tar-Regolament dwar il-QFP emendat, </w:t>
      </w:r>
      <w:r>
        <w:rPr>
          <w:i/>
          <w:noProof/>
        </w:rPr>
        <w:t>ir-Riżerva ta’ Għajnuna f’Emerġenza</w:t>
      </w:r>
      <w:r>
        <w:rPr>
          <w:noProof/>
        </w:rPr>
        <w:t xml:space="preserve"> tista’ tiġi mobilizzata sal-ammont massimu ta’ EUR 300 miljun fis-sena bil-prezzijiet tal-2011, jew EUR 358,5 miljun fi prezzijiet kurrenti għall-2020 (EUR 2 301,4 miljun għall-perjodu kollu fi prezzijiet kurrenti). Il-parti tal-ammont mhux użat tas-sena preċedenti tista’ tiġi riportata għas-sena ta’ wara. Ir-riporti mill-2019 għall-2020 jammontaw għal EUR 45,6 miljun.</w:t>
      </w:r>
    </w:p>
    <w:p>
      <w:pPr>
        <w:pStyle w:val="Text1"/>
        <w:rPr>
          <w:noProof/>
        </w:rPr>
      </w:pPr>
      <w:r>
        <w:rPr>
          <w:noProof/>
        </w:rPr>
        <w:t>It-tabella ta’ hawn taħt turi d-dettalji tad-disponibbiltajiet u l-użu annwali tal-EAR mill-2014 ’il quddiem:</w:t>
      </w: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875"/>
        <w:gridCol w:w="842"/>
        <w:gridCol w:w="809"/>
        <w:gridCol w:w="776"/>
        <w:gridCol w:w="783"/>
        <w:gridCol w:w="803"/>
        <w:gridCol w:w="875"/>
        <w:gridCol w:w="858"/>
        <w:gridCol w:w="9"/>
      </w:tblGrid>
      <w:tr>
        <w:trPr>
          <w:trHeight w:val="240"/>
          <w:jc w:val="center"/>
        </w:trPr>
        <w:tc>
          <w:tcPr>
            <w:tcW w:w="9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Riżerva ta’ Għajnuna f’Emerġenza</w:t>
            </w:r>
          </w:p>
        </w:tc>
      </w:tr>
      <w:tr>
        <w:trPr>
          <w:trHeight w:val="240"/>
          <w:jc w:val="center"/>
        </w:trPr>
        <w:tc>
          <w:tcPr>
            <w:tcW w:w="9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Miljuni ta’ EUR</w:t>
            </w:r>
          </w:p>
        </w:tc>
      </w:tr>
      <w:tr>
        <w:trPr>
          <w:gridAfter w:val="1"/>
          <w:wAfter w:w="9" w:type="dxa"/>
          <w:trHeight w:val="24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Total</w:t>
            </w:r>
          </w:p>
        </w:tc>
      </w:tr>
      <w:tr>
        <w:trPr>
          <w:gridAfter w:val="1"/>
          <w:wAfter w:w="9" w:type="dxa"/>
          <w:trHeight w:val="24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L-ammonti annwali fi prezzijiet tal-2011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2 040</w:t>
            </w:r>
          </w:p>
        </w:tc>
      </w:tr>
      <w:tr>
        <w:trPr>
          <w:gridAfter w:val="1"/>
          <w:wAfter w:w="9" w:type="dxa"/>
          <w:trHeight w:val="24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L-ammonti annwali fi prezzijiet kurrenti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297,0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303,0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309,0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337,8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344,6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358,5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2 301,4</w:t>
            </w:r>
          </w:p>
        </w:tc>
      </w:tr>
      <w:tr>
        <w:trPr>
          <w:gridAfter w:val="1"/>
          <w:wAfter w:w="9" w:type="dxa"/>
          <w:trHeight w:val="24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Riportati mis-sena preċedenti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198,9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219,4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98,6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45,6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gridAfter w:val="1"/>
          <w:wAfter w:w="9" w:type="dxa"/>
          <w:trHeight w:val="24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Użu annwali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282,5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429,8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374,7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372,2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1 897,3</w:t>
            </w:r>
          </w:p>
        </w:tc>
      </w:tr>
      <w:tr>
        <w:trPr>
          <w:gridAfter w:val="1"/>
          <w:wAfter w:w="9" w:type="dxa"/>
          <w:trHeight w:val="24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Riportati għas-sena ta’ wara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198,9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219,4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61,7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gridAfter w:val="1"/>
          <w:wAfter w:w="9" w:type="dxa"/>
          <w:trHeight w:val="24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Skaduti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t>0,0</w:t>
            </w:r>
          </w:p>
        </w:tc>
      </w:tr>
    </w:tbl>
    <w:p>
      <w:pPr>
        <w:pStyle w:val="ManualHeading2"/>
        <w:ind w:left="0" w:firstLine="0"/>
        <w:rPr>
          <w:noProof/>
        </w:rPr>
      </w:pPr>
      <w:r>
        <w:rPr>
          <w:noProof/>
        </w:rPr>
        <w:t>3.2.</w:t>
      </w:r>
      <w:r>
        <w:rPr>
          <w:noProof/>
        </w:rPr>
        <w:tab/>
        <w:t>Il-Fond ta’ Solidarjetà tal-Unjoni Ewropea (FSUE)</w:t>
      </w:r>
    </w:p>
    <w:p>
      <w:pPr>
        <w:pStyle w:val="Text1"/>
        <w:rPr>
          <w:noProof/>
        </w:rPr>
      </w:pPr>
      <w:r>
        <w:rPr>
          <w:noProof/>
        </w:rPr>
        <w:t xml:space="preserve">Skont l-Artikolu 10 tar-Regolament dwar il-QFP, </w:t>
      </w:r>
      <w:r>
        <w:rPr>
          <w:i/>
          <w:noProof/>
        </w:rPr>
        <w:t>il-Fond ta’ Solidarjetà tal-UE</w:t>
      </w:r>
      <w:r>
        <w:rPr>
          <w:noProof/>
        </w:rPr>
        <w:t xml:space="preserve"> jista’ jiġi mobilizzat sa ammont massimu ta’ EUR 500 miljun fis-sena fi prezzijiet tal-2011, jew EUR 597,5 miljun fl-2020 fi prezzijiet kurrenti (EUR 3 944,7 miljun għall-perjodu kollu fi prezzijiet kurrenti). Il-parti tal-ammont mhux użat tas-sena preċedenti tista’ tiġi riportata għas-sena ta’ wara. Ir-riporti mill-2019 għall-2020 ammontaw għal EUR 553,0 miljun. L-ebda ammont ma skada fi tmiem l-2019.</w:t>
      </w:r>
    </w:p>
    <w:p>
      <w:pPr>
        <w:pStyle w:val="Text1"/>
        <w:rPr>
          <w:noProof/>
        </w:rPr>
      </w:pPr>
      <w:r>
        <w:rPr>
          <w:noProof/>
        </w:rPr>
        <w:t>It-tabella ta’ hawn taħt turi d-dettalji tad-disponibbiltajiet u l-użu annwali tal-FSUE mill-2014 ’l quddiem:</w:t>
      </w:r>
    </w:p>
    <w:tbl>
      <w:tblPr>
        <w:tblW w:w="9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850"/>
        <w:gridCol w:w="930"/>
        <w:gridCol w:w="850"/>
        <w:gridCol w:w="822"/>
        <w:gridCol w:w="850"/>
        <w:gridCol w:w="851"/>
        <w:gridCol w:w="850"/>
        <w:gridCol w:w="796"/>
      </w:tblGrid>
      <w:tr>
        <w:trPr>
          <w:trHeight w:val="240"/>
          <w:jc w:val="center"/>
        </w:trPr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Il-Fond ta’ Solidarjetà tal-Unjoni Ewropea</w:t>
            </w:r>
          </w:p>
        </w:tc>
      </w:tr>
      <w:tr>
        <w:trPr>
          <w:trHeight w:val="240"/>
          <w:jc w:val="center"/>
        </w:trPr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Miljuni ta’ EUR</w:t>
            </w:r>
          </w:p>
        </w:tc>
      </w:tr>
      <w:tr>
        <w:trPr>
          <w:trHeight w:val="240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Total</w:t>
            </w:r>
          </w:p>
        </w:tc>
      </w:tr>
      <w:tr>
        <w:trPr>
          <w:trHeight w:val="240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L-ammonti annwali fi prezzijiet tal-2011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3 500</w:t>
            </w:r>
          </w:p>
        </w:tc>
      </w:tr>
      <w:tr>
        <w:trPr>
          <w:trHeight w:val="240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L-ammonti annwali fi prezzijiet kurrenti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530,6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552,0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574,3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585,8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597,5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3 944,7</w:t>
            </w:r>
          </w:p>
        </w:tc>
      </w:tr>
      <w:tr>
        <w:trPr>
          <w:trHeight w:val="240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Riportati mis-sena preċedenti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541,2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553,0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trHeight w:val="240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Frontloaded mis-sena ta’ wara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-294,0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trHeight w:val="240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Użu annwali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126,7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33,1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1 268,3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1 964,9</w:t>
            </w:r>
          </w:p>
        </w:tc>
      </w:tr>
      <w:tr>
        <w:trPr>
          <w:trHeight w:val="240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Riportati għas-sena ta’ wara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403,9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552,0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trHeight w:val="240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Skaduti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321,1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508,1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t>829,2</w:t>
            </w:r>
          </w:p>
        </w:tc>
      </w:tr>
    </w:tbl>
    <w:p>
      <w:pPr>
        <w:pStyle w:val="ManualHeading2"/>
        <w:rPr>
          <w:noProof/>
        </w:rPr>
      </w:pPr>
      <w:r>
        <w:rPr>
          <w:noProof/>
        </w:rPr>
        <w:t>3.3.</w:t>
      </w:r>
      <w:r>
        <w:rPr>
          <w:noProof/>
        </w:rPr>
        <w:tab/>
        <w:t>L-Istrument ta’ Flessibbiltà</w:t>
      </w:r>
    </w:p>
    <w:p>
      <w:pPr>
        <w:pStyle w:val="Text1"/>
        <w:rPr>
          <w:noProof/>
        </w:rPr>
      </w:pPr>
      <w:r>
        <w:rPr>
          <w:noProof/>
        </w:rPr>
        <w:t xml:space="preserve">Skont l-Artikolu 11 tar-Regolament dwar il-QFP emendat, </w:t>
      </w:r>
      <w:r>
        <w:rPr>
          <w:i/>
          <w:noProof/>
        </w:rPr>
        <w:t xml:space="preserve">l-Istrument ta’ Flessibbiltà </w:t>
      </w:r>
      <w:r>
        <w:rPr>
          <w:noProof/>
        </w:rPr>
        <w:t>jista’ jiġi</w:t>
      </w:r>
      <w:r>
        <w:rPr>
          <w:i/>
          <w:noProof/>
        </w:rPr>
        <w:t xml:space="preserve"> </w:t>
      </w:r>
      <w:r>
        <w:rPr>
          <w:noProof/>
        </w:rPr>
        <w:t xml:space="preserve"> mobilizzat sa ammont annwali massimu ta’ EUR 600 miljun fi prezzijiet tal-2011, jew EUR 717-il miljun fl-2020 fi prezzijiet kurrenti (EUR 4 315-il miljun għall-perjodu kollu fi prezzijiet kurrenti). Il-porzjon tal-ammonti annwali mhux użati tat-tliet snin preċedenti jista’ jiġi riportat.</w:t>
      </w:r>
    </w:p>
    <w:p>
      <w:pPr>
        <w:pStyle w:val="Text1"/>
        <w:rPr>
          <w:noProof/>
        </w:rPr>
      </w:pPr>
      <w:r>
        <w:rPr>
          <w:noProof/>
        </w:rPr>
        <w:t xml:space="preserve">Skont l-Artikolu 6(1)f li jirreferi għat-tieni subparagrafu tal-Artikolu 11(1) </w:t>
      </w:r>
      <w:r>
        <w:rPr>
          <w:i/>
          <w:noProof/>
        </w:rPr>
        <w:t>kull sena, mill-2017 ’il quddiem, l-ammont annwali disponibbli għall-Istrument ta’ Flessibbiltà għandu jiżdied</w:t>
      </w:r>
      <w:r>
        <w:rPr>
          <w:noProof/>
        </w:rPr>
        <w:t xml:space="preserve"> bl-ammonti ekwivalenti għall-porzjon tal-ammont annwali għall-Fond ta’ Solidarjetà tal-Unjoni Ewropea, u għall-Fond Ewropew ta’ Aġġustament għall-Globalizzazzjoni, li skadew fis-sena ta’ qabel. </w:t>
      </w:r>
    </w:p>
    <w:p>
      <w:pPr>
        <w:pStyle w:val="Text1"/>
        <w:rPr>
          <w:noProof/>
        </w:rPr>
      </w:pPr>
      <w:r>
        <w:rPr>
          <w:noProof/>
        </w:rPr>
        <w:t>It-tabella ta’ hawn taħt turi d-dettalji tad-disponibbiltajiet u l-użu annwali tal-Istrument ta’ Flessibbiltà mill-2014 ’il quddiem:</w:t>
      </w: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889"/>
        <w:gridCol w:w="867"/>
        <w:gridCol w:w="867"/>
        <w:gridCol w:w="745"/>
        <w:gridCol w:w="756"/>
        <w:gridCol w:w="796"/>
        <w:gridCol w:w="819"/>
        <w:gridCol w:w="841"/>
      </w:tblGrid>
      <w:tr>
        <w:trPr>
          <w:trHeight w:val="240"/>
          <w:jc w:val="center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L-Istrument ta’ Flessibbiltà</w:t>
            </w:r>
          </w:p>
        </w:tc>
      </w:tr>
      <w:tr>
        <w:trPr>
          <w:trHeight w:val="104"/>
          <w:jc w:val="center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Miljuni ta’ EUR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Total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L-ammonti annwali fi prezzijiet tal-2011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3 813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L-ammonti annwali fi prezzijiet kurrenti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4 315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Riportati mis-sena preċedenti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276,0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686,7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1010,0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517,0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519,8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202,4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Miżjuda bl-ammont skadut tal-FEG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t>608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Miżjuda bl-ammont skadut tal-FSUE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t>508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Użu annwali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89,3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149,4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1 530,0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805,0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837,2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1 164,3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778,1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5 353,4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Riportati għas-sena ta’ wara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686,7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1 010,0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517,0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Disponibbli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316,3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316,3</w:t>
            </w:r>
          </w:p>
        </w:tc>
      </w:tr>
      <w:tr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Skaduti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37,2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t>37,2</w:t>
            </w:r>
          </w:p>
        </w:tc>
      </w:tr>
    </w:tbl>
    <w:p>
      <w:pPr>
        <w:pStyle w:val="ManualHeading2"/>
        <w:rPr>
          <w:noProof/>
        </w:rPr>
      </w:pPr>
      <w:r>
        <w:rPr>
          <w:noProof/>
        </w:rPr>
        <w:t>3.4.</w:t>
      </w:r>
      <w:r>
        <w:rPr>
          <w:noProof/>
        </w:rPr>
        <w:tab/>
        <w:t>Il-Fond Ewropew ta’ Aġġustament għall-Globalizzazzjoni (FEG)</w:t>
      </w:r>
    </w:p>
    <w:p>
      <w:pPr>
        <w:pStyle w:val="Text1"/>
        <w:rPr>
          <w:noProof/>
        </w:rPr>
      </w:pPr>
      <w:r>
        <w:rPr>
          <w:noProof/>
        </w:rPr>
        <w:t xml:space="preserve">Skont l-Artikolu 12 tar-Regolament dwar il-QFP, </w:t>
      </w:r>
      <w:r>
        <w:rPr>
          <w:i/>
          <w:noProof/>
        </w:rPr>
        <w:t>il-Fond Ewropew ta’ Aġġustament għall-Globalizzazzjoni</w:t>
      </w:r>
      <w:r>
        <w:rPr>
          <w:noProof/>
        </w:rPr>
        <w:t xml:space="preserve"> jista’ jiġi mobilizzat sa massimu ta’ EUR 150 miljun fis-sena fi prezzijiet tal-2011, jew EUR 179,3 miljun fl-2020 fi prezzijiet kurrenti (EUR 1 183,4 miljun għall-perjodu kollu fi prezzijiet kurrenti). Ammonti mhux użati mis-snin ta’ qabel ma jistgħux jiġu riportati. L-ammont ta’ EUR 175,1 miljun li skada fi tmiem l-2019 jintuża sabiex jiżdied l-Istrument ta’ Flessibbiltà fl-2020.</w:t>
      </w:r>
    </w:p>
    <w:p>
      <w:pPr>
        <w:pStyle w:val="Text1"/>
        <w:rPr>
          <w:noProof/>
        </w:rPr>
      </w:pPr>
      <w:r>
        <w:rPr>
          <w:noProof/>
        </w:rPr>
        <w:t xml:space="preserve">It-tabella ta’ hawn taħt turi d-dettalji tad-disponibbiltajiet u l-użu annwali tal-FEG mill-2014 ’il quddiem: </w:t>
      </w:r>
    </w:p>
    <w:tbl>
      <w:tblPr>
        <w:tblW w:w="9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817"/>
        <w:gridCol w:w="870"/>
        <w:gridCol w:w="821"/>
        <w:gridCol w:w="876"/>
        <w:gridCol w:w="766"/>
        <w:gridCol w:w="878"/>
        <w:gridCol w:w="905"/>
        <w:gridCol w:w="969"/>
      </w:tblGrid>
      <w:tr>
        <w:trPr>
          <w:trHeight w:val="240"/>
          <w:jc w:val="center"/>
        </w:trPr>
        <w:tc>
          <w:tcPr>
            <w:tcW w:w="9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Il-Fond Ewropew ta’ Aġġustament għall-Globalizzazzjoni</w:t>
            </w:r>
          </w:p>
        </w:tc>
      </w:tr>
      <w:tr>
        <w:trPr>
          <w:trHeight w:val="240"/>
          <w:jc w:val="center"/>
        </w:trPr>
        <w:tc>
          <w:tcPr>
            <w:tcW w:w="9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Miljuni ta’ EUR</w:t>
            </w:r>
          </w:p>
        </w:tc>
      </w:tr>
      <w:tr>
        <w:trPr>
          <w:trHeight w:val="240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Total</w:t>
            </w:r>
          </w:p>
        </w:tc>
      </w:tr>
      <w:tr>
        <w:trPr>
          <w:trHeight w:val="240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L-ammonti annwali fi prezzijiet tal-2011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1 050</w:t>
            </w:r>
          </w:p>
        </w:tc>
      </w:tr>
      <w:tr>
        <w:trPr>
          <w:trHeight w:val="240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L-ammonti annwali fi prezzijiet kurrenti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159,2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162,4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165,6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168,9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172,3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175,7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179,3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1 183,4</w:t>
            </w:r>
          </w:p>
        </w:tc>
      </w:tr>
      <w:tr>
        <w:trPr>
          <w:trHeight w:val="240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Użu annwali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81,0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43,4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199,1</w:t>
            </w:r>
          </w:p>
        </w:tc>
      </w:tr>
      <w:tr>
        <w:trPr>
          <w:trHeight w:val="240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Skaduti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78,2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137,6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144,3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175,1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t>629,9</w:t>
            </w:r>
          </w:p>
        </w:tc>
      </w:tr>
    </w:tbl>
    <w:p>
      <w:pPr>
        <w:pStyle w:val="ManualHeading2"/>
        <w:rPr>
          <w:noProof/>
        </w:rPr>
      </w:pPr>
      <w:r>
        <w:rPr>
          <w:noProof/>
        </w:rPr>
        <w:t>3.5.</w:t>
      </w:r>
      <w:r>
        <w:rPr>
          <w:noProof/>
        </w:rPr>
        <w:tab/>
        <w:t>Il-Marġni ta’ Kontinġenza</w:t>
      </w:r>
    </w:p>
    <w:p>
      <w:pPr>
        <w:pStyle w:val="Text1"/>
        <w:rPr>
          <w:bCs/>
          <w:noProof/>
        </w:rPr>
      </w:pPr>
      <w:r>
        <w:rPr>
          <w:noProof/>
        </w:rPr>
        <w:t>Skont l-Artikolu 13 tar-Regolament dwar il-QFP, Marġni ta’ Kontinġenza sa 0,03 % tal-Introjtu Nazzjonali Gross tal-Unjoni għandu jiġi kkostitwit barra mil-limiti massimi tal-qafas finanzjarju għall-perjodu 2014-2020.</w:t>
      </w:r>
    </w:p>
    <w:p>
      <w:pPr>
        <w:pStyle w:val="Text1"/>
        <w:rPr>
          <w:bCs/>
          <w:noProof/>
        </w:rPr>
      </w:pPr>
      <w:r>
        <w:rPr>
          <w:noProof/>
        </w:rPr>
        <w:t>L-ammont assolut tal-Marġni ta’ Kontinġenza għas-sena 2020 huwa ta’ EUR 5 096,8 miljun, kif stabbilit fl-aġġustament tekniku tal-QFP għall-2020 adottat f’Mejju 2019.</w:t>
      </w:r>
    </w:p>
    <w:p>
      <w:pPr>
        <w:pStyle w:val="Text1"/>
        <w:rPr>
          <w:bCs/>
          <w:noProof/>
        </w:rPr>
      </w:pPr>
      <w:r>
        <w:rPr>
          <w:noProof/>
        </w:rPr>
        <w:t>It-tabella ta’ hawn taħt turi d-dettalji tad-disponibbiltajiet u l-użu annwali tal-Marġni ta’ Kontinġenza mill-2014 ’il quddiem:</w:t>
      </w:r>
    </w:p>
    <w:tbl>
      <w:tblPr>
        <w:tblW w:w="96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925"/>
        <w:gridCol w:w="925"/>
        <w:gridCol w:w="925"/>
        <w:gridCol w:w="1016"/>
        <w:gridCol w:w="925"/>
        <w:gridCol w:w="925"/>
        <w:gridCol w:w="925"/>
        <w:gridCol w:w="1016"/>
        <w:gridCol w:w="11"/>
      </w:tblGrid>
      <w:tr>
        <w:trPr>
          <w:trHeight w:val="255"/>
          <w:jc w:val="center"/>
        </w:trPr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Il-Marġni ta’ Kontinġenza</w:t>
            </w:r>
          </w:p>
        </w:tc>
      </w:tr>
      <w:tr>
        <w:trPr>
          <w:trHeight w:val="212"/>
          <w:jc w:val="center"/>
        </w:trPr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Miljuni ta’ EUR</w:t>
            </w:r>
          </w:p>
        </w:tc>
      </w:tr>
      <w:tr>
        <w:trPr>
          <w:gridAfter w:val="1"/>
          <w:wAfter w:w="11" w:type="dxa"/>
          <w:trHeight w:val="255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Total</w:t>
            </w:r>
          </w:p>
        </w:tc>
      </w:tr>
      <w:tr>
        <w:trPr>
          <w:gridAfter w:val="1"/>
          <w:wAfter w:w="11" w:type="dxa"/>
          <w:trHeight w:val="255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Ammonti annwali disponibbli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4 026,7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4 175,4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4 438,2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4 496,8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4 711,3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4 946,7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5 096,8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31 892</w:t>
            </w:r>
          </w:p>
        </w:tc>
      </w:tr>
      <w:tr>
        <w:trPr>
          <w:gridAfter w:val="1"/>
          <w:wAfter w:w="11" w:type="dxa"/>
          <w:trHeight w:val="255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Użu annwali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gridAfter w:val="1"/>
          <w:wAfter w:w="11" w:type="dxa"/>
          <w:trHeight w:val="255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ind w:firstLineChars="100" w:firstLine="18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F’impenji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240,1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1 906,2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2 146,3</w:t>
            </w:r>
          </w:p>
        </w:tc>
      </w:tr>
      <w:tr>
        <w:trPr>
          <w:gridAfter w:val="1"/>
          <w:wAfter w:w="11" w:type="dxa"/>
          <w:trHeight w:val="255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ind w:firstLineChars="100" w:firstLine="18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F’pagamenti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2 818,2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2 818,2</w:t>
            </w:r>
          </w:p>
        </w:tc>
      </w:tr>
      <w:tr>
        <w:trPr>
          <w:gridAfter w:val="1"/>
          <w:wAfter w:w="11" w:type="dxa"/>
          <w:trHeight w:val="255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Tpaċija annwali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>
        <w:trPr>
          <w:gridAfter w:val="1"/>
          <w:wAfter w:w="11" w:type="dxa"/>
          <w:trHeight w:val="255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ind w:firstLineChars="100" w:firstLine="18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F’impenji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-240,1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-1 082,3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-318,0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-253,9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-252,0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-2 146,3</w:t>
            </w:r>
          </w:p>
        </w:tc>
      </w:tr>
      <w:tr>
        <w:trPr>
          <w:gridAfter w:val="1"/>
          <w:wAfter w:w="11" w:type="dxa"/>
          <w:trHeight w:val="255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ind w:firstLineChars="100" w:firstLine="18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F’pagamenti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-2 818,2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keepNext/>
              <w:keepLines/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-2 818,2</w:t>
            </w:r>
          </w:p>
        </w:tc>
      </w:tr>
    </w:tbl>
    <w:p>
      <w:pPr>
        <w:pStyle w:val="ManualHeading2"/>
        <w:rPr>
          <w:noProof/>
        </w:rPr>
      </w:pPr>
      <w:r>
        <w:rPr>
          <w:noProof/>
        </w:rPr>
        <w:t>3.6.</w:t>
      </w:r>
      <w:r>
        <w:rPr>
          <w:noProof/>
        </w:rPr>
        <w:tab/>
        <w:t>Marġni globali għal impenji għat-tkabbir u l-impjiegi, b’mod partikolari l-impjiegi taż-żgħażagħ, u għall-migrazzjoni u miżuri ta’ sigurtà (MGI)</w:t>
      </w:r>
    </w:p>
    <w:p>
      <w:pPr>
        <w:pStyle w:val="Text1"/>
        <w:rPr>
          <w:noProof/>
        </w:rPr>
      </w:pPr>
      <w:r>
        <w:rPr>
          <w:noProof/>
        </w:rPr>
        <w:t>Skont l-Artikolu 14 tar-Regolament dwar il-QFP, kif emendat mir-Regolament tal-Kunsill (UE, Euratom) Nru 2017/1123, il-marġnijiet li jkunu għadhom disponibbli taħt il-limitu massimu tal-QFP għall-approprjazzjonijiet ta’ impenn għandhom jikkostitwixxu Marġni Globali tal-QFP għall-impenji, li għandhom isiru disponibbli lil hinn mil-limiti massimi stabbiliti fil-QFP għas-snin 2016 sa 2020 għall-objettivi ta’ politika marbuta mat-tkabbir u l-impjiegi, b’mod partikolari l-impjieg fost iż-żgħażagħ, u l-migrazzjoni u s-sigurtà.</w:t>
      </w:r>
    </w:p>
    <w:p>
      <w:pPr>
        <w:pStyle w:val="Text1"/>
        <w:rPr>
          <w:noProof/>
        </w:rPr>
      </w:pPr>
      <w:r>
        <w:rPr>
          <w:noProof/>
        </w:rPr>
        <w:t>Fil-baġit finali tal-2019, il-marġni li baqa’ disponibbli taħt il-limitu massimu ta’ impenji kien jammonta għal EUR 1 291,1 miljun. L-impenji dwar l-Istrumenti speċjali (inkluż l-użu tal-MGI u tal-Marġni ta’ kontinġenza) mhumiex ikkunsidrati billi dawn jiġu implimentati lil hinn mil-limiti massimi tal-QFP.</w:t>
      </w:r>
    </w:p>
    <w:p>
      <w:pPr>
        <w:pStyle w:val="Text1"/>
        <w:rPr>
          <w:noProof/>
        </w:rPr>
      </w:pPr>
      <w:r>
        <w:rPr>
          <w:noProof/>
        </w:rPr>
        <w:t>Skont l-Artikolu 6(2) tar-Regolament dwar il-QFP, għall-kalkolu tal-MGI għandu jintuża d-deflatur annwali ta’ 2 %. L-ammont tal-marġni li jifdal mill-2019 li għandu jitqiegħed għad-disponibbiltà għall-2020 jikkorrispondi għal EUR 1 316,9 miljun fi prezzijiet kurrenti. L-ammont tal-MGI bil-prezzijiet tal-2011 jikkorrispondi għal EUR 1 101,9 miljun.</w:t>
      </w:r>
    </w:p>
    <w:p>
      <w:pPr>
        <w:pStyle w:val="Text1"/>
        <w:rPr>
          <w:noProof/>
        </w:rPr>
      </w:pPr>
      <w:r>
        <w:rPr>
          <w:noProof/>
        </w:rPr>
        <w:t>It-tabella ta’ hawn taħt turi d-dettalji tal-kalkolu tal-MGI 2019:</w:t>
      </w:r>
    </w:p>
    <w:tbl>
      <w:tblPr>
        <w:tblW w:w="5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076"/>
      </w:tblGrid>
      <w:tr>
        <w:trPr>
          <w:trHeight w:val="270"/>
          <w:jc w:val="center"/>
        </w:trPr>
        <w:tc>
          <w:tcPr>
            <w:tcW w:w="5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Il-marġni globali għall-impenji - 2019</w:t>
            </w:r>
          </w:p>
        </w:tc>
      </w:tr>
      <w:tr>
        <w:trPr>
          <w:trHeight w:val="270"/>
          <w:jc w:val="center"/>
        </w:trPr>
        <w:tc>
          <w:tcPr>
            <w:tcW w:w="5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 </w:t>
            </w:r>
            <w:r>
              <w:rPr>
                <w:i/>
                <w:iCs/>
                <w:noProof/>
                <w:sz w:val="18"/>
                <w:szCs w:val="18"/>
              </w:rPr>
              <w:t>Miljuni ta’ EUR</w:t>
            </w:r>
          </w:p>
        </w:tc>
      </w:tr>
      <w:tr>
        <w:trPr>
          <w:trHeight w:val="270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Limitu massimu AI 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164 123,0</w:t>
            </w:r>
          </w:p>
        </w:tc>
      </w:tr>
      <w:tr>
        <w:trPr>
          <w:trHeight w:val="270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Approprjazzjonijiet totali awtorizzati tal-baġit tal-2019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166 189,2</w:t>
            </w:r>
          </w:p>
        </w:tc>
      </w:tr>
      <w:tr>
        <w:trPr>
          <w:trHeight w:val="270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 minnhom strumenti speċjali: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3 357,3</w:t>
            </w:r>
          </w:p>
        </w:tc>
      </w:tr>
      <w:tr>
        <w:trPr>
          <w:trHeight w:val="25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ind w:firstLineChars="100"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Il-Fond ta’ Solidarjetà tal-Unjoni Ewropea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343,6</w:t>
            </w:r>
          </w:p>
        </w:tc>
      </w:tr>
      <w:tr>
        <w:trPr>
          <w:trHeight w:val="25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ind w:firstLineChars="100"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Il-Fond Ewropew ta’ Aġġustament għall-Globalizzazzjoni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175,7</w:t>
            </w:r>
          </w:p>
        </w:tc>
      </w:tr>
      <w:tr>
        <w:trPr>
          <w:trHeight w:val="25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ind w:firstLineChars="100"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Ir-Riżerva ta’ Għajnuna f’Emerġenza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351,5</w:t>
            </w:r>
          </w:p>
        </w:tc>
      </w:tr>
      <w:tr>
        <w:trPr>
          <w:trHeight w:val="25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ind w:firstLineChars="100"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L-istrument ta’ flessibbiltà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1 164,3</w:t>
            </w:r>
          </w:p>
        </w:tc>
      </w:tr>
      <w:tr>
        <w:trPr>
          <w:trHeight w:val="270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ind w:firstLineChars="100"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Il-marġni ta’ kontinġenza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-253,9</w:t>
            </w:r>
          </w:p>
        </w:tc>
      </w:tr>
      <w:tr>
        <w:trPr>
          <w:trHeight w:val="270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ind w:firstLineChars="100"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MGI mobilizzat fl-2019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1 576,0</w:t>
            </w:r>
          </w:p>
        </w:tc>
      </w:tr>
      <w:tr>
        <w:trPr>
          <w:trHeight w:val="270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Il-marġni globali għall-impenji tal-2019 (prezzijiet kurrenti)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1 291,1</w:t>
            </w:r>
          </w:p>
        </w:tc>
      </w:tr>
      <w:tr>
        <w:trPr>
          <w:trHeight w:val="270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Il-marġni globali għall-impenji tal-2019 (prezzijiet tal-2011)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1 101,9</w:t>
            </w:r>
          </w:p>
        </w:tc>
      </w:tr>
      <w:tr>
        <w:trPr>
          <w:trHeight w:val="270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MGI disponibbli fl-2020 (prezzijiet kurrenti)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1 316,9</w:t>
            </w:r>
          </w:p>
        </w:tc>
      </w:tr>
    </w:tbl>
    <w:p>
      <w:pPr>
        <w:pStyle w:val="Text1"/>
        <w:rPr>
          <w:noProof/>
        </w:rPr>
      </w:pPr>
      <w:r>
        <w:rPr>
          <w:noProof/>
        </w:rPr>
        <w:t>Bħalissa għad hemm disponibbli frazzjoni tal-MGI tal-2018 (EUR 1 075,5 miljun fi prezzijiet tal-2020). Id-disponibbiltà ġenerali tal-MGI fl-2020 hija għalhekk ta’ EUR 2 392,4 miljun (fi prezzijiet tal-2020).</w:t>
      </w:r>
    </w:p>
    <w:p>
      <w:pPr>
        <w:pStyle w:val="Text1"/>
        <w:rPr>
          <w:noProof/>
        </w:rPr>
      </w:pPr>
      <w:r>
        <w:rPr>
          <w:noProof/>
        </w:rPr>
        <w:t>It-tabella ta’ hawn taħt turi d-dettalji tad-disponibbiltajiet u l-użu tal-MGI mill-2014 ’il quddiem:</w:t>
      </w: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2020</w:t>
            </w:r>
          </w:p>
        </w:tc>
      </w:tr>
      <w:tr>
        <w:trPr>
          <w:trHeight w:val="27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Il-marġni għall-impenji disponibbli fi tmiem is-sena (ikkonfermat mit-TAJU annwali)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1 383,2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2 090,2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1 115,5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1 390,9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1 291,1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</w:tr>
      <w:tr>
        <w:trPr>
          <w:trHeight w:val="27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MGI annwali disponibbli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1 953,9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3 571,1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2 802,4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2 894,7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2 662,0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543,0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1 410,9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1 439,1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2 132,0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1 664,6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315,4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1 137,8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1 160,6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1 418,7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1 345,1</w:t>
            </w:r>
          </w:p>
        </w:tc>
      </w:tr>
      <w:tr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1 316,9</w:t>
            </w:r>
          </w:p>
        </w:tc>
      </w:tr>
      <w:tr>
        <w:trPr>
          <w:trHeight w:val="27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Użu annwali tal-MGI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-543,0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-1 939,1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-1 355,6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-1 576,0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-269,6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-543,0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-1 439,1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-500,0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-1 355,6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-315,4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-1 160,6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-269,6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MGI li jifdal fi tmiem is-sena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1 410,9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1 632,0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1 446,8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1 318,7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2 392,4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1 410,9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1 632,0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309,0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1 137,8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0,0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1 318,7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1 075,5</w:t>
            </w:r>
          </w:p>
        </w:tc>
      </w:tr>
      <w:tr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MGI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right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1 316,9</w:t>
            </w:r>
          </w:p>
        </w:tc>
      </w:tr>
    </w:tbl>
    <w:p>
      <w:pPr>
        <w:pStyle w:val="Text1"/>
        <w:ind w:left="0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7144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163, 24.6.2017,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COM(2019) 310 final ta’ 15.05.2019.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B8B29F9"/>
    <w:multiLevelType w:val="hybridMultilevel"/>
    <w:tmpl w:val="32229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8DAB2360-10CB-44CF-94FA-1C07F1A9CEE1"/>
    <w:docVar w:name="LW_COVERPAGE_TYPE" w:val="1"/>
    <w:docVar w:name="LW_CROSSREFERENCE" w:val="&lt;UNUSED&gt;"/>
    <w:docVar w:name="LW_DocType" w:val="NORMAL"/>
    <w:docVar w:name="LW_EMISSION" w:val="2.4.2020"/>
    <w:docVar w:name="LW_EMISSION_ISODATE" w:val="2020-04-02"/>
    <w:docVar w:name="LW_EMISSION_LOCATION" w:val="BRX"/>
    <w:docVar w:name="LW_EMISSION_PREFIX" w:val="Brussell, "/>
    <w:docVar w:name="LW_EMISSION_SUFFIX" w:val=" "/>
    <w:docVar w:name="LW_ID_DOCTYPE_NONLW" w:val="CP-011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\u289?\u289?ustament tekniku fir-rigward tal-istrumenti spe\u267?jali g\u295?all-2020                    _x000d__x000b_(l-Artikolu 6(1)(e) u (f) tar-Regolament tal-Kunsill Nru 1311/2013 li jistabbilixxi l-qafas finanzjarju pluriennali g\u295?as-snin 2014-2020)_x000d__x000d__x000d_"/>
    <w:docVar w:name="LW_TYPE.DOC.CP" w:val="KOMUNIKAZZJONI TAL-KUMMISSJONI LILL-KUNSILL U LILL-PARLAMENT EWROPEW"/>
    <w:docVar w:name="LW_TYPE.DOC.CP.USERTEXT" w:val="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ManualHeading1">
    <w:name w:val="Manual Heading 1"/>
    <w:basedOn w:val="Normal"/>
    <w:next w:val="Text1"/>
    <w:link w:val="ManualHeading1Char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ManualHeading1Char">
    <w:name w:val="Manual Heading 1 Char"/>
    <w:basedOn w:val="DefaultParagraphFont"/>
    <w:link w:val="ManualHeading1"/>
    <w:rPr>
      <w:rFonts w:ascii="Times New Roman" w:eastAsia="Times New Roman" w:hAnsi="Times New Roman" w:cs="Times New Roman"/>
      <w:b/>
      <w:smallCaps/>
      <w:sz w:val="24"/>
      <w:lang w:eastAsia="en-GB"/>
    </w:rPr>
  </w:style>
  <w:style w:type="character" w:customStyle="1" w:styleId="FooterCoverPageChar">
    <w:name w:val="Footer Cover Page Char"/>
    <w:basedOn w:val="ManualHeading1Char"/>
    <w:link w:val="FooterCoverPage"/>
    <w:rPr>
      <w:rFonts w:ascii="Times New Roman" w:eastAsia="Times New Roman" w:hAnsi="Times New Roman" w:cs="Times New Roman"/>
      <w:b w:val="0"/>
      <w:smallCaps w:val="0"/>
      <w:sz w:val="24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ManualHeading1Char"/>
    <w:link w:val="FooterSensitivity"/>
    <w:rPr>
      <w:rFonts w:ascii="Times New Roman" w:eastAsia="Times New Roman" w:hAnsi="Times New Roman" w:cs="Times New Roman"/>
      <w:b/>
      <w:smallCaps w:val="0"/>
      <w:sz w:val="32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ManualHeading1Char"/>
    <w:link w:val="HeaderCoverPage"/>
    <w:rPr>
      <w:rFonts w:ascii="Times New Roman" w:eastAsia="Times New Roman" w:hAnsi="Times New Roman" w:cs="Times New Roman"/>
      <w:b w:val="0"/>
      <w:smallCaps w:val="0"/>
      <w:sz w:val="24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ManualHeading1Char"/>
    <w:link w:val="HeaderSensitivity"/>
    <w:rPr>
      <w:rFonts w:ascii="Times New Roman" w:eastAsia="Times New Roman" w:hAnsi="Times New Roman" w:cs="Times New Roman"/>
      <w:b/>
      <w:smallCaps w:val="0"/>
      <w:sz w:val="32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LegalNumPar">
    <w:name w:val="LegalNumPar"/>
    <w:basedOn w:val="Normal"/>
    <w:pPr>
      <w:numPr>
        <w:numId w:val="4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4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4"/>
      </w:num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ManualHeading1">
    <w:name w:val="Manual Heading 1"/>
    <w:basedOn w:val="Normal"/>
    <w:next w:val="Text1"/>
    <w:link w:val="ManualHeading1Char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ManualHeading1Char">
    <w:name w:val="Manual Heading 1 Char"/>
    <w:basedOn w:val="DefaultParagraphFont"/>
    <w:link w:val="ManualHeading1"/>
    <w:rPr>
      <w:rFonts w:ascii="Times New Roman" w:eastAsia="Times New Roman" w:hAnsi="Times New Roman" w:cs="Times New Roman"/>
      <w:b/>
      <w:smallCaps/>
      <w:sz w:val="24"/>
      <w:lang w:eastAsia="en-GB"/>
    </w:rPr>
  </w:style>
  <w:style w:type="character" w:customStyle="1" w:styleId="FooterCoverPageChar">
    <w:name w:val="Footer Cover Page Char"/>
    <w:basedOn w:val="ManualHeading1Char"/>
    <w:link w:val="FooterCoverPage"/>
    <w:rPr>
      <w:rFonts w:ascii="Times New Roman" w:eastAsia="Times New Roman" w:hAnsi="Times New Roman" w:cs="Times New Roman"/>
      <w:b w:val="0"/>
      <w:smallCaps w:val="0"/>
      <w:sz w:val="24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ManualHeading1Char"/>
    <w:link w:val="FooterSensitivity"/>
    <w:rPr>
      <w:rFonts w:ascii="Times New Roman" w:eastAsia="Times New Roman" w:hAnsi="Times New Roman" w:cs="Times New Roman"/>
      <w:b/>
      <w:smallCaps w:val="0"/>
      <w:sz w:val="32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ManualHeading1Char"/>
    <w:link w:val="HeaderCoverPage"/>
    <w:rPr>
      <w:rFonts w:ascii="Times New Roman" w:eastAsia="Times New Roman" w:hAnsi="Times New Roman" w:cs="Times New Roman"/>
      <w:b w:val="0"/>
      <w:smallCaps w:val="0"/>
      <w:sz w:val="24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ManualHeading1Char"/>
    <w:link w:val="HeaderSensitivity"/>
    <w:rPr>
      <w:rFonts w:ascii="Times New Roman" w:eastAsia="Times New Roman" w:hAnsi="Times New Roman" w:cs="Times New Roman"/>
      <w:b/>
      <w:smallCaps w:val="0"/>
      <w:sz w:val="32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LegalNumPar">
    <w:name w:val="LegalNumPar"/>
    <w:basedOn w:val="Normal"/>
    <w:pPr>
      <w:numPr>
        <w:numId w:val="4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4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4"/>
      </w:num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AB3B14-8246-4AFD-853B-B29C77EB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1771</Words>
  <Characters>10454</Characters>
  <Application>Microsoft Office Word</Application>
  <DocSecurity>0</DocSecurity>
  <Lines>696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21</cp:revision>
  <cp:lastPrinted>2019-04-11T08:28:00Z</cp:lastPrinted>
  <dcterms:created xsi:type="dcterms:W3CDTF">2020-03-30T14:53:00Z</dcterms:created>
  <dcterms:modified xsi:type="dcterms:W3CDTF">2020-04-06T16:28:00Z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ast edited using">
    <vt:lpwstr>LW 7.0, Build 20190717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CP-011</vt:lpwstr>
  </property>
</Properties>
</file>