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5DD8985-4F6C-4576-9758-B4CA3627747A" style="width:450.8pt;height:334.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ManualHeading1"/>
        <w:numPr>
          <w:ilvl w:val="0"/>
          <w:numId w:val="1"/>
        </w:numPr>
        <w:rPr>
          <w:noProof/>
        </w:rPr>
      </w:pPr>
      <w:bookmarkStart w:id="1" w:name="_GoBack"/>
      <w:bookmarkEnd w:id="1"/>
      <w:r>
        <w:rPr>
          <w:noProof/>
        </w:rPr>
        <w:lastRenderedPageBreak/>
        <w:t>Įžanga</w:t>
      </w:r>
    </w:p>
    <w:p>
      <w:pPr>
        <w:pStyle w:val="Text1"/>
        <w:rPr>
          <w:noProof/>
        </w:rPr>
      </w:pPr>
      <w:r>
        <w:rPr>
          <w:noProof/>
        </w:rPr>
        <w:t>Reglamente, kuriuo nustatoma 2014–2020 m. daugiametė finansinė programa (DFP reglamente), su paskutiniais pakeitimais, padarytais 2017 m. birželio 20 d. Tarybos reglamentu (ES, Euratomas) 2017/1123</w:t>
      </w:r>
      <w:r>
        <w:rPr>
          <w:rStyle w:val="FootnoteReference"/>
          <w:noProof/>
        </w:rPr>
        <w:footnoteReference w:id="2"/>
      </w:r>
      <w:r>
        <w:rPr>
          <w:noProof/>
        </w:rPr>
        <w:t xml:space="preserve"> ir patikslintame, kaip nurodyta 2020 m. komunikate dėl techninio patikslinimo</w:t>
      </w:r>
      <w:r>
        <w:rPr>
          <w:rStyle w:val="FootnoteReference"/>
          <w:noProof/>
        </w:rPr>
        <w:footnoteReference w:id="3"/>
      </w:r>
      <w:r>
        <w:rPr>
          <w:noProof/>
        </w:rPr>
        <w:t xml:space="preserve">, pateikta 2014–2020 m. finansinės programos lentelė 2011 m. kainomis (1 lentelė). </w:t>
      </w:r>
    </w:p>
    <w:p>
      <w:pPr>
        <w:pStyle w:val="Text1"/>
        <w:rPr>
          <w:noProof/>
        </w:rPr>
      </w:pPr>
      <w:r>
        <w:rPr>
          <w:noProof/>
        </w:rPr>
        <w:t xml:space="preserve">Pagal DFP reglamento 6 straipsnio 1 dalį kiekvienais metais Komisija, prieš pradėdama n + 1 metų biudžeto procedūrą, techniškai patikslina daugiametę finansinę programą (DFP) pagal ES bendrųjų nacionalinių pajamų (BNP) ir kainų pokyčius ir rezultatus praneša Tarybai ir Europos Parlamentui. 2020 m. viršutinių ribų patikslinimas pagal 6 straipsnio 1 dalį buvo atliktas 2019 m. gegužės mėn. techniniu patikslinimu ir remiantis 6 straipsnio 4 dalimi jis neatnaujinamas. </w:t>
      </w:r>
    </w:p>
    <w:p>
      <w:pPr>
        <w:pStyle w:val="Text1"/>
        <w:rPr>
          <w:noProof/>
        </w:rPr>
      </w:pPr>
      <w:r>
        <w:rPr>
          <w:noProof/>
        </w:rPr>
        <w:t xml:space="preserve">Komunikate dėl 2020 m. techninio patikslinimo nurodytos specialių priemonių sumos pagal DFP reglamento 6 straipsnio 1 dalies e ir f punktus, kurios skirtinos 2019 ir 2020 m. atitinkamai bendrajai įsipareigojimų maržai ir lankstumo priemonei ir kurios buvo žinomos 2019 m. pavasarį. Šio komunikato tikslas – pranešti Tarybai ir Europos Parlamentui apie papildomas specialių priemonių sumas pagal DFP reglamento 6 straipsnio 1 dalies e ir f punktus, kurios liko nepanaudotos 2019 m. pabaigoje ir kurios skirtinos atitinkamai 2020 m. bendrajai įsipareigojimų maržai ir lankstumo priemonei. </w:t>
      </w:r>
    </w:p>
    <w:p>
      <w:pPr>
        <w:pStyle w:val="Text1"/>
        <w:rPr>
          <w:noProof/>
        </w:rPr>
      </w:pPr>
      <w:r>
        <w:rPr>
          <w:noProof/>
        </w:rPr>
        <w:t>Informacijos tikslais komunikate taip pat nurodomos turimos visų specialių priemonių sumos ir jų panaudojimas nuo 2014 m.</w:t>
      </w:r>
    </w:p>
    <w:p>
      <w:pPr>
        <w:pStyle w:val="ManualHeading1"/>
        <w:rPr>
          <w:noProof/>
        </w:rPr>
      </w:pPr>
      <w:r>
        <w:rPr>
          <w:noProof/>
        </w:rPr>
        <w:t>2.</w:t>
      </w:r>
      <w:r>
        <w:rPr>
          <w:noProof/>
        </w:rPr>
        <w:tab/>
        <w:t>Bendroji mokėjimų marža (BMM)</w:t>
      </w:r>
    </w:p>
    <w:p>
      <w:pPr>
        <w:pStyle w:val="Text1"/>
        <w:rPr>
          <w:noProof/>
        </w:rPr>
      </w:pPr>
      <w:r>
        <w:rPr>
          <w:noProof/>
        </w:rPr>
        <w:t>Pagal DFP reglamento 5 straipsnį Komisija patikslina 2015–2020 m. mokėjimų viršutinę ribą, ją padidindama suma, kuri yra lygiavertė n − 1 metų įvykdytų mokėjimų ir DFP mokėjimų viršutinės ribos skirtumui. Patikslinimas, kurį atlikus suma padidinama, visiškai kompensuojamas atitinkamai sumažinant n − 1 metų mokėjimų viršutinę ribą palyginamosiomis 2011 m. kainomis.</w:t>
      </w:r>
    </w:p>
    <w:p>
      <w:pPr>
        <w:pStyle w:val="Text1"/>
        <w:rPr>
          <w:noProof/>
        </w:rPr>
      </w:pPr>
      <w:r>
        <w:rPr>
          <w:noProof/>
        </w:rPr>
        <w:t>2020 m. BMM perskaičiavimas neatliekamas, nes 2019 m. gegužės mėn. patvirtintame 2020 m. techniniame patikslinime buvo pasiekta DFP reglamento 5 straipsnio 2 dalyje nustatyta riba.</w:t>
      </w:r>
    </w:p>
    <w:p>
      <w:pPr>
        <w:pStyle w:val="ManualHeading1"/>
        <w:rPr>
          <w:noProof/>
        </w:rPr>
      </w:pPr>
      <w:r>
        <w:rPr>
          <w:noProof/>
        </w:rPr>
        <w:t>3.</w:t>
      </w:r>
      <w:r>
        <w:rPr>
          <w:noProof/>
        </w:rPr>
        <w:tab/>
        <w:t>Specialios priemonės</w:t>
      </w:r>
    </w:p>
    <w:p>
      <w:pPr>
        <w:pStyle w:val="Text1"/>
        <w:rPr>
          <w:noProof/>
        </w:rPr>
      </w:pPr>
      <w:r>
        <w:rPr>
          <w:noProof/>
        </w:rPr>
        <w:t>Yra priemonių, kurioms netaikomos 2014–2020 m. finansinėje programoje sutartos viršutinės išlaidų ribos. Šiomis priemonėmis siekiama greitai reaguoti į išskirtinius arba nenumatytus įvykius ir užtikrinti tam tikrą lankstumą, nevaržomą viršutinės sutartos išlaidų ribos, su tam tikrais apribojimais.</w:t>
      </w:r>
    </w:p>
    <w:p>
      <w:pPr>
        <w:pStyle w:val="ManualHeading2"/>
        <w:rPr>
          <w:noProof/>
        </w:rPr>
      </w:pPr>
      <w:r>
        <w:rPr>
          <w:noProof/>
        </w:rPr>
        <w:t>3.1.</w:t>
      </w:r>
      <w:r>
        <w:rPr>
          <w:noProof/>
        </w:rPr>
        <w:tab/>
        <w:t>Neatidėliotinos pagalbos rezervas (EAR)</w:t>
      </w:r>
    </w:p>
    <w:p>
      <w:pPr>
        <w:pStyle w:val="Text1"/>
        <w:rPr>
          <w:noProof/>
        </w:rPr>
      </w:pPr>
      <w:r>
        <w:rPr>
          <w:noProof/>
        </w:rPr>
        <w:t xml:space="preserve">Pagal iš dalies pakeisto DFP reglamento 9 straipsnį </w:t>
      </w:r>
      <w:r>
        <w:rPr>
          <w:i/>
          <w:noProof/>
        </w:rPr>
        <w:t>neatidėliotinos pagalbos rezervą</w:t>
      </w:r>
      <w:r>
        <w:rPr>
          <w:noProof/>
        </w:rPr>
        <w:t xml:space="preserve"> galima panaudoti per metus neviršijant didžiausios 300 mln. EUR sumos 2011 m. kainomis, arba 2020 m. – 358,5 mln. EUR galiojančiomis kainomis (per visą laikotarpį – 2 301,4 mln. EUR galiojančiomis kainomis). Nepanaudota ankstesnių metų sumos dalis gali būti perkeliama į kitus metus. Iš 2019 į 2020 m. perkelta suma sudaro 45,6 mln. EUR.</w:t>
      </w:r>
    </w:p>
    <w:p>
      <w:pPr>
        <w:pStyle w:val="Text1"/>
        <w:rPr>
          <w:noProof/>
        </w:rPr>
      </w:pPr>
      <w:r>
        <w:rPr>
          <w:noProof/>
        </w:rPr>
        <w:t>Toliau pateikiamoje lentelėje išsamiai parodyta, koks kasmet turimas ir kiek nuo 2014 m. panaudojamas neatidėliotinos pagalbos rezervas.</w:t>
      </w:r>
    </w:p>
    <w:tbl>
      <w:tblPr>
        <w:tblW w:w="9431" w:type="dxa"/>
        <w:jc w:val="center"/>
        <w:tblCellMar>
          <w:left w:w="70" w:type="dxa"/>
          <w:right w:w="70" w:type="dxa"/>
        </w:tblCellMar>
        <w:tblLook w:val="04A0" w:firstRow="1" w:lastRow="0" w:firstColumn="1" w:lastColumn="0" w:noHBand="0" w:noVBand="1"/>
      </w:tblPr>
      <w:tblGrid>
        <w:gridCol w:w="2801"/>
        <w:gridCol w:w="875"/>
        <w:gridCol w:w="842"/>
        <w:gridCol w:w="809"/>
        <w:gridCol w:w="776"/>
        <w:gridCol w:w="783"/>
        <w:gridCol w:w="803"/>
        <w:gridCol w:w="875"/>
        <w:gridCol w:w="858"/>
        <w:gridCol w:w="9"/>
      </w:tblGrid>
      <w:tr>
        <w:trPr>
          <w:trHeight w:val="240"/>
          <w:jc w:val="center"/>
        </w:trPr>
        <w:tc>
          <w:tcPr>
            <w:tcW w:w="943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pPr>
              <w:spacing w:before="0" w:after="0"/>
              <w:jc w:val="center"/>
              <w:rPr>
                <w:b/>
                <w:bCs/>
                <w:noProof/>
                <w:sz w:val="18"/>
                <w:szCs w:val="18"/>
              </w:rPr>
            </w:pPr>
            <w:r>
              <w:rPr>
                <w:b/>
                <w:bCs/>
                <w:noProof/>
                <w:sz w:val="18"/>
                <w:szCs w:val="18"/>
              </w:rPr>
              <w:t>Neatidėliotinos pagalbos rezervas</w:t>
            </w:r>
          </w:p>
        </w:tc>
      </w:tr>
      <w:tr>
        <w:trPr>
          <w:trHeight w:val="240"/>
          <w:jc w:val="center"/>
        </w:trPr>
        <w:tc>
          <w:tcPr>
            <w:tcW w:w="943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pPr>
              <w:spacing w:before="0" w:after="0"/>
              <w:jc w:val="right"/>
              <w:rPr>
                <w:i/>
                <w:iCs/>
                <w:noProof/>
                <w:sz w:val="18"/>
                <w:szCs w:val="18"/>
              </w:rPr>
            </w:pPr>
            <w:r>
              <w:rPr>
                <w:i/>
                <w:iCs/>
                <w:noProof/>
                <w:sz w:val="18"/>
                <w:szCs w:val="18"/>
              </w:rPr>
              <w:t>mln. EUR</w:t>
            </w:r>
          </w:p>
        </w:tc>
      </w:tr>
      <w:tr>
        <w:trPr>
          <w:gridAfter w:val="1"/>
          <w:wAfter w:w="9" w:type="dxa"/>
          <w:trHeight w:val="240"/>
          <w:jc w:val="center"/>
        </w:trPr>
        <w:tc>
          <w:tcPr>
            <w:tcW w:w="2801"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 </w:t>
            </w:r>
          </w:p>
        </w:tc>
        <w:tc>
          <w:tcPr>
            <w:tcW w:w="875"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2014</w:t>
            </w:r>
          </w:p>
        </w:tc>
        <w:tc>
          <w:tcPr>
            <w:tcW w:w="842"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2015</w:t>
            </w:r>
          </w:p>
        </w:tc>
        <w:tc>
          <w:tcPr>
            <w:tcW w:w="809"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2016</w:t>
            </w:r>
          </w:p>
        </w:tc>
        <w:tc>
          <w:tcPr>
            <w:tcW w:w="776"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2017</w:t>
            </w:r>
          </w:p>
        </w:tc>
        <w:tc>
          <w:tcPr>
            <w:tcW w:w="783"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2018</w:t>
            </w:r>
          </w:p>
        </w:tc>
        <w:tc>
          <w:tcPr>
            <w:tcW w:w="803"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2019</w:t>
            </w:r>
          </w:p>
        </w:tc>
        <w:tc>
          <w:tcPr>
            <w:tcW w:w="875"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2020</w:t>
            </w:r>
          </w:p>
        </w:tc>
        <w:tc>
          <w:tcPr>
            <w:tcW w:w="858" w:type="dxa"/>
            <w:tcBorders>
              <w:top w:val="nil"/>
              <w:left w:val="nil"/>
              <w:bottom w:val="single" w:sz="4" w:space="0" w:color="auto"/>
              <w:right w:val="single" w:sz="4" w:space="0" w:color="auto"/>
            </w:tcBorders>
            <w:shd w:val="clear" w:color="auto" w:fill="auto"/>
            <w:noWrap/>
            <w:vAlign w:val="bottom"/>
            <w:hideMark/>
          </w:tcPr>
          <w:p>
            <w:pPr>
              <w:spacing w:before="0" w:after="0"/>
              <w:jc w:val="center"/>
              <w:rPr>
                <w:b/>
                <w:bCs/>
                <w:noProof/>
                <w:sz w:val="18"/>
                <w:szCs w:val="18"/>
              </w:rPr>
            </w:pPr>
            <w:r>
              <w:rPr>
                <w:b/>
                <w:bCs/>
                <w:noProof/>
                <w:sz w:val="18"/>
                <w:szCs w:val="18"/>
              </w:rPr>
              <w:t>Iš viso</w:t>
            </w:r>
          </w:p>
        </w:tc>
      </w:tr>
      <w:tr>
        <w:trPr>
          <w:gridAfter w:val="1"/>
          <w:wAfter w:w="9" w:type="dxa"/>
          <w:trHeight w:val="240"/>
          <w:jc w:val="center"/>
        </w:trPr>
        <w:tc>
          <w:tcPr>
            <w:tcW w:w="2801"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Metinės sumos 2011 m. kainomis</w:t>
            </w:r>
          </w:p>
        </w:tc>
        <w:tc>
          <w:tcPr>
            <w:tcW w:w="87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280</w:t>
            </w:r>
          </w:p>
        </w:tc>
        <w:tc>
          <w:tcPr>
            <w:tcW w:w="842"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280</w:t>
            </w:r>
          </w:p>
        </w:tc>
        <w:tc>
          <w:tcPr>
            <w:tcW w:w="80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280</w:t>
            </w:r>
          </w:p>
        </w:tc>
        <w:tc>
          <w:tcPr>
            <w:tcW w:w="77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300</w:t>
            </w:r>
          </w:p>
        </w:tc>
        <w:tc>
          <w:tcPr>
            <w:tcW w:w="783"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300</w:t>
            </w:r>
          </w:p>
        </w:tc>
        <w:tc>
          <w:tcPr>
            <w:tcW w:w="803"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300</w:t>
            </w:r>
          </w:p>
        </w:tc>
        <w:tc>
          <w:tcPr>
            <w:tcW w:w="87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300</w:t>
            </w:r>
          </w:p>
        </w:tc>
        <w:tc>
          <w:tcPr>
            <w:tcW w:w="858"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2 040</w:t>
            </w:r>
          </w:p>
        </w:tc>
      </w:tr>
      <w:tr>
        <w:trPr>
          <w:gridAfter w:val="1"/>
          <w:wAfter w:w="9" w:type="dxa"/>
          <w:trHeight w:val="240"/>
          <w:jc w:val="center"/>
        </w:trPr>
        <w:tc>
          <w:tcPr>
            <w:tcW w:w="2801"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Metinės sumos galiojančiomis kainomis</w:t>
            </w:r>
          </w:p>
        </w:tc>
        <w:tc>
          <w:tcPr>
            <w:tcW w:w="87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297,0</w:t>
            </w:r>
          </w:p>
        </w:tc>
        <w:tc>
          <w:tcPr>
            <w:tcW w:w="842"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303,0</w:t>
            </w:r>
          </w:p>
        </w:tc>
        <w:tc>
          <w:tcPr>
            <w:tcW w:w="80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309,0</w:t>
            </w:r>
          </w:p>
        </w:tc>
        <w:tc>
          <w:tcPr>
            <w:tcW w:w="77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337,8</w:t>
            </w:r>
          </w:p>
        </w:tc>
        <w:tc>
          <w:tcPr>
            <w:tcW w:w="783"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344,6</w:t>
            </w:r>
          </w:p>
        </w:tc>
        <w:tc>
          <w:tcPr>
            <w:tcW w:w="803"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351,5</w:t>
            </w:r>
          </w:p>
        </w:tc>
        <w:tc>
          <w:tcPr>
            <w:tcW w:w="87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358,5</w:t>
            </w:r>
          </w:p>
        </w:tc>
        <w:tc>
          <w:tcPr>
            <w:tcW w:w="858"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2 301,4</w:t>
            </w:r>
          </w:p>
        </w:tc>
      </w:tr>
      <w:tr>
        <w:trPr>
          <w:gridAfter w:val="1"/>
          <w:wAfter w:w="9" w:type="dxa"/>
          <w:trHeight w:val="240"/>
          <w:jc w:val="center"/>
        </w:trPr>
        <w:tc>
          <w:tcPr>
            <w:tcW w:w="2801"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Perkelta iš ankstesnių metų</w:t>
            </w:r>
          </w:p>
        </w:tc>
        <w:tc>
          <w:tcPr>
            <w:tcW w:w="87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842"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198,9</w:t>
            </w:r>
          </w:p>
        </w:tc>
        <w:tc>
          <w:tcPr>
            <w:tcW w:w="80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219,4</w:t>
            </w:r>
          </w:p>
        </w:tc>
        <w:tc>
          <w:tcPr>
            <w:tcW w:w="77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98,6</w:t>
            </w:r>
          </w:p>
        </w:tc>
        <w:tc>
          <w:tcPr>
            <w:tcW w:w="783"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61,7</w:t>
            </w:r>
          </w:p>
        </w:tc>
        <w:tc>
          <w:tcPr>
            <w:tcW w:w="803"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34,1</w:t>
            </w:r>
          </w:p>
        </w:tc>
        <w:tc>
          <w:tcPr>
            <w:tcW w:w="87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45,6</w:t>
            </w:r>
          </w:p>
        </w:tc>
        <w:tc>
          <w:tcPr>
            <w:tcW w:w="858" w:type="dxa"/>
            <w:tcBorders>
              <w:top w:val="nil"/>
              <w:left w:val="nil"/>
              <w:bottom w:val="nil"/>
              <w:right w:val="single" w:sz="4" w:space="0" w:color="auto"/>
            </w:tcBorders>
            <w:shd w:val="clear" w:color="auto" w:fill="auto"/>
            <w:noWrap/>
            <w:vAlign w:val="bottom"/>
            <w:hideMark/>
          </w:tcPr>
          <w:p>
            <w:pPr>
              <w:spacing w:before="0" w:after="0"/>
              <w:jc w:val="left"/>
              <w:rPr>
                <w:b/>
                <w:bCs/>
                <w:noProof/>
                <w:sz w:val="18"/>
                <w:szCs w:val="18"/>
              </w:rPr>
            </w:pPr>
            <w:r>
              <w:rPr>
                <w:b/>
                <w:bCs/>
                <w:noProof/>
                <w:sz w:val="18"/>
                <w:szCs w:val="18"/>
              </w:rPr>
              <w:t> </w:t>
            </w:r>
          </w:p>
        </w:tc>
      </w:tr>
      <w:tr>
        <w:trPr>
          <w:gridAfter w:val="1"/>
          <w:wAfter w:w="9" w:type="dxa"/>
          <w:trHeight w:val="240"/>
          <w:jc w:val="center"/>
        </w:trPr>
        <w:tc>
          <w:tcPr>
            <w:tcW w:w="2801"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Metinis panaudojimas</w:t>
            </w:r>
          </w:p>
        </w:tc>
        <w:tc>
          <w:tcPr>
            <w:tcW w:w="87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98,1</w:t>
            </w:r>
          </w:p>
        </w:tc>
        <w:tc>
          <w:tcPr>
            <w:tcW w:w="842"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282,5</w:t>
            </w:r>
          </w:p>
        </w:tc>
        <w:tc>
          <w:tcPr>
            <w:tcW w:w="80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429,8</w:t>
            </w:r>
          </w:p>
        </w:tc>
        <w:tc>
          <w:tcPr>
            <w:tcW w:w="77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374,7</w:t>
            </w:r>
          </w:p>
        </w:tc>
        <w:tc>
          <w:tcPr>
            <w:tcW w:w="783"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372,2</w:t>
            </w:r>
          </w:p>
        </w:tc>
        <w:tc>
          <w:tcPr>
            <w:tcW w:w="803"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340,0</w:t>
            </w:r>
          </w:p>
        </w:tc>
        <w:tc>
          <w:tcPr>
            <w:tcW w:w="875" w:type="dxa"/>
            <w:tcBorders>
              <w:top w:val="nil"/>
              <w:left w:val="nil"/>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 </w:t>
            </w:r>
          </w:p>
        </w:tc>
        <w:tc>
          <w:tcPr>
            <w:tcW w:w="858"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1 897,3</w:t>
            </w:r>
          </w:p>
        </w:tc>
      </w:tr>
      <w:tr>
        <w:trPr>
          <w:gridAfter w:val="1"/>
          <w:wAfter w:w="9" w:type="dxa"/>
          <w:trHeight w:val="240"/>
          <w:jc w:val="center"/>
        </w:trPr>
        <w:tc>
          <w:tcPr>
            <w:tcW w:w="2801"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Perkelta į ateinančius metus</w:t>
            </w:r>
          </w:p>
        </w:tc>
        <w:tc>
          <w:tcPr>
            <w:tcW w:w="87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198,9</w:t>
            </w:r>
          </w:p>
        </w:tc>
        <w:tc>
          <w:tcPr>
            <w:tcW w:w="842"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219,4</w:t>
            </w:r>
          </w:p>
        </w:tc>
        <w:tc>
          <w:tcPr>
            <w:tcW w:w="80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98,6</w:t>
            </w:r>
          </w:p>
        </w:tc>
        <w:tc>
          <w:tcPr>
            <w:tcW w:w="77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61,7</w:t>
            </w:r>
          </w:p>
        </w:tc>
        <w:tc>
          <w:tcPr>
            <w:tcW w:w="783"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34,1</w:t>
            </w:r>
          </w:p>
        </w:tc>
        <w:tc>
          <w:tcPr>
            <w:tcW w:w="803"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45,6</w:t>
            </w:r>
          </w:p>
        </w:tc>
        <w:tc>
          <w:tcPr>
            <w:tcW w:w="875" w:type="dxa"/>
            <w:tcBorders>
              <w:top w:val="nil"/>
              <w:left w:val="nil"/>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 </w:t>
            </w:r>
          </w:p>
        </w:tc>
        <w:tc>
          <w:tcPr>
            <w:tcW w:w="858" w:type="dxa"/>
            <w:tcBorders>
              <w:top w:val="nil"/>
              <w:left w:val="nil"/>
              <w:bottom w:val="nil"/>
              <w:right w:val="single" w:sz="4" w:space="0" w:color="auto"/>
            </w:tcBorders>
            <w:shd w:val="clear" w:color="auto" w:fill="auto"/>
            <w:noWrap/>
            <w:vAlign w:val="bottom"/>
            <w:hideMark/>
          </w:tcPr>
          <w:p>
            <w:pPr>
              <w:spacing w:before="0" w:after="0"/>
              <w:jc w:val="left"/>
              <w:rPr>
                <w:b/>
                <w:bCs/>
                <w:noProof/>
                <w:sz w:val="18"/>
                <w:szCs w:val="18"/>
              </w:rPr>
            </w:pPr>
            <w:r>
              <w:rPr>
                <w:b/>
                <w:bCs/>
                <w:noProof/>
                <w:sz w:val="18"/>
                <w:szCs w:val="18"/>
              </w:rPr>
              <w:t> </w:t>
            </w:r>
          </w:p>
        </w:tc>
      </w:tr>
      <w:tr>
        <w:trPr>
          <w:gridAfter w:val="1"/>
          <w:wAfter w:w="9" w:type="dxa"/>
          <w:trHeight w:val="240"/>
          <w:jc w:val="center"/>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i/>
                <w:iCs/>
                <w:noProof/>
                <w:sz w:val="18"/>
                <w:szCs w:val="18"/>
              </w:rPr>
            </w:pPr>
            <w:r>
              <w:rPr>
                <w:i/>
                <w:iCs/>
                <w:noProof/>
                <w:sz w:val="18"/>
                <w:szCs w:val="18"/>
              </w:rPr>
              <w:t>Panaikinta</w:t>
            </w:r>
          </w:p>
        </w:tc>
        <w:tc>
          <w:tcPr>
            <w:tcW w:w="875"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842"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809"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776"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783"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803"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875" w:type="dxa"/>
            <w:tcBorders>
              <w:top w:val="nil"/>
              <w:left w:val="nil"/>
              <w:bottom w:val="single" w:sz="4" w:space="0" w:color="auto"/>
              <w:right w:val="single" w:sz="4" w:space="0" w:color="auto"/>
            </w:tcBorders>
            <w:shd w:val="clear" w:color="auto" w:fill="auto"/>
            <w:noWrap/>
            <w:vAlign w:val="bottom"/>
            <w:hideMark/>
          </w:tcPr>
          <w:p>
            <w:pPr>
              <w:spacing w:before="0" w:after="0"/>
              <w:jc w:val="left"/>
              <w:rPr>
                <w:i/>
                <w:iCs/>
                <w:noProof/>
                <w:sz w:val="18"/>
                <w:szCs w:val="18"/>
              </w:rPr>
            </w:pPr>
            <w:r>
              <w:rPr>
                <w:i/>
                <w:iCs/>
                <w:noProof/>
                <w:sz w:val="18"/>
                <w:szCs w:val="18"/>
              </w:rPr>
              <w:t> </w:t>
            </w:r>
          </w:p>
        </w:tc>
        <w:tc>
          <w:tcPr>
            <w:tcW w:w="858" w:type="dxa"/>
            <w:tcBorders>
              <w:top w:val="nil"/>
              <w:left w:val="nil"/>
              <w:bottom w:val="single" w:sz="4" w:space="0" w:color="auto"/>
              <w:right w:val="single" w:sz="4" w:space="0" w:color="auto"/>
            </w:tcBorders>
            <w:shd w:val="clear" w:color="auto" w:fill="auto"/>
            <w:noWrap/>
            <w:vAlign w:val="bottom"/>
            <w:hideMark/>
          </w:tcPr>
          <w:p>
            <w:pPr>
              <w:spacing w:before="0" w:after="0"/>
              <w:jc w:val="right"/>
              <w:rPr>
                <w:b/>
                <w:bCs/>
                <w:i/>
                <w:iCs/>
                <w:noProof/>
                <w:sz w:val="18"/>
                <w:szCs w:val="18"/>
              </w:rPr>
            </w:pPr>
            <w:r>
              <w:rPr>
                <w:b/>
                <w:bCs/>
                <w:i/>
                <w:iCs/>
                <w:noProof/>
                <w:sz w:val="18"/>
                <w:szCs w:val="18"/>
              </w:rPr>
              <w:t>0,0</w:t>
            </w:r>
          </w:p>
        </w:tc>
      </w:tr>
    </w:tbl>
    <w:p>
      <w:pPr>
        <w:pStyle w:val="ManualHeading2"/>
        <w:ind w:left="0" w:firstLine="0"/>
        <w:rPr>
          <w:noProof/>
        </w:rPr>
      </w:pPr>
      <w:r>
        <w:rPr>
          <w:noProof/>
        </w:rPr>
        <w:t>3.2.</w:t>
      </w:r>
      <w:r>
        <w:rPr>
          <w:noProof/>
        </w:rPr>
        <w:tab/>
        <w:t>Europos Sąjungos solidarumo fondas (EUSF)</w:t>
      </w:r>
    </w:p>
    <w:p>
      <w:pPr>
        <w:pStyle w:val="Text1"/>
        <w:rPr>
          <w:noProof/>
        </w:rPr>
      </w:pPr>
      <w:r>
        <w:rPr>
          <w:noProof/>
        </w:rPr>
        <w:t xml:space="preserve">Pagal DFP reglamento 10 straipsnį </w:t>
      </w:r>
      <w:r>
        <w:rPr>
          <w:i/>
          <w:noProof/>
        </w:rPr>
        <w:t>ES solidarumo fondą</w:t>
      </w:r>
      <w:r>
        <w:rPr>
          <w:noProof/>
        </w:rPr>
        <w:t xml:space="preserve"> galima panaudoti per metus neviršijant didžiausios 500 mln. EUR sumos 2011 m. kainomis, arba 2020 m. – 597,5 mln. EUR galiojančiomis kainomis (per visą laikotarpį – 3 944,7 mln. EUR galiojančiomis kainomis). Nepanaudota ankstesnių metų sumos dalis gali būti perkeliama į kitus metus. Iš 2019 į 2020 m. perkelta suma sudarė 553,0 mln. EUR. 2019 m. pabaigoje nepanaikinta jokia suma.</w:t>
      </w:r>
    </w:p>
    <w:p>
      <w:pPr>
        <w:pStyle w:val="Text1"/>
        <w:rPr>
          <w:noProof/>
        </w:rPr>
      </w:pPr>
      <w:r>
        <w:rPr>
          <w:noProof/>
        </w:rPr>
        <w:t>Toliau pateikiamoje lentelėje išsamiai parodyta, koks kasmet turimas ir kiek nuo 2014 m. panaudojamas Europos Sąjungos solidarumo fondas.</w:t>
      </w:r>
    </w:p>
    <w:tbl>
      <w:tblPr>
        <w:tblW w:w="9511" w:type="dxa"/>
        <w:jc w:val="center"/>
        <w:tblCellMar>
          <w:left w:w="70" w:type="dxa"/>
          <w:right w:w="70" w:type="dxa"/>
        </w:tblCellMar>
        <w:tblLook w:val="04A0" w:firstRow="1" w:lastRow="0" w:firstColumn="1" w:lastColumn="0" w:noHBand="0" w:noVBand="1"/>
      </w:tblPr>
      <w:tblGrid>
        <w:gridCol w:w="2712"/>
        <w:gridCol w:w="850"/>
        <w:gridCol w:w="930"/>
        <w:gridCol w:w="850"/>
        <w:gridCol w:w="822"/>
        <w:gridCol w:w="850"/>
        <w:gridCol w:w="851"/>
        <w:gridCol w:w="850"/>
        <w:gridCol w:w="796"/>
      </w:tblGrid>
      <w:tr>
        <w:trPr>
          <w:trHeight w:val="240"/>
          <w:jc w:val="center"/>
        </w:trPr>
        <w:tc>
          <w:tcPr>
            <w:tcW w:w="951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pPr>
              <w:spacing w:before="0" w:after="0"/>
              <w:jc w:val="center"/>
              <w:rPr>
                <w:b/>
                <w:bCs/>
                <w:noProof/>
                <w:sz w:val="18"/>
                <w:szCs w:val="18"/>
              </w:rPr>
            </w:pPr>
            <w:r>
              <w:rPr>
                <w:b/>
                <w:bCs/>
                <w:noProof/>
                <w:sz w:val="18"/>
                <w:szCs w:val="18"/>
              </w:rPr>
              <w:t>Europos Sąjungos solidarumo fondas</w:t>
            </w:r>
          </w:p>
        </w:tc>
      </w:tr>
      <w:tr>
        <w:trPr>
          <w:trHeight w:val="240"/>
          <w:jc w:val="center"/>
        </w:trPr>
        <w:tc>
          <w:tcPr>
            <w:tcW w:w="951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pPr>
              <w:spacing w:before="0" w:after="0"/>
              <w:jc w:val="right"/>
              <w:rPr>
                <w:i/>
                <w:iCs/>
                <w:noProof/>
                <w:sz w:val="18"/>
                <w:szCs w:val="18"/>
              </w:rPr>
            </w:pPr>
            <w:r>
              <w:rPr>
                <w:i/>
                <w:iCs/>
                <w:noProof/>
                <w:sz w:val="18"/>
                <w:szCs w:val="18"/>
              </w:rPr>
              <w:t>mln. EUR</w:t>
            </w:r>
          </w:p>
        </w:tc>
      </w:tr>
      <w:tr>
        <w:trPr>
          <w:trHeight w:val="240"/>
          <w:jc w:val="center"/>
        </w:trPr>
        <w:tc>
          <w:tcPr>
            <w:tcW w:w="2712"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2014</w:t>
            </w:r>
          </w:p>
        </w:tc>
        <w:tc>
          <w:tcPr>
            <w:tcW w:w="930"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2015</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2016</w:t>
            </w:r>
          </w:p>
        </w:tc>
        <w:tc>
          <w:tcPr>
            <w:tcW w:w="822"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2017</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2018</w:t>
            </w:r>
          </w:p>
        </w:tc>
        <w:tc>
          <w:tcPr>
            <w:tcW w:w="851"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2019</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2020</w:t>
            </w:r>
          </w:p>
        </w:tc>
        <w:tc>
          <w:tcPr>
            <w:tcW w:w="796" w:type="dxa"/>
            <w:tcBorders>
              <w:top w:val="nil"/>
              <w:left w:val="nil"/>
              <w:bottom w:val="single" w:sz="4" w:space="0" w:color="auto"/>
              <w:right w:val="single" w:sz="4" w:space="0" w:color="auto"/>
            </w:tcBorders>
            <w:shd w:val="clear" w:color="auto" w:fill="auto"/>
            <w:noWrap/>
            <w:vAlign w:val="bottom"/>
            <w:hideMark/>
          </w:tcPr>
          <w:p>
            <w:pPr>
              <w:spacing w:before="0" w:after="0"/>
              <w:jc w:val="center"/>
              <w:rPr>
                <w:b/>
                <w:bCs/>
                <w:noProof/>
                <w:sz w:val="18"/>
                <w:szCs w:val="18"/>
              </w:rPr>
            </w:pPr>
            <w:r>
              <w:rPr>
                <w:b/>
                <w:bCs/>
                <w:noProof/>
                <w:sz w:val="18"/>
                <w:szCs w:val="18"/>
              </w:rPr>
              <w:t>Iš viso</w:t>
            </w:r>
          </w:p>
        </w:tc>
      </w:tr>
      <w:tr>
        <w:trPr>
          <w:trHeight w:val="240"/>
          <w:jc w:val="center"/>
        </w:trPr>
        <w:tc>
          <w:tcPr>
            <w:tcW w:w="2712"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Metinės sumos 2011 m. kainomis</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500</w:t>
            </w:r>
          </w:p>
        </w:tc>
        <w:tc>
          <w:tcPr>
            <w:tcW w:w="93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500</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500</w:t>
            </w:r>
          </w:p>
        </w:tc>
        <w:tc>
          <w:tcPr>
            <w:tcW w:w="822"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500</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500</w:t>
            </w:r>
          </w:p>
        </w:tc>
        <w:tc>
          <w:tcPr>
            <w:tcW w:w="851"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500</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500</w:t>
            </w:r>
          </w:p>
        </w:tc>
        <w:tc>
          <w:tcPr>
            <w:tcW w:w="796"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3 500</w:t>
            </w:r>
          </w:p>
        </w:tc>
      </w:tr>
      <w:tr>
        <w:trPr>
          <w:trHeight w:val="240"/>
          <w:jc w:val="center"/>
        </w:trPr>
        <w:tc>
          <w:tcPr>
            <w:tcW w:w="2712"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Metinės sumos galiojančiomis kainomis</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530,6</w:t>
            </w:r>
          </w:p>
        </w:tc>
        <w:tc>
          <w:tcPr>
            <w:tcW w:w="93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541,2</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552,0</w:t>
            </w:r>
          </w:p>
        </w:tc>
        <w:tc>
          <w:tcPr>
            <w:tcW w:w="822"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563,1</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574,3</w:t>
            </w:r>
          </w:p>
        </w:tc>
        <w:tc>
          <w:tcPr>
            <w:tcW w:w="851"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585,8</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597,5</w:t>
            </w:r>
          </w:p>
        </w:tc>
        <w:tc>
          <w:tcPr>
            <w:tcW w:w="796"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3 944,7</w:t>
            </w:r>
          </w:p>
        </w:tc>
      </w:tr>
      <w:tr>
        <w:trPr>
          <w:trHeight w:val="240"/>
          <w:jc w:val="center"/>
        </w:trPr>
        <w:tc>
          <w:tcPr>
            <w:tcW w:w="2712"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Perkelta iš ankstesnių metų</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93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403,9</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541,2</w:t>
            </w:r>
          </w:p>
        </w:tc>
        <w:tc>
          <w:tcPr>
            <w:tcW w:w="822"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552,0</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140,8</w:t>
            </w:r>
          </w:p>
        </w:tc>
        <w:tc>
          <w:tcPr>
            <w:tcW w:w="851"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265,3</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553,0</w:t>
            </w:r>
          </w:p>
        </w:tc>
        <w:tc>
          <w:tcPr>
            <w:tcW w:w="796" w:type="dxa"/>
            <w:tcBorders>
              <w:top w:val="nil"/>
              <w:left w:val="nil"/>
              <w:bottom w:val="nil"/>
              <w:right w:val="single" w:sz="4" w:space="0" w:color="auto"/>
            </w:tcBorders>
            <w:shd w:val="clear" w:color="auto" w:fill="auto"/>
            <w:noWrap/>
            <w:vAlign w:val="bottom"/>
            <w:hideMark/>
          </w:tcPr>
          <w:p>
            <w:pPr>
              <w:spacing w:before="0" w:after="0"/>
              <w:jc w:val="left"/>
              <w:rPr>
                <w:b/>
                <w:bCs/>
                <w:noProof/>
                <w:sz w:val="18"/>
                <w:szCs w:val="18"/>
              </w:rPr>
            </w:pPr>
            <w:r>
              <w:rPr>
                <w:b/>
                <w:bCs/>
                <w:noProof/>
                <w:sz w:val="18"/>
                <w:szCs w:val="18"/>
              </w:rPr>
              <w:t> </w:t>
            </w:r>
          </w:p>
        </w:tc>
      </w:tr>
      <w:tr>
        <w:trPr>
          <w:trHeight w:val="240"/>
          <w:jc w:val="center"/>
        </w:trPr>
        <w:tc>
          <w:tcPr>
            <w:tcW w:w="2712"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Sutelkta iš ateinančių metų</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93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822"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294,0</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−294,0</w:t>
            </w:r>
          </w:p>
        </w:tc>
        <w:tc>
          <w:tcPr>
            <w:tcW w:w="851"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796" w:type="dxa"/>
            <w:tcBorders>
              <w:top w:val="nil"/>
              <w:left w:val="nil"/>
              <w:bottom w:val="nil"/>
              <w:right w:val="single" w:sz="4" w:space="0" w:color="auto"/>
            </w:tcBorders>
            <w:shd w:val="clear" w:color="auto" w:fill="auto"/>
            <w:noWrap/>
            <w:vAlign w:val="bottom"/>
            <w:hideMark/>
          </w:tcPr>
          <w:p>
            <w:pPr>
              <w:spacing w:before="0" w:after="0"/>
              <w:jc w:val="left"/>
              <w:rPr>
                <w:b/>
                <w:bCs/>
                <w:noProof/>
                <w:sz w:val="18"/>
                <w:szCs w:val="18"/>
              </w:rPr>
            </w:pPr>
            <w:r>
              <w:rPr>
                <w:b/>
                <w:bCs/>
                <w:noProof/>
                <w:sz w:val="18"/>
                <w:szCs w:val="18"/>
              </w:rPr>
              <w:t> </w:t>
            </w:r>
          </w:p>
        </w:tc>
      </w:tr>
      <w:tr>
        <w:trPr>
          <w:trHeight w:val="240"/>
          <w:jc w:val="center"/>
        </w:trPr>
        <w:tc>
          <w:tcPr>
            <w:tcW w:w="2712"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Metinis panaudojimas</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126,7</w:t>
            </w:r>
          </w:p>
        </w:tc>
        <w:tc>
          <w:tcPr>
            <w:tcW w:w="93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82,8</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33,1</w:t>
            </w:r>
          </w:p>
        </w:tc>
        <w:tc>
          <w:tcPr>
            <w:tcW w:w="822"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1 268,3</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155,9</w:t>
            </w:r>
          </w:p>
        </w:tc>
        <w:tc>
          <w:tcPr>
            <w:tcW w:w="851"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298,1</w:t>
            </w:r>
          </w:p>
        </w:tc>
        <w:tc>
          <w:tcPr>
            <w:tcW w:w="850" w:type="dxa"/>
            <w:tcBorders>
              <w:top w:val="nil"/>
              <w:left w:val="nil"/>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 </w:t>
            </w:r>
          </w:p>
        </w:tc>
        <w:tc>
          <w:tcPr>
            <w:tcW w:w="796"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1 964,9</w:t>
            </w:r>
          </w:p>
        </w:tc>
      </w:tr>
      <w:tr>
        <w:trPr>
          <w:trHeight w:val="240"/>
          <w:jc w:val="center"/>
        </w:trPr>
        <w:tc>
          <w:tcPr>
            <w:tcW w:w="2712"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Perkelta į ateinančius metus</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403,9</w:t>
            </w:r>
          </w:p>
        </w:tc>
        <w:tc>
          <w:tcPr>
            <w:tcW w:w="93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541,2</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552,0</w:t>
            </w:r>
          </w:p>
        </w:tc>
        <w:tc>
          <w:tcPr>
            <w:tcW w:w="822"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140,8</w:t>
            </w:r>
          </w:p>
        </w:tc>
        <w:tc>
          <w:tcPr>
            <w:tcW w:w="85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265,3</w:t>
            </w:r>
          </w:p>
        </w:tc>
        <w:tc>
          <w:tcPr>
            <w:tcW w:w="851"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553,0</w:t>
            </w:r>
          </w:p>
        </w:tc>
        <w:tc>
          <w:tcPr>
            <w:tcW w:w="850" w:type="dxa"/>
            <w:tcBorders>
              <w:top w:val="nil"/>
              <w:left w:val="nil"/>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 </w:t>
            </w:r>
          </w:p>
        </w:tc>
        <w:tc>
          <w:tcPr>
            <w:tcW w:w="796" w:type="dxa"/>
            <w:tcBorders>
              <w:top w:val="nil"/>
              <w:left w:val="nil"/>
              <w:bottom w:val="nil"/>
              <w:right w:val="single" w:sz="4" w:space="0" w:color="auto"/>
            </w:tcBorders>
            <w:shd w:val="clear" w:color="auto" w:fill="auto"/>
            <w:noWrap/>
            <w:vAlign w:val="bottom"/>
            <w:hideMark/>
          </w:tcPr>
          <w:p>
            <w:pPr>
              <w:spacing w:before="0" w:after="0"/>
              <w:jc w:val="left"/>
              <w:rPr>
                <w:b/>
                <w:bCs/>
                <w:noProof/>
                <w:sz w:val="18"/>
                <w:szCs w:val="18"/>
              </w:rPr>
            </w:pPr>
            <w:r>
              <w:rPr>
                <w:b/>
                <w:bCs/>
                <w:noProof/>
                <w:sz w:val="18"/>
                <w:szCs w:val="18"/>
              </w:rPr>
              <w:t> </w:t>
            </w:r>
          </w:p>
        </w:tc>
      </w:tr>
      <w:tr>
        <w:trPr>
          <w:trHeight w:val="240"/>
          <w:jc w:val="center"/>
        </w:trPr>
        <w:tc>
          <w:tcPr>
            <w:tcW w:w="2712" w:type="dxa"/>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i/>
                <w:iCs/>
                <w:noProof/>
                <w:sz w:val="18"/>
                <w:szCs w:val="18"/>
              </w:rPr>
            </w:pPr>
            <w:r>
              <w:rPr>
                <w:i/>
                <w:iCs/>
                <w:noProof/>
                <w:sz w:val="18"/>
                <w:szCs w:val="18"/>
              </w:rPr>
              <w:t>Panaikinta</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930"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321,1</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508,1</w:t>
            </w:r>
          </w:p>
        </w:tc>
        <w:tc>
          <w:tcPr>
            <w:tcW w:w="822"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pPr>
              <w:spacing w:before="0" w:after="0"/>
              <w:jc w:val="left"/>
              <w:rPr>
                <w:i/>
                <w:iCs/>
                <w:noProof/>
                <w:sz w:val="18"/>
                <w:szCs w:val="18"/>
              </w:rPr>
            </w:pPr>
            <w:r>
              <w:rPr>
                <w:i/>
                <w:iCs/>
                <w:noProof/>
                <w:sz w:val="18"/>
                <w:szCs w:val="18"/>
              </w:rPr>
              <w:t> </w:t>
            </w:r>
          </w:p>
        </w:tc>
        <w:tc>
          <w:tcPr>
            <w:tcW w:w="796" w:type="dxa"/>
            <w:tcBorders>
              <w:top w:val="nil"/>
              <w:left w:val="nil"/>
              <w:bottom w:val="single" w:sz="4" w:space="0" w:color="auto"/>
              <w:right w:val="single" w:sz="4" w:space="0" w:color="auto"/>
            </w:tcBorders>
            <w:shd w:val="clear" w:color="auto" w:fill="auto"/>
            <w:noWrap/>
            <w:vAlign w:val="bottom"/>
            <w:hideMark/>
          </w:tcPr>
          <w:p>
            <w:pPr>
              <w:spacing w:before="0" w:after="0"/>
              <w:jc w:val="right"/>
              <w:rPr>
                <w:b/>
                <w:bCs/>
                <w:i/>
                <w:iCs/>
                <w:noProof/>
                <w:sz w:val="18"/>
                <w:szCs w:val="18"/>
              </w:rPr>
            </w:pPr>
            <w:r>
              <w:rPr>
                <w:b/>
                <w:bCs/>
                <w:i/>
                <w:iCs/>
                <w:noProof/>
                <w:sz w:val="18"/>
                <w:szCs w:val="18"/>
              </w:rPr>
              <w:t>829,2</w:t>
            </w:r>
          </w:p>
        </w:tc>
      </w:tr>
    </w:tbl>
    <w:p>
      <w:pPr>
        <w:pStyle w:val="ManualHeading2"/>
        <w:rPr>
          <w:noProof/>
        </w:rPr>
      </w:pPr>
      <w:r>
        <w:rPr>
          <w:noProof/>
        </w:rPr>
        <w:t>3.3.</w:t>
      </w:r>
      <w:r>
        <w:rPr>
          <w:noProof/>
        </w:rPr>
        <w:tab/>
        <w:t>Lankstumo priemonė</w:t>
      </w:r>
    </w:p>
    <w:p>
      <w:pPr>
        <w:pStyle w:val="Text1"/>
        <w:rPr>
          <w:noProof/>
        </w:rPr>
      </w:pPr>
      <w:r>
        <w:rPr>
          <w:noProof/>
        </w:rPr>
        <w:t xml:space="preserve">Pagal iš dalies pakeisto DFP reglamento 11 straipsnį </w:t>
      </w:r>
      <w:r>
        <w:rPr>
          <w:i/>
          <w:noProof/>
        </w:rPr>
        <w:t>lankstumo priemonę</w:t>
      </w:r>
      <w:r>
        <w:rPr>
          <w:noProof/>
        </w:rPr>
        <w:t xml:space="preserve"> galima panaudoti per metus neviršijant didžiausios 600 mln. EUR sumos 2011 m. kainomis, arba 2020 m. – 717 mln. EUR galiojančiomis kainomis (4 315 mln. EUR per visą laikotarpį galiojančiomis kainomis). Nepanaudota ankstesnių 3 metų metinės sumos dalis gali būti perkeliama į kitą laikotarpį.</w:t>
      </w:r>
    </w:p>
    <w:p>
      <w:pPr>
        <w:pStyle w:val="Text1"/>
        <w:rPr>
          <w:noProof/>
        </w:rPr>
      </w:pPr>
      <w:r>
        <w:rPr>
          <w:noProof/>
        </w:rPr>
        <w:t xml:space="preserve">Pagal 6 straipsnio 1 dalies f punktą, kuriame remiamasi 11 straipsnio 1 dalies antra pastraipa, </w:t>
      </w:r>
      <w:r>
        <w:rPr>
          <w:i/>
          <w:noProof/>
        </w:rPr>
        <w:t>nuo 2017 m. lankstumo priemonei skirta metinė suma kasmet padidinama</w:t>
      </w:r>
      <w:r>
        <w:rPr>
          <w:noProof/>
        </w:rPr>
        <w:t xml:space="preserve"> suma, lygiaverte Europos Sąjungos solidarumo fondui skirtos metinės sumos daliai, ir suma, lygiaverte Europos prisitaikymo prie globalizacijos padarinių fondui skirtos metinės sumos daliai, panaikintoms praėjusiais metais. </w:t>
      </w:r>
    </w:p>
    <w:p>
      <w:pPr>
        <w:pStyle w:val="Text1"/>
        <w:rPr>
          <w:noProof/>
        </w:rPr>
      </w:pPr>
      <w:r>
        <w:rPr>
          <w:noProof/>
        </w:rPr>
        <w:t>Toliau pateikiamoje lentelėje išsamiai parodyta, kokia kasmet turima ir kiek nuo 2014 m. panaudojama lankstumo priemonė.</w:t>
      </w:r>
    </w:p>
    <w:tbl>
      <w:tblPr>
        <w:tblW w:w="9600" w:type="dxa"/>
        <w:jc w:val="center"/>
        <w:tblCellMar>
          <w:left w:w="70" w:type="dxa"/>
          <w:right w:w="70" w:type="dxa"/>
        </w:tblCellMar>
        <w:tblLook w:val="04A0" w:firstRow="1" w:lastRow="0" w:firstColumn="1" w:lastColumn="0" w:noHBand="0" w:noVBand="1"/>
      </w:tblPr>
      <w:tblGrid>
        <w:gridCol w:w="3020"/>
        <w:gridCol w:w="889"/>
        <w:gridCol w:w="867"/>
        <w:gridCol w:w="867"/>
        <w:gridCol w:w="745"/>
        <w:gridCol w:w="756"/>
        <w:gridCol w:w="796"/>
        <w:gridCol w:w="819"/>
        <w:gridCol w:w="841"/>
      </w:tblGrid>
      <w:tr>
        <w:trPr>
          <w:trHeight w:val="240"/>
          <w:jc w:val="center"/>
        </w:trPr>
        <w:tc>
          <w:tcPr>
            <w:tcW w:w="960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pPr>
              <w:spacing w:before="0" w:after="0"/>
              <w:jc w:val="center"/>
              <w:rPr>
                <w:b/>
                <w:bCs/>
                <w:noProof/>
                <w:sz w:val="18"/>
                <w:szCs w:val="18"/>
              </w:rPr>
            </w:pPr>
            <w:r>
              <w:rPr>
                <w:b/>
                <w:bCs/>
                <w:noProof/>
                <w:sz w:val="18"/>
                <w:szCs w:val="18"/>
              </w:rPr>
              <w:t>Lankstumo priemonė</w:t>
            </w:r>
          </w:p>
        </w:tc>
      </w:tr>
      <w:tr>
        <w:trPr>
          <w:trHeight w:val="104"/>
          <w:jc w:val="center"/>
        </w:trPr>
        <w:tc>
          <w:tcPr>
            <w:tcW w:w="960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pPr>
              <w:spacing w:before="0" w:after="0"/>
              <w:jc w:val="right"/>
              <w:rPr>
                <w:i/>
                <w:iCs/>
                <w:noProof/>
                <w:sz w:val="18"/>
                <w:szCs w:val="18"/>
              </w:rPr>
            </w:pPr>
            <w:r>
              <w:rPr>
                <w:i/>
                <w:iCs/>
                <w:noProof/>
                <w:sz w:val="18"/>
                <w:szCs w:val="18"/>
              </w:rPr>
              <w:t>mln. EUR</w:t>
            </w:r>
          </w:p>
        </w:tc>
      </w:tr>
      <w:tr>
        <w:trPr>
          <w:trHeight w:val="240"/>
          <w:jc w:val="center"/>
        </w:trPr>
        <w:tc>
          <w:tcPr>
            <w:tcW w:w="3020"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2014</w:t>
            </w:r>
          </w:p>
        </w:tc>
        <w:tc>
          <w:tcPr>
            <w:tcW w:w="867"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2015</w:t>
            </w:r>
          </w:p>
        </w:tc>
        <w:tc>
          <w:tcPr>
            <w:tcW w:w="867"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2016</w:t>
            </w:r>
          </w:p>
        </w:tc>
        <w:tc>
          <w:tcPr>
            <w:tcW w:w="745"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2017</w:t>
            </w:r>
          </w:p>
        </w:tc>
        <w:tc>
          <w:tcPr>
            <w:tcW w:w="756"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2018</w:t>
            </w:r>
          </w:p>
        </w:tc>
        <w:tc>
          <w:tcPr>
            <w:tcW w:w="796"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2019</w:t>
            </w:r>
          </w:p>
        </w:tc>
        <w:tc>
          <w:tcPr>
            <w:tcW w:w="819"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2020</w:t>
            </w:r>
          </w:p>
        </w:tc>
        <w:tc>
          <w:tcPr>
            <w:tcW w:w="841" w:type="dxa"/>
            <w:tcBorders>
              <w:top w:val="nil"/>
              <w:left w:val="nil"/>
              <w:bottom w:val="single" w:sz="4" w:space="0" w:color="auto"/>
              <w:right w:val="single" w:sz="4" w:space="0" w:color="auto"/>
            </w:tcBorders>
            <w:shd w:val="clear" w:color="auto" w:fill="auto"/>
            <w:noWrap/>
            <w:vAlign w:val="bottom"/>
            <w:hideMark/>
          </w:tcPr>
          <w:p>
            <w:pPr>
              <w:spacing w:before="0" w:after="0"/>
              <w:jc w:val="center"/>
              <w:rPr>
                <w:b/>
                <w:bCs/>
                <w:noProof/>
                <w:sz w:val="18"/>
                <w:szCs w:val="18"/>
              </w:rPr>
            </w:pPr>
            <w:r>
              <w:rPr>
                <w:b/>
                <w:bCs/>
                <w:noProof/>
                <w:sz w:val="18"/>
                <w:szCs w:val="18"/>
              </w:rPr>
              <w:t>Iš viso</w:t>
            </w:r>
          </w:p>
        </w:tc>
      </w:tr>
      <w:tr>
        <w:trPr>
          <w:trHeight w:val="240"/>
          <w:jc w:val="center"/>
        </w:trPr>
        <w:tc>
          <w:tcPr>
            <w:tcW w:w="3020"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Metinės sumos 2011 m. kainomis</w:t>
            </w:r>
          </w:p>
        </w:tc>
        <w:tc>
          <w:tcPr>
            <w:tcW w:w="88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471</w:t>
            </w:r>
          </w:p>
        </w:tc>
        <w:tc>
          <w:tcPr>
            <w:tcW w:w="86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471</w:t>
            </w:r>
          </w:p>
        </w:tc>
        <w:tc>
          <w:tcPr>
            <w:tcW w:w="86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471</w:t>
            </w:r>
          </w:p>
        </w:tc>
        <w:tc>
          <w:tcPr>
            <w:tcW w:w="74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600</w:t>
            </w:r>
          </w:p>
        </w:tc>
        <w:tc>
          <w:tcPr>
            <w:tcW w:w="75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600</w:t>
            </w:r>
          </w:p>
        </w:tc>
        <w:tc>
          <w:tcPr>
            <w:tcW w:w="79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600</w:t>
            </w:r>
          </w:p>
        </w:tc>
        <w:tc>
          <w:tcPr>
            <w:tcW w:w="81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600</w:t>
            </w:r>
          </w:p>
        </w:tc>
        <w:tc>
          <w:tcPr>
            <w:tcW w:w="841"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3 813</w:t>
            </w:r>
          </w:p>
        </w:tc>
      </w:tr>
      <w:tr>
        <w:trPr>
          <w:trHeight w:val="240"/>
          <w:jc w:val="center"/>
        </w:trPr>
        <w:tc>
          <w:tcPr>
            <w:tcW w:w="3020"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Metinės sumos galiojančiomis kainomis</w:t>
            </w:r>
          </w:p>
        </w:tc>
        <w:tc>
          <w:tcPr>
            <w:tcW w:w="88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500</w:t>
            </w:r>
          </w:p>
        </w:tc>
        <w:tc>
          <w:tcPr>
            <w:tcW w:w="86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510</w:t>
            </w:r>
          </w:p>
        </w:tc>
        <w:tc>
          <w:tcPr>
            <w:tcW w:w="86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520</w:t>
            </w:r>
          </w:p>
        </w:tc>
        <w:tc>
          <w:tcPr>
            <w:tcW w:w="74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676</w:t>
            </w:r>
          </w:p>
        </w:tc>
        <w:tc>
          <w:tcPr>
            <w:tcW w:w="75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689</w:t>
            </w:r>
          </w:p>
        </w:tc>
        <w:tc>
          <w:tcPr>
            <w:tcW w:w="79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703</w:t>
            </w:r>
          </w:p>
        </w:tc>
        <w:tc>
          <w:tcPr>
            <w:tcW w:w="81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717</w:t>
            </w:r>
          </w:p>
        </w:tc>
        <w:tc>
          <w:tcPr>
            <w:tcW w:w="841"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4 315</w:t>
            </w:r>
          </w:p>
        </w:tc>
      </w:tr>
      <w:tr>
        <w:trPr>
          <w:trHeight w:val="240"/>
          <w:jc w:val="center"/>
        </w:trPr>
        <w:tc>
          <w:tcPr>
            <w:tcW w:w="3020"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Perkelta iš ankstesnių metų</w:t>
            </w:r>
          </w:p>
        </w:tc>
        <w:tc>
          <w:tcPr>
            <w:tcW w:w="88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276,0</w:t>
            </w:r>
          </w:p>
        </w:tc>
        <w:tc>
          <w:tcPr>
            <w:tcW w:w="86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686,7</w:t>
            </w:r>
          </w:p>
        </w:tc>
        <w:tc>
          <w:tcPr>
            <w:tcW w:w="86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1010,0</w:t>
            </w:r>
          </w:p>
        </w:tc>
        <w:tc>
          <w:tcPr>
            <w:tcW w:w="74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75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517,0</w:t>
            </w:r>
          </w:p>
        </w:tc>
        <w:tc>
          <w:tcPr>
            <w:tcW w:w="79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519,8</w:t>
            </w:r>
          </w:p>
        </w:tc>
        <w:tc>
          <w:tcPr>
            <w:tcW w:w="81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202,4</w:t>
            </w:r>
          </w:p>
        </w:tc>
        <w:tc>
          <w:tcPr>
            <w:tcW w:w="841" w:type="dxa"/>
            <w:tcBorders>
              <w:top w:val="nil"/>
              <w:left w:val="nil"/>
              <w:bottom w:val="nil"/>
              <w:right w:val="single" w:sz="4" w:space="0" w:color="auto"/>
            </w:tcBorders>
            <w:shd w:val="clear" w:color="auto" w:fill="auto"/>
            <w:noWrap/>
            <w:vAlign w:val="bottom"/>
            <w:hideMark/>
          </w:tcPr>
          <w:p>
            <w:pPr>
              <w:spacing w:before="0" w:after="0"/>
              <w:jc w:val="left"/>
              <w:rPr>
                <w:b/>
                <w:bCs/>
                <w:noProof/>
                <w:sz w:val="18"/>
                <w:szCs w:val="18"/>
              </w:rPr>
            </w:pPr>
            <w:r>
              <w:rPr>
                <w:b/>
                <w:bCs/>
                <w:noProof/>
                <w:sz w:val="18"/>
                <w:szCs w:val="18"/>
              </w:rPr>
              <w:t> </w:t>
            </w:r>
          </w:p>
        </w:tc>
      </w:tr>
      <w:tr>
        <w:trPr>
          <w:trHeight w:val="240"/>
          <w:jc w:val="center"/>
        </w:trPr>
        <w:tc>
          <w:tcPr>
            <w:tcW w:w="3020" w:type="dxa"/>
            <w:tcBorders>
              <w:top w:val="nil"/>
              <w:left w:val="single" w:sz="4" w:space="0" w:color="auto"/>
              <w:bottom w:val="nil"/>
              <w:right w:val="single" w:sz="4" w:space="0" w:color="auto"/>
            </w:tcBorders>
            <w:shd w:val="clear" w:color="auto" w:fill="auto"/>
            <w:noWrap/>
            <w:vAlign w:val="bottom"/>
            <w:hideMark/>
          </w:tcPr>
          <w:p>
            <w:pPr>
              <w:spacing w:before="0" w:after="0"/>
              <w:jc w:val="left"/>
              <w:rPr>
                <w:i/>
                <w:iCs/>
                <w:noProof/>
                <w:sz w:val="18"/>
                <w:szCs w:val="18"/>
              </w:rPr>
            </w:pPr>
            <w:r>
              <w:rPr>
                <w:i/>
                <w:iCs/>
                <w:noProof/>
                <w:sz w:val="18"/>
                <w:szCs w:val="18"/>
              </w:rPr>
              <w:t>Padidinta su panaikinta Europos prisitaikymo prie globalizacijos padarinių fondo suma</w:t>
            </w:r>
          </w:p>
        </w:tc>
        <w:tc>
          <w:tcPr>
            <w:tcW w:w="889" w:type="dxa"/>
            <w:tcBorders>
              <w:top w:val="nil"/>
              <w:left w:val="nil"/>
              <w:bottom w:val="nil"/>
              <w:right w:val="single" w:sz="4" w:space="0" w:color="auto"/>
            </w:tcBorders>
            <w:shd w:val="clear" w:color="000000" w:fill="D9D9D9"/>
            <w:noWrap/>
            <w:vAlign w:val="bottom"/>
            <w:hideMark/>
          </w:tcPr>
          <w:p>
            <w:pPr>
              <w:spacing w:before="0" w:after="0"/>
              <w:jc w:val="left"/>
              <w:rPr>
                <w:i/>
                <w:iCs/>
                <w:noProof/>
                <w:sz w:val="18"/>
                <w:szCs w:val="18"/>
              </w:rPr>
            </w:pPr>
            <w:r>
              <w:rPr>
                <w:i/>
                <w:iCs/>
                <w:noProof/>
                <w:sz w:val="18"/>
                <w:szCs w:val="18"/>
              </w:rPr>
              <w:t> </w:t>
            </w:r>
          </w:p>
        </w:tc>
        <w:tc>
          <w:tcPr>
            <w:tcW w:w="867" w:type="dxa"/>
            <w:tcBorders>
              <w:top w:val="nil"/>
              <w:left w:val="nil"/>
              <w:bottom w:val="nil"/>
              <w:right w:val="single" w:sz="4" w:space="0" w:color="auto"/>
            </w:tcBorders>
            <w:shd w:val="clear" w:color="000000" w:fill="D9D9D9"/>
            <w:noWrap/>
            <w:vAlign w:val="bottom"/>
            <w:hideMark/>
          </w:tcPr>
          <w:p>
            <w:pPr>
              <w:spacing w:before="0" w:after="0"/>
              <w:jc w:val="left"/>
              <w:rPr>
                <w:i/>
                <w:iCs/>
                <w:noProof/>
                <w:sz w:val="18"/>
                <w:szCs w:val="18"/>
              </w:rPr>
            </w:pPr>
            <w:r>
              <w:rPr>
                <w:i/>
                <w:iCs/>
                <w:noProof/>
                <w:sz w:val="18"/>
                <w:szCs w:val="18"/>
              </w:rPr>
              <w:t> </w:t>
            </w:r>
          </w:p>
        </w:tc>
        <w:tc>
          <w:tcPr>
            <w:tcW w:w="867" w:type="dxa"/>
            <w:tcBorders>
              <w:top w:val="nil"/>
              <w:left w:val="nil"/>
              <w:bottom w:val="nil"/>
              <w:right w:val="single" w:sz="4" w:space="0" w:color="auto"/>
            </w:tcBorders>
            <w:shd w:val="clear" w:color="000000" w:fill="D9D9D9"/>
            <w:noWrap/>
            <w:vAlign w:val="bottom"/>
            <w:hideMark/>
          </w:tcPr>
          <w:p>
            <w:pPr>
              <w:spacing w:before="0" w:after="0"/>
              <w:jc w:val="left"/>
              <w:rPr>
                <w:i/>
                <w:iCs/>
                <w:noProof/>
                <w:sz w:val="18"/>
                <w:szCs w:val="18"/>
              </w:rPr>
            </w:pPr>
            <w:r>
              <w:rPr>
                <w:i/>
                <w:iCs/>
                <w:noProof/>
                <w:sz w:val="18"/>
                <w:szCs w:val="18"/>
              </w:rPr>
              <w:t> </w:t>
            </w:r>
          </w:p>
        </w:tc>
        <w:tc>
          <w:tcPr>
            <w:tcW w:w="745" w:type="dxa"/>
            <w:tcBorders>
              <w:top w:val="nil"/>
              <w:left w:val="nil"/>
              <w:bottom w:val="nil"/>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138</w:t>
            </w:r>
          </w:p>
        </w:tc>
        <w:tc>
          <w:tcPr>
            <w:tcW w:w="756" w:type="dxa"/>
            <w:tcBorders>
              <w:top w:val="nil"/>
              <w:left w:val="nil"/>
              <w:bottom w:val="nil"/>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151</w:t>
            </w:r>
          </w:p>
        </w:tc>
        <w:tc>
          <w:tcPr>
            <w:tcW w:w="796" w:type="dxa"/>
            <w:tcBorders>
              <w:top w:val="nil"/>
              <w:left w:val="nil"/>
              <w:bottom w:val="nil"/>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144</w:t>
            </w:r>
          </w:p>
        </w:tc>
        <w:tc>
          <w:tcPr>
            <w:tcW w:w="819" w:type="dxa"/>
            <w:tcBorders>
              <w:top w:val="nil"/>
              <w:left w:val="nil"/>
              <w:bottom w:val="nil"/>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175</w:t>
            </w:r>
          </w:p>
        </w:tc>
        <w:tc>
          <w:tcPr>
            <w:tcW w:w="841" w:type="dxa"/>
            <w:tcBorders>
              <w:top w:val="nil"/>
              <w:left w:val="nil"/>
              <w:bottom w:val="nil"/>
              <w:right w:val="single" w:sz="4" w:space="0" w:color="auto"/>
            </w:tcBorders>
            <w:shd w:val="clear" w:color="auto" w:fill="auto"/>
            <w:noWrap/>
            <w:vAlign w:val="bottom"/>
            <w:hideMark/>
          </w:tcPr>
          <w:p>
            <w:pPr>
              <w:spacing w:before="0" w:after="0"/>
              <w:jc w:val="right"/>
              <w:rPr>
                <w:b/>
                <w:bCs/>
                <w:i/>
                <w:iCs/>
                <w:noProof/>
                <w:sz w:val="18"/>
                <w:szCs w:val="18"/>
              </w:rPr>
            </w:pPr>
            <w:r>
              <w:rPr>
                <w:b/>
                <w:bCs/>
                <w:i/>
                <w:iCs/>
                <w:noProof/>
                <w:sz w:val="18"/>
                <w:szCs w:val="18"/>
              </w:rPr>
              <w:t>608</w:t>
            </w:r>
          </w:p>
        </w:tc>
      </w:tr>
      <w:tr>
        <w:trPr>
          <w:trHeight w:val="240"/>
          <w:jc w:val="center"/>
        </w:trPr>
        <w:tc>
          <w:tcPr>
            <w:tcW w:w="3020" w:type="dxa"/>
            <w:tcBorders>
              <w:top w:val="nil"/>
              <w:left w:val="single" w:sz="4" w:space="0" w:color="auto"/>
              <w:bottom w:val="nil"/>
              <w:right w:val="single" w:sz="4" w:space="0" w:color="auto"/>
            </w:tcBorders>
            <w:shd w:val="clear" w:color="auto" w:fill="auto"/>
            <w:noWrap/>
            <w:vAlign w:val="bottom"/>
            <w:hideMark/>
          </w:tcPr>
          <w:p>
            <w:pPr>
              <w:spacing w:before="0" w:after="0"/>
              <w:jc w:val="left"/>
              <w:rPr>
                <w:i/>
                <w:iCs/>
                <w:noProof/>
                <w:sz w:val="18"/>
                <w:szCs w:val="18"/>
              </w:rPr>
            </w:pPr>
            <w:r>
              <w:rPr>
                <w:i/>
                <w:iCs/>
                <w:noProof/>
                <w:sz w:val="18"/>
                <w:szCs w:val="18"/>
              </w:rPr>
              <w:t>Padidinta su panaikinta Europos Sąjungos solidarumo fondo suma</w:t>
            </w:r>
          </w:p>
        </w:tc>
        <w:tc>
          <w:tcPr>
            <w:tcW w:w="889" w:type="dxa"/>
            <w:tcBorders>
              <w:top w:val="nil"/>
              <w:left w:val="nil"/>
              <w:bottom w:val="nil"/>
              <w:right w:val="single" w:sz="4" w:space="0" w:color="auto"/>
            </w:tcBorders>
            <w:shd w:val="clear" w:color="000000" w:fill="D9D9D9"/>
            <w:noWrap/>
            <w:vAlign w:val="bottom"/>
            <w:hideMark/>
          </w:tcPr>
          <w:p>
            <w:pPr>
              <w:spacing w:before="0" w:after="0"/>
              <w:jc w:val="left"/>
              <w:rPr>
                <w:i/>
                <w:iCs/>
                <w:noProof/>
                <w:sz w:val="18"/>
                <w:szCs w:val="18"/>
              </w:rPr>
            </w:pPr>
            <w:r>
              <w:rPr>
                <w:i/>
                <w:iCs/>
                <w:noProof/>
                <w:sz w:val="18"/>
                <w:szCs w:val="18"/>
              </w:rPr>
              <w:t> </w:t>
            </w:r>
          </w:p>
        </w:tc>
        <w:tc>
          <w:tcPr>
            <w:tcW w:w="867" w:type="dxa"/>
            <w:tcBorders>
              <w:top w:val="nil"/>
              <w:left w:val="nil"/>
              <w:bottom w:val="nil"/>
              <w:right w:val="single" w:sz="4" w:space="0" w:color="auto"/>
            </w:tcBorders>
            <w:shd w:val="clear" w:color="000000" w:fill="D9D9D9"/>
            <w:noWrap/>
            <w:vAlign w:val="bottom"/>
            <w:hideMark/>
          </w:tcPr>
          <w:p>
            <w:pPr>
              <w:spacing w:before="0" w:after="0"/>
              <w:jc w:val="left"/>
              <w:rPr>
                <w:i/>
                <w:iCs/>
                <w:noProof/>
                <w:sz w:val="18"/>
                <w:szCs w:val="18"/>
              </w:rPr>
            </w:pPr>
            <w:r>
              <w:rPr>
                <w:i/>
                <w:iCs/>
                <w:noProof/>
                <w:sz w:val="18"/>
                <w:szCs w:val="18"/>
              </w:rPr>
              <w:t> </w:t>
            </w:r>
          </w:p>
        </w:tc>
        <w:tc>
          <w:tcPr>
            <w:tcW w:w="867" w:type="dxa"/>
            <w:tcBorders>
              <w:top w:val="nil"/>
              <w:left w:val="nil"/>
              <w:bottom w:val="nil"/>
              <w:right w:val="single" w:sz="4" w:space="0" w:color="auto"/>
            </w:tcBorders>
            <w:shd w:val="clear" w:color="000000" w:fill="D9D9D9"/>
            <w:noWrap/>
            <w:vAlign w:val="bottom"/>
            <w:hideMark/>
          </w:tcPr>
          <w:p>
            <w:pPr>
              <w:spacing w:before="0" w:after="0"/>
              <w:jc w:val="left"/>
              <w:rPr>
                <w:i/>
                <w:iCs/>
                <w:noProof/>
                <w:sz w:val="18"/>
                <w:szCs w:val="18"/>
              </w:rPr>
            </w:pPr>
            <w:r>
              <w:rPr>
                <w:i/>
                <w:iCs/>
                <w:noProof/>
                <w:sz w:val="18"/>
                <w:szCs w:val="18"/>
              </w:rPr>
              <w:t> </w:t>
            </w:r>
          </w:p>
        </w:tc>
        <w:tc>
          <w:tcPr>
            <w:tcW w:w="745" w:type="dxa"/>
            <w:tcBorders>
              <w:top w:val="nil"/>
              <w:left w:val="nil"/>
              <w:bottom w:val="nil"/>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508</w:t>
            </w:r>
          </w:p>
        </w:tc>
        <w:tc>
          <w:tcPr>
            <w:tcW w:w="756" w:type="dxa"/>
            <w:tcBorders>
              <w:top w:val="nil"/>
              <w:left w:val="nil"/>
              <w:bottom w:val="nil"/>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w:t>
            </w:r>
          </w:p>
        </w:tc>
        <w:tc>
          <w:tcPr>
            <w:tcW w:w="796" w:type="dxa"/>
            <w:tcBorders>
              <w:top w:val="nil"/>
              <w:left w:val="nil"/>
              <w:bottom w:val="nil"/>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w:t>
            </w:r>
          </w:p>
        </w:tc>
        <w:tc>
          <w:tcPr>
            <w:tcW w:w="819" w:type="dxa"/>
            <w:tcBorders>
              <w:top w:val="nil"/>
              <w:left w:val="nil"/>
              <w:bottom w:val="nil"/>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w:t>
            </w:r>
          </w:p>
        </w:tc>
        <w:tc>
          <w:tcPr>
            <w:tcW w:w="841" w:type="dxa"/>
            <w:tcBorders>
              <w:top w:val="nil"/>
              <w:left w:val="nil"/>
              <w:bottom w:val="nil"/>
              <w:right w:val="single" w:sz="4" w:space="0" w:color="auto"/>
            </w:tcBorders>
            <w:shd w:val="clear" w:color="auto" w:fill="auto"/>
            <w:noWrap/>
            <w:vAlign w:val="bottom"/>
            <w:hideMark/>
          </w:tcPr>
          <w:p>
            <w:pPr>
              <w:spacing w:before="0" w:after="0"/>
              <w:jc w:val="right"/>
              <w:rPr>
                <w:b/>
                <w:bCs/>
                <w:i/>
                <w:iCs/>
                <w:noProof/>
                <w:sz w:val="18"/>
                <w:szCs w:val="18"/>
              </w:rPr>
            </w:pPr>
            <w:r>
              <w:rPr>
                <w:b/>
                <w:bCs/>
                <w:i/>
                <w:iCs/>
                <w:noProof/>
                <w:sz w:val="18"/>
                <w:szCs w:val="18"/>
              </w:rPr>
              <w:t>508</w:t>
            </w:r>
          </w:p>
        </w:tc>
      </w:tr>
      <w:tr>
        <w:trPr>
          <w:trHeight w:val="240"/>
          <w:jc w:val="center"/>
        </w:trPr>
        <w:tc>
          <w:tcPr>
            <w:tcW w:w="3020"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Metinis panaudojimas</w:t>
            </w:r>
          </w:p>
        </w:tc>
        <w:tc>
          <w:tcPr>
            <w:tcW w:w="88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89,3</w:t>
            </w:r>
          </w:p>
        </w:tc>
        <w:tc>
          <w:tcPr>
            <w:tcW w:w="86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149,4</w:t>
            </w:r>
          </w:p>
        </w:tc>
        <w:tc>
          <w:tcPr>
            <w:tcW w:w="86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1 530,0</w:t>
            </w:r>
          </w:p>
        </w:tc>
        <w:tc>
          <w:tcPr>
            <w:tcW w:w="74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805,0</w:t>
            </w:r>
          </w:p>
        </w:tc>
        <w:tc>
          <w:tcPr>
            <w:tcW w:w="75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837,2</w:t>
            </w:r>
          </w:p>
        </w:tc>
        <w:tc>
          <w:tcPr>
            <w:tcW w:w="79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1 164,3</w:t>
            </w:r>
          </w:p>
        </w:tc>
        <w:tc>
          <w:tcPr>
            <w:tcW w:w="81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778,1</w:t>
            </w:r>
          </w:p>
        </w:tc>
        <w:tc>
          <w:tcPr>
            <w:tcW w:w="841"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5 353,4</w:t>
            </w:r>
          </w:p>
        </w:tc>
      </w:tr>
      <w:tr>
        <w:trPr>
          <w:trHeight w:val="240"/>
          <w:jc w:val="center"/>
        </w:trPr>
        <w:tc>
          <w:tcPr>
            <w:tcW w:w="3020"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Perkelta į ateinančius metus</w:t>
            </w:r>
          </w:p>
        </w:tc>
        <w:tc>
          <w:tcPr>
            <w:tcW w:w="88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686,7</w:t>
            </w:r>
          </w:p>
        </w:tc>
        <w:tc>
          <w:tcPr>
            <w:tcW w:w="86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1 010,0</w:t>
            </w:r>
          </w:p>
        </w:tc>
        <w:tc>
          <w:tcPr>
            <w:tcW w:w="86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74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517,0</w:t>
            </w:r>
          </w:p>
        </w:tc>
        <w:tc>
          <w:tcPr>
            <w:tcW w:w="75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519,8</w:t>
            </w:r>
          </w:p>
        </w:tc>
        <w:tc>
          <w:tcPr>
            <w:tcW w:w="79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202,4</w:t>
            </w:r>
          </w:p>
        </w:tc>
        <w:tc>
          <w:tcPr>
            <w:tcW w:w="81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841" w:type="dxa"/>
            <w:tcBorders>
              <w:top w:val="nil"/>
              <w:left w:val="nil"/>
              <w:bottom w:val="nil"/>
              <w:right w:val="single" w:sz="4" w:space="0" w:color="auto"/>
            </w:tcBorders>
            <w:shd w:val="clear" w:color="auto" w:fill="auto"/>
            <w:noWrap/>
            <w:vAlign w:val="bottom"/>
            <w:hideMark/>
          </w:tcPr>
          <w:p>
            <w:pPr>
              <w:spacing w:before="0" w:after="0"/>
              <w:jc w:val="left"/>
              <w:rPr>
                <w:b/>
                <w:bCs/>
                <w:noProof/>
                <w:sz w:val="18"/>
                <w:szCs w:val="18"/>
              </w:rPr>
            </w:pPr>
            <w:r>
              <w:rPr>
                <w:b/>
                <w:bCs/>
                <w:noProof/>
                <w:sz w:val="18"/>
                <w:szCs w:val="18"/>
              </w:rPr>
              <w:t> </w:t>
            </w:r>
          </w:p>
        </w:tc>
      </w:tr>
      <w:tr>
        <w:trPr>
          <w:trHeight w:val="240"/>
          <w:jc w:val="center"/>
        </w:trPr>
        <w:tc>
          <w:tcPr>
            <w:tcW w:w="3020"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Skirta</w:t>
            </w:r>
          </w:p>
        </w:tc>
        <w:tc>
          <w:tcPr>
            <w:tcW w:w="88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86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86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74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75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79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0,0</w:t>
            </w:r>
          </w:p>
        </w:tc>
        <w:tc>
          <w:tcPr>
            <w:tcW w:w="819"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316,3</w:t>
            </w:r>
          </w:p>
        </w:tc>
        <w:tc>
          <w:tcPr>
            <w:tcW w:w="841"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316,3</w:t>
            </w:r>
          </w:p>
        </w:tc>
      </w:tr>
      <w:tr>
        <w:trPr>
          <w:trHeight w:val="240"/>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i/>
                <w:iCs/>
                <w:noProof/>
                <w:sz w:val="18"/>
                <w:szCs w:val="18"/>
              </w:rPr>
            </w:pPr>
            <w:r>
              <w:rPr>
                <w:i/>
                <w:iCs/>
                <w:noProof/>
                <w:sz w:val="18"/>
                <w:szCs w:val="18"/>
              </w:rPr>
              <w:t>Panaikinta</w:t>
            </w:r>
          </w:p>
        </w:tc>
        <w:tc>
          <w:tcPr>
            <w:tcW w:w="889"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867"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37,2</w:t>
            </w:r>
          </w:p>
        </w:tc>
        <w:tc>
          <w:tcPr>
            <w:tcW w:w="867"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745"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756"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796"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819"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0,0</w:t>
            </w:r>
          </w:p>
        </w:tc>
        <w:tc>
          <w:tcPr>
            <w:tcW w:w="841" w:type="dxa"/>
            <w:tcBorders>
              <w:top w:val="nil"/>
              <w:left w:val="nil"/>
              <w:bottom w:val="single" w:sz="4" w:space="0" w:color="auto"/>
              <w:right w:val="single" w:sz="4" w:space="0" w:color="auto"/>
            </w:tcBorders>
            <w:shd w:val="clear" w:color="auto" w:fill="auto"/>
            <w:noWrap/>
            <w:vAlign w:val="bottom"/>
            <w:hideMark/>
          </w:tcPr>
          <w:p>
            <w:pPr>
              <w:spacing w:before="0" w:after="0"/>
              <w:jc w:val="right"/>
              <w:rPr>
                <w:b/>
                <w:bCs/>
                <w:i/>
                <w:iCs/>
                <w:noProof/>
                <w:sz w:val="18"/>
                <w:szCs w:val="18"/>
              </w:rPr>
            </w:pPr>
            <w:r>
              <w:rPr>
                <w:b/>
                <w:bCs/>
                <w:i/>
                <w:iCs/>
                <w:noProof/>
                <w:sz w:val="18"/>
                <w:szCs w:val="18"/>
              </w:rPr>
              <w:t>37,2</w:t>
            </w:r>
          </w:p>
        </w:tc>
      </w:tr>
    </w:tbl>
    <w:p>
      <w:pPr>
        <w:pStyle w:val="ManualHeading2"/>
        <w:rPr>
          <w:noProof/>
        </w:rPr>
      </w:pPr>
      <w:r>
        <w:rPr>
          <w:noProof/>
        </w:rPr>
        <w:t>3.4.</w:t>
      </w:r>
      <w:r>
        <w:rPr>
          <w:noProof/>
        </w:rPr>
        <w:tab/>
        <w:t>Europos prisitaikymo prie globalizacijos padarinių fondas (EGF)</w:t>
      </w:r>
    </w:p>
    <w:p>
      <w:pPr>
        <w:pStyle w:val="Text1"/>
        <w:rPr>
          <w:noProof/>
        </w:rPr>
      </w:pPr>
      <w:r>
        <w:rPr>
          <w:noProof/>
        </w:rPr>
        <w:t xml:space="preserve">Pagal DFP reglamento 12 straipsnį </w:t>
      </w:r>
      <w:r>
        <w:rPr>
          <w:i/>
          <w:noProof/>
        </w:rPr>
        <w:t>Europos prisitaikymo prie globalizacijos padarinių fondą</w:t>
      </w:r>
      <w:r>
        <w:rPr>
          <w:noProof/>
        </w:rPr>
        <w:t xml:space="preserve"> galima panaudoti per metus neviršijant didžiausios 150 mln. EUR sumos 2011 m. kainomis, arba 2020 m. – 179,3 mln. EUR galiojančiomis kainomis (1 183,4 mln. EUR per visą laikotarpį galiojančiomis kainomis). Nepanaudotų ankstesnių metų sumų negalima perkelti. 175,1 mln. EUR suma, kuri panaikinta 2019 m. pabaigoje, panaudota lankstumo priemonei 2020 m. skirtai sumai padidinti.</w:t>
      </w:r>
    </w:p>
    <w:p>
      <w:pPr>
        <w:pStyle w:val="Text1"/>
        <w:rPr>
          <w:noProof/>
        </w:rPr>
      </w:pPr>
      <w:r>
        <w:rPr>
          <w:noProof/>
        </w:rPr>
        <w:t xml:space="preserve">Toliau pateikiamoje lentelėje išsamiai parodyta, koks kasmet turimas ir kiek nuo 2014 m. panaudojamas Europos prisitaikymo prie globalizacijos padarinių fondas. </w:t>
      </w:r>
    </w:p>
    <w:tbl>
      <w:tblPr>
        <w:tblW w:w="9505" w:type="dxa"/>
        <w:jc w:val="center"/>
        <w:tblCellMar>
          <w:left w:w="70" w:type="dxa"/>
          <w:right w:w="70" w:type="dxa"/>
        </w:tblCellMar>
        <w:tblLook w:val="04A0" w:firstRow="1" w:lastRow="0" w:firstColumn="1" w:lastColumn="0" w:noHBand="0" w:noVBand="1"/>
      </w:tblPr>
      <w:tblGrid>
        <w:gridCol w:w="2603"/>
        <w:gridCol w:w="817"/>
        <w:gridCol w:w="870"/>
        <w:gridCol w:w="821"/>
        <w:gridCol w:w="876"/>
        <w:gridCol w:w="766"/>
        <w:gridCol w:w="878"/>
        <w:gridCol w:w="905"/>
        <w:gridCol w:w="969"/>
      </w:tblGrid>
      <w:tr>
        <w:trPr>
          <w:trHeight w:val="240"/>
          <w:jc w:val="center"/>
        </w:trPr>
        <w:tc>
          <w:tcPr>
            <w:tcW w:w="950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pPr>
              <w:spacing w:before="0" w:after="0"/>
              <w:jc w:val="center"/>
              <w:rPr>
                <w:b/>
                <w:bCs/>
                <w:noProof/>
                <w:sz w:val="18"/>
                <w:szCs w:val="18"/>
              </w:rPr>
            </w:pPr>
            <w:r>
              <w:rPr>
                <w:b/>
                <w:bCs/>
                <w:noProof/>
                <w:sz w:val="18"/>
                <w:szCs w:val="18"/>
              </w:rPr>
              <w:t>Europos prisitaikymo prie globalizacijos padarinių fondas</w:t>
            </w:r>
          </w:p>
        </w:tc>
      </w:tr>
      <w:tr>
        <w:trPr>
          <w:trHeight w:val="240"/>
          <w:jc w:val="center"/>
        </w:trPr>
        <w:tc>
          <w:tcPr>
            <w:tcW w:w="950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pPr>
              <w:spacing w:before="0" w:after="0"/>
              <w:jc w:val="right"/>
              <w:rPr>
                <w:i/>
                <w:iCs/>
                <w:noProof/>
                <w:sz w:val="18"/>
                <w:szCs w:val="18"/>
              </w:rPr>
            </w:pPr>
            <w:r>
              <w:rPr>
                <w:i/>
                <w:iCs/>
                <w:noProof/>
                <w:sz w:val="18"/>
                <w:szCs w:val="18"/>
              </w:rPr>
              <w:t>mln. EUR</w:t>
            </w:r>
          </w:p>
        </w:tc>
      </w:tr>
      <w:tr>
        <w:trPr>
          <w:trHeight w:val="240"/>
          <w:jc w:val="center"/>
        </w:trPr>
        <w:tc>
          <w:tcPr>
            <w:tcW w:w="2603"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 </w:t>
            </w:r>
          </w:p>
        </w:tc>
        <w:tc>
          <w:tcPr>
            <w:tcW w:w="817"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2014</w:t>
            </w:r>
          </w:p>
        </w:tc>
        <w:tc>
          <w:tcPr>
            <w:tcW w:w="870"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2015</w:t>
            </w:r>
          </w:p>
        </w:tc>
        <w:tc>
          <w:tcPr>
            <w:tcW w:w="821"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2016</w:t>
            </w:r>
          </w:p>
        </w:tc>
        <w:tc>
          <w:tcPr>
            <w:tcW w:w="876"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2017</w:t>
            </w:r>
          </w:p>
        </w:tc>
        <w:tc>
          <w:tcPr>
            <w:tcW w:w="766"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2018</w:t>
            </w:r>
          </w:p>
        </w:tc>
        <w:tc>
          <w:tcPr>
            <w:tcW w:w="878"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2019</w:t>
            </w:r>
          </w:p>
        </w:tc>
        <w:tc>
          <w:tcPr>
            <w:tcW w:w="905" w:type="dxa"/>
            <w:tcBorders>
              <w:top w:val="nil"/>
              <w:left w:val="nil"/>
              <w:bottom w:val="single" w:sz="4" w:space="0" w:color="auto"/>
              <w:right w:val="single" w:sz="4" w:space="0" w:color="auto"/>
            </w:tcBorders>
            <w:shd w:val="clear" w:color="auto" w:fill="auto"/>
            <w:noWrap/>
            <w:vAlign w:val="bottom"/>
            <w:hideMark/>
          </w:tcPr>
          <w:p>
            <w:pPr>
              <w:spacing w:before="0" w:after="0"/>
              <w:jc w:val="right"/>
              <w:rPr>
                <w:noProof/>
                <w:sz w:val="18"/>
                <w:szCs w:val="18"/>
              </w:rPr>
            </w:pPr>
            <w:r>
              <w:rPr>
                <w:noProof/>
                <w:sz w:val="18"/>
                <w:szCs w:val="18"/>
              </w:rPr>
              <w:t>2020</w:t>
            </w:r>
          </w:p>
        </w:tc>
        <w:tc>
          <w:tcPr>
            <w:tcW w:w="969" w:type="dxa"/>
            <w:tcBorders>
              <w:top w:val="nil"/>
              <w:left w:val="nil"/>
              <w:bottom w:val="single" w:sz="4" w:space="0" w:color="auto"/>
              <w:right w:val="single" w:sz="4" w:space="0" w:color="auto"/>
            </w:tcBorders>
            <w:shd w:val="clear" w:color="auto" w:fill="auto"/>
            <w:noWrap/>
            <w:vAlign w:val="bottom"/>
            <w:hideMark/>
          </w:tcPr>
          <w:p>
            <w:pPr>
              <w:spacing w:before="0" w:after="0"/>
              <w:jc w:val="center"/>
              <w:rPr>
                <w:b/>
                <w:bCs/>
                <w:noProof/>
                <w:sz w:val="18"/>
                <w:szCs w:val="18"/>
              </w:rPr>
            </w:pPr>
            <w:r>
              <w:rPr>
                <w:b/>
                <w:bCs/>
                <w:noProof/>
                <w:sz w:val="18"/>
                <w:szCs w:val="18"/>
              </w:rPr>
              <w:t>Iš viso</w:t>
            </w:r>
          </w:p>
        </w:tc>
      </w:tr>
      <w:tr>
        <w:trPr>
          <w:trHeight w:val="240"/>
          <w:jc w:val="center"/>
        </w:trPr>
        <w:tc>
          <w:tcPr>
            <w:tcW w:w="2603"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Metinės sumos 2011 m. kainomis</w:t>
            </w:r>
          </w:p>
        </w:tc>
        <w:tc>
          <w:tcPr>
            <w:tcW w:w="81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150</w:t>
            </w:r>
          </w:p>
        </w:tc>
        <w:tc>
          <w:tcPr>
            <w:tcW w:w="87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150</w:t>
            </w:r>
          </w:p>
        </w:tc>
        <w:tc>
          <w:tcPr>
            <w:tcW w:w="821"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150</w:t>
            </w:r>
          </w:p>
        </w:tc>
        <w:tc>
          <w:tcPr>
            <w:tcW w:w="87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150</w:t>
            </w:r>
          </w:p>
        </w:tc>
        <w:tc>
          <w:tcPr>
            <w:tcW w:w="76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150</w:t>
            </w:r>
          </w:p>
        </w:tc>
        <w:tc>
          <w:tcPr>
            <w:tcW w:w="878"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150</w:t>
            </w:r>
          </w:p>
        </w:tc>
        <w:tc>
          <w:tcPr>
            <w:tcW w:w="90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150</w:t>
            </w:r>
          </w:p>
        </w:tc>
        <w:tc>
          <w:tcPr>
            <w:tcW w:w="969"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1 050</w:t>
            </w:r>
          </w:p>
        </w:tc>
      </w:tr>
      <w:tr>
        <w:trPr>
          <w:trHeight w:val="240"/>
          <w:jc w:val="center"/>
        </w:trPr>
        <w:tc>
          <w:tcPr>
            <w:tcW w:w="2603"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Metinės sumos galiojančiomis kainomis</w:t>
            </w:r>
          </w:p>
        </w:tc>
        <w:tc>
          <w:tcPr>
            <w:tcW w:w="81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159,2</w:t>
            </w:r>
          </w:p>
        </w:tc>
        <w:tc>
          <w:tcPr>
            <w:tcW w:w="87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162,4</w:t>
            </w:r>
          </w:p>
        </w:tc>
        <w:tc>
          <w:tcPr>
            <w:tcW w:w="821"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165,6</w:t>
            </w:r>
          </w:p>
        </w:tc>
        <w:tc>
          <w:tcPr>
            <w:tcW w:w="87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168,9</w:t>
            </w:r>
          </w:p>
        </w:tc>
        <w:tc>
          <w:tcPr>
            <w:tcW w:w="76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172,3</w:t>
            </w:r>
          </w:p>
        </w:tc>
        <w:tc>
          <w:tcPr>
            <w:tcW w:w="878"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175,7</w:t>
            </w:r>
          </w:p>
        </w:tc>
        <w:tc>
          <w:tcPr>
            <w:tcW w:w="905"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179,3</w:t>
            </w:r>
          </w:p>
        </w:tc>
        <w:tc>
          <w:tcPr>
            <w:tcW w:w="969"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1 183,4</w:t>
            </w:r>
          </w:p>
        </w:tc>
      </w:tr>
      <w:tr>
        <w:trPr>
          <w:trHeight w:val="240"/>
          <w:jc w:val="center"/>
        </w:trPr>
        <w:tc>
          <w:tcPr>
            <w:tcW w:w="2603" w:type="dxa"/>
            <w:tcBorders>
              <w:top w:val="nil"/>
              <w:left w:val="single" w:sz="4" w:space="0" w:color="auto"/>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Metinis panaudojimas</w:t>
            </w:r>
          </w:p>
        </w:tc>
        <w:tc>
          <w:tcPr>
            <w:tcW w:w="817"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81,0</w:t>
            </w:r>
          </w:p>
        </w:tc>
        <w:tc>
          <w:tcPr>
            <w:tcW w:w="870"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43,4</w:t>
            </w:r>
          </w:p>
        </w:tc>
        <w:tc>
          <w:tcPr>
            <w:tcW w:w="821"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28,0</w:t>
            </w:r>
          </w:p>
        </w:tc>
        <w:tc>
          <w:tcPr>
            <w:tcW w:w="87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18,1</w:t>
            </w:r>
          </w:p>
        </w:tc>
        <w:tc>
          <w:tcPr>
            <w:tcW w:w="766"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28,0</w:t>
            </w:r>
          </w:p>
        </w:tc>
        <w:tc>
          <w:tcPr>
            <w:tcW w:w="878" w:type="dxa"/>
            <w:tcBorders>
              <w:top w:val="nil"/>
              <w:left w:val="nil"/>
              <w:bottom w:val="nil"/>
              <w:right w:val="single" w:sz="4" w:space="0" w:color="auto"/>
            </w:tcBorders>
            <w:shd w:val="clear" w:color="auto" w:fill="auto"/>
            <w:noWrap/>
            <w:vAlign w:val="bottom"/>
            <w:hideMark/>
          </w:tcPr>
          <w:p>
            <w:pPr>
              <w:spacing w:before="0" w:after="0"/>
              <w:jc w:val="right"/>
              <w:rPr>
                <w:noProof/>
                <w:sz w:val="18"/>
                <w:szCs w:val="18"/>
              </w:rPr>
            </w:pPr>
            <w:r>
              <w:rPr>
                <w:noProof/>
                <w:sz w:val="18"/>
                <w:szCs w:val="18"/>
              </w:rPr>
              <w:t>0,6</w:t>
            </w:r>
          </w:p>
        </w:tc>
        <w:tc>
          <w:tcPr>
            <w:tcW w:w="905" w:type="dxa"/>
            <w:tcBorders>
              <w:top w:val="nil"/>
              <w:left w:val="nil"/>
              <w:bottom w:val="nil"/>
              <w:right w:val="single" w:sz="4" w:space="0" w:color="auto"/>
            </w:tcBorders>
            <w:shd w:val="clear" w:color="auto" w:fill="auto"/>
            <w:noWrap/>
            <w:vAlign w:val="bottom"/>
            <w:hideMark/>
          </w:tcPr>
          <w:p>
            <w:pPr>
              <w:spacing w:before="0" w:after="0"/>
              <w:jc w:val="left"/>
              <w:rPr>
                <w:noProof/>
                <w:sz w:val="18"/>
                <w:szCs w:val="18"/>
              </w:rPr>
            </w:pPr>
            <w:r>
              <w:rPr>
                <w:noProof/>
                <w:sz w:val="18"/>
                <w:szCs w:val="18"/>
              </w:rPr>
              <w:t> </w:t>
            </w:r>
          </w:p>
        </w:tc>
        <w:tc>
          <w:tcPr>
            <w:tcW w:w="969" w:type="dxa"/>
            <w:tcBorders>
              <w:top w:val="nil"/>
              <w:left w:val="nil"/>
              <w:bottom w:val="nil"/>
              <w:right w:val="single" w:sz="4" w:space="0" w:color="auto"/>
            </w:tcBorders>
            <w:shd w:val="clear" w:color="auto" w:fill="auto"/>
            <w:noWrap/>
            <w:vAlign w:val="bottom"/>
            <w:hideMark/>
          </w:tcPr>
          <w:p>
            <w:pPr>
              <w:spacing w:before="0" w:after="0"/>
              <w:jc w:val="right"/>
              <w:rPr>
                <w:b/>
                <w:bCs/>
                <w:noProof/>
                <w:sz w:val="18"/>
                <w:szCs w:val="18"/>
              </w:rPr>
            </w:pPr>
            <w:r>
              <w:rPr>
                <w:b/>
                <w:bCs/>
                <w:noProof/>
                <w:sz w:val="18"/>
                <w:szCs w:val="18"/>
              </w:rPr>
              <w:t>199,1</w:t>
            </w:r>
          </w:p>
        </w:tc>
      </w:tr>
      <w:tr>
        <w:trPr>
          <w:trHeight w:val="240"/>
          <w:jc w:val="center"/>
        </w:trPr>
        <w:tc>
          <w:tcPr>
            <w:tcW w:w="2603" w:type="dxa"/>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i/>
                <w:iCs/>
                <w:noProof/>
                <w:sz w:val="18"/>
                <w:szCs w:val="18"/>
              </w:rPr>
            </w:pPr>
            <w:r>
              <w:rPr>
                <w:i/>
                <w:iCs/>
                <w:noProof/>
                <w:sz w:val="18"/>
                <w:szCs w:val="18"/>
              </w:rPr>
              <w:t>Panaikinta</w:t>
            </w:r>
          </w:p>
        </w:tc>
        <w:tc>
          <w:tcPr>
            <w:tcW w:w="817"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78,2</w:t>
            </w:r>
          </w:p>
        </w:tc>
        <w:tc>
          <w:tcPr>
            <w:tcW w:w="870"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119,0</w:t>
            </w:r>
          </w:p>
        </w:tc>
        <w:tc>
          <w:tcPr>
            <w:tcW w:w="821"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137,6</w:t>
            </w:r>
          </w:p>
        </w:tc>
        <w:tc>
          <w:tcPr>
            <w:tcW w:w="876"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150,8</w:t>
            </w:r>
          </w:p>
        </w:tc>
        <w:tc>
          <w:tcPr>
            <w:tcW w:w="766"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144,3</w:t>
            </w:r>
          </w:p>
        </w:tc>
        <w:tc>
          <w:tcPr>
            <w:tcW w:w="878" w:type="dxa"/>
            <w:tcBorders>
              <w:top w:val="nil"/>
              <w:left w:val="nil"/>
              <w:bottom w:val="single" w:sz="4" w:space="0" w:color="auto"/>
              <w:right w:val="single" w:sz="4" w:space="0" w:color="auto"/>
            </w:tcBorders>
            <w:shd w:val="clear" w:color="auto" w:fill="auto"/>
            <w:noWrap/>
            <w:vAlign w:val="bottom"/>
            <w:hideMark/>
          </w:tcPr>
          <w:p>
            <w:pPr>
              <w:spacing w:before="0" w:after="0"/>
              <w:jc w:val="right"/>
              <w:rPr>
                <w:i/>
                <w:iCs/>
                <w:noProof/>
                <w:sz w:val="18"/>
                <w:szCs w:val="18"/>
              </w:rPr>
            </w:pPr>
            <w:r>
              <w:rPr>
                <w:i/>
                <w:iCs/>
                <w:noProof/>
                <w:sz w:val="18"/>
                <w:szCs w:val="18"/>
              </w:rPr>
              <w:t>175,1</w:t>
            </w:r>
          </w:p>
        </w:tc>
        <w:tc>
          <w:tcPr>
            <w:tcW w:w="905" w:type="dxa"/>
            <w:tcBorders>
              <w:top w:val="nil"/>
              <w:left w:val="nil"/>
              <w:bottom w:val="single" w:sz="4" w:space="0" w:color="auto"/>
              <w:right w:val="single" w:sz="4" w:space="0" w:color="auto"/>
            </w:tcBorders>
            <w:shd w:val="clear" w:color="auto" w:fill="auto"/>
            <w:noWrap/>
            <w:vAlign w:val="bottom"/>
            <w:hideMark/>
          </w:tcPr>
          <w:p>
            <w:pPr>
              <w:spacing w:before="0" w:after="0"/>
              <w:jc w:val="left"/>
              <w:rPr>
                <w:i/>
                <w:iCs/>
                <w:noProof/>
                <w:sz w:val="18"/>
                <w:szCs w:val="18"/>
              </w:rPr>
            </w:pPr>
            <w:r>
              <w:rPr>
                <w:i/>
                <w:iCs/>
                <w:noProof/>
                <w:sz w:val="18"/>
                <w:szCs w:val="18"/>
              </w:rPr>
              <w:t> </w:t>
            </w:r>
          </w:p>
        </w:tc>
        <w:tc>
          <w:tcPr>
            <w:tcW w:w="969" w:type="dxa"/>
            <w:tcBorders>
              <w:top w:val="nil"/>
              <w:left w:val="nil"/>
              <w:bottom w:val="single" w:sz="4" w:space="0" w:color="auto"/>
              <w:right w:val="single" w:sz="4" w:space="0" w:color="auto"/>
            </w:tcBorders>
            <w:shd w:val="clear" w:color="auto" w:fill="auto"/>
            <w:noWrap/>
            <w:vAlign w:val="bottom"/>
            <w:hideMark/>
          </w:tcPr>
          <w:p>
            <w:pPr>
              <w:spacing w:before="0" w:after="0"/>
              <w:jc w:val="right"/>
              <w:rPr>
                <w:b/>
                <w:bCs/>
                <w:i/>
                <w:iCs/>
                <w:noProof/>
                <w:sz w:val="18"/>
                <w:szCs w:val="18"/>
              </w:rPr>
            </w:pPr>
            <w:r>
              <w:rPr>
                <w:b/>
                <w:bCs/>
                <w:i/>
                <w:iCs/>
                <w:noProof/>
                <w:sz w:val="18"/>
                <w:szCs w:val="18"/>
              </w:rPr>
              <w:t>629,9</w:t>
            </w:r>
          </w:p>
        </w:tc>
      </w:tr>
    </w:tbl>
    <w:p>
      <w:pPr>
        <w:pStyle w:val="ManualHeading2"/>
        <w:rPr>
          <w:noProof/>
        </w:rPr>
      </w:pPr>
      <w:r>
        <w:rPr>
          <w:noProof/>
        </w:rPr>
        <w:t>3.5.</w:t>
      </w:r>
      <w:r>
        <w:rPr>
          <w:noProof/>
        </w:rPr>
        <w:tab/>
        <w:t>Nenumatytų atvejų rezervas</w:t>
      </w:r>
    </w:p>
    <w:p>
      <w:pPr>
        <w:pStyle w:val="Text1"/>
        <w:rPr>
          <w:bCs/>
          <w:noProof/>
        </w:rPr>
      </w:pPr>
      <w:r>
        <w:rPr>
          <w:noProof/>
        </w:rPr>
        <w:t>Pagal DFP reglamento 13 straipsnį už 2014–2020 m. finansinės programos viršutinių ribų sudaromas nenumatytų atvejų rezervas, kuris neviršija 0,03 % Sąjungos bendrųjų nacionalinių pajamų.</w:t>
      </w:r>
    </w:p>
    <w:p>
      <w:pPr>
        <w:pStyle w:val="Text1"/>
        <w:rPr>
          <w:bCs/>
          <w:noProof/>
        </w:rPr>
      </w:pPr>
      <w:r>
        <w:rPr>
          <w:noProof/>
        </w:rPr>
        <w:t>Kaip nustatyta 2019 m. gegužės mėn. patvirtintame 2020 m. DFP techniniame patikslinime, 2020 m. skirta absoliuti nenumatytų atvejų rezervo suma yra 5 096,8 mln. EUR.</w:t>
      </w:r>
    </w:p>
    <w:p>
      <w:pPr>
        <w:pStyle w:val="Text1"/>
        <w:rPr>
          <w:bCs/>
          <w:noProof/>
        </w:rPr>
      </w:pPr>
      <w:r>
        <w:rPr>
          <w:noProof/>
        </w:rPr>
        <w:t>Toliau pateikiamoje lentelėje išsamiai parodyta, koks kasmet turimas ir kiek nuo 2014 m. panaudojamas nenumatytų atvejų rezervas.</w:t>
      </w:r>
    </w:p>
    <w:tbl>
      <w:tblPr>
        <w:tblW w:w="9605" w:type="dxa"/>
        <w:jc w:val="center"/>
        <w:tblCellMar>
          <w:left w:w="70" w:type="dxa"/>
          <w:right w:w="70" w:type="dxa"/>
        </w:tblCellMar>
        <w:tblLook w:val="04A0" w:firstRow="1" w:lastRow="0" w:firstColumn="1" w:lastColumn="0" w:noHBand="0" w:noVBand="1"/>
      </w:tblPr>
      <w:tblGrid>
        <w:gridCol w:w="2012"/>
        <w:gridCol w:w="925"/>
        <w:gridCol w:w="925"/>
        <w:gridCol w:w="925"/>
        <w:gridCol w:w="1016"/>
        <w:gridCol w:w="925"/>
        <w:gridCol w:w="925"/>
        <w:gridCol w:w="925"/>
        <w:gridCol w:w="1016"/>
        <w:gridCol w:w="11"/>
      </w:tblGrid>
      <w:tr>
        <w:trPr>
          <w:trHeight w:val="255"/>
          <w:jc w:val="center"/>
        </w:trPr>
        <w:tc>
          <w:tcPr>
            <w:tcW w:w="960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pPr>
              <w:keepNext/>
              <w:keepLines/>
              <w:spacing w:before="0" w:after="0"/>
              <w:jc w:val="center"/>
              <w:rPr>
                <w:b/>
                <w:bCs/>
                <w:noProof/>
                <w:sz w:val="18"/>
                <w:szCs w:val="18"/>
              </w:rPr>
            </w:pPr>
            <w:r>
              <w:rPr>
                <w:b/>
                <w:bCs/>
                <w:noProof/>
                <w:sz w:val="18"/>
                <w:szCs w:val="18"/>
              </w:rPr>
              <w:t>Nenumatytų atvejų rezervas</w:t>
            </w:r>
          </w:p>
        </w:tc>
      </w:tr>
      <w:tr>
        <w:trPr>
          <w:trHeight w:val="212"/>
          <w:jc w:val="center"/>
        </w:trPr>
        <w:tc>
          <w:tcPr>
            <w:tcW w:w="960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pPr>
              <w:keepNext/>
              <w:keepLines/>
              <w:spacing w:before="0" w:after="0"/>
              <w:jc w:val="right"/>
              <w:rPr>
                <w:i/>
                <w:iCs/>
                <w:noProof/>
                <w:sz w:val="18"/>
                <w:szCs w:val="18"/>
              </w:rPr>
            </w:pPr>
            <w:r>
              <w:rPr>
                <w:i/>
                <w:iCs/>
                <w:noProof/>
                <w:sz w:val="18"/>
                <w:szCs w:val="18"/>
              </w:rPr>
              <w:t>mln. EUR</w:t>
            </w:r>
          </w:p>
        </w:tc>
      </w:tr>
      <w:tr>
        <w:trPr>
          <w:gridAfter w:val="1"/>
          <w:wAfter w:w="11" w:type="dxa"/>
          <w:trHeight w:val="255"/>
          <w:jc w:val="center"/>
        </w:trPr>
        <w:tc>
          <w:tcPr>
            <w:tcW w:w="2012" w:type="dxa"/>
            <w:tcBorders>
              <w:top w:val="nil"/>
              <w:left w:val="single" w:sz="4" w:space="0" w:color="auto"/>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925"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2014</w:t>
            </w:r>
          </w:p>
        </w:tc>
        <w:tc>
          <w:tcPr>
            <w:tcW w:w="925"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2015</w:t>
            </w:r>
          </w:p>
        </w:tc>
        <w:tc>
          <w:tcPr>
            <w:tcW w:w="925"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2016</w:t>
            </w:r>
          </w:p>
        </w:tc>
        <w:tc>
          <w:tcPr>
            <w:tcW w:w="1016"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2017</w:t>
            </w:r>
          </w:p>
        </w:tc>
        <w:tc>
          <w:tcPr>
            <w:tcW w:w="925"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2018</w:t>
            </w:r>
          </w:p>
        </w:tc>
        <w:tc>
          <w:tcPr>
            <w:tcW w:w="925"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2019</w:t>
            </w:r>
          </w:p>
        </w:tc>
        <w:tc>
          <w:tcPr>
            <w:tcW w:w="925"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2020</w:t>
            </w:r>
          </w:p>
        </w:tc>
        <w:tc>
          <w:tcPr>
            <w:tcW w:w="1016"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center"/>
              <w:rPr>
                <w:b/>
                <w:bCs/>
                <w:noProof/>
                <w:sz w:val="18"/>
                <w:szCs w:val="18"/>
              </w:rPr>
            </w:pPr>
            <w:r>
              <w:rPr>
                <w:b/>
                <w:bCs/>
                <w:noProof/>
                <w:sz w:val="18"/>
                <w:szCs w:val="18"/>
              </w:rPr>
              <w:t>Iš viso</w:t>
            </w:r>
          </w:p>
        </w:tc>
      </w:tr>
      <w:tr>
        <w:trPr>
          <w:gridAfter w:val="1"/>
          <w:wAfter w:w="11" w:type="dxa"/>
          <w:trHeight w:val="255"/>
          <w:jc w:val="center"/>
        </w:trPr>
        <w:tc>
          <w:tcPr>
            <w:tcW w:w="2012" w:type="dxa"/>
            <w:tcBorders>
              <w:top w:val="nil"/>
              <w:left w:val="single" w:sz="4" w:space="0" w:color="auto"/>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Metams skirta suma</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4 026,7</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4 175,4</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4 438,2</w:t>
            </w:r>
          </w:p>
        </w:tc>
        <w:tc>
          <w:tcPr>
            <w:tcW w:w="1016"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4 496,8</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4 711,3</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4 946,7</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5 096,8</w:t>
            </w:r>
          </w:p>
        </w:tc>
        <w:tc>
          <w:tcPr>
            <w:tcW w:w="1016" w:type="dxa"/>
            <w:tcBorders>
              <w:top w:val="nil"/>
              <w:left w:val="nil"/>
              <w:bottom w:val="nil"/>
              <w:right w:val="single" w:sz="4" w:space="0" w:color="auto"/>
            </w:tcBorders>
            <w:shd w:val="clear" w:color="auto" w:fill="auto"/>
            <w:noWrap/>
            <w:vAlign w:val="bottom"/>
            <w:hideMark/>
          </w:tcPr>
          <w:p>
            <w:pPr>
              <w:keepNext/>
              <w:keepLines/>
              <w:spacing w:before="0" w:after="0"/>
              <w:jc w:val="right"/>
              <w:rPr>
                <w:b/>
                <w:bCs/>
                <w:noProof/>
                <w:sz w:val="18"/>
                <w:szCs w:val="18"/>
              </w:rPr>
            </w:pPr>
            <w:r>
              <w:rPr>
                <w:b/>
                <w:bCs/>
                <w:noProof/>
                <w:sz w:val="18"/>
                <w:szCs w:val="18"/>
              </w:rPr>
              <w:t>31 892</w:t>
            </w:r>
          </w:p>
        </w:tc>
      </w:tr>
      <w:tr>
        <w:trPr>
          <w:gridAfter w:val="1"/>
          <w:wAfter w:w="11" w:type="dxa"/>
          <w:trHeight w:val="255"/>
          <w:jc w:val="center"/>
        </w:trPr>
        <w:tc>
          <w:tcPr>
            <w:tcW w:w="2012" w:type="dxa"/>
            <w:tcBorders>
              <w:top w:val="nil"/>
              <w:left w:val="single" w:sz="4" w:space="0" w:color="auto"/>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Metinis panaudojimas</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1016"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1016" w:type="dxa"/>
            <w:tcBorders>
              <w:top w:val="nil"/>
              <w:left w:val="nil"/>
              <w:bottom w:val="nil"/>
              <w:right w:val="single" w:sz="4" w:space="0" w:color="auto"/>
            </w:tcBorders>
            <w:shd w:val="clear" w:color="auto" w:fill="auto"/>
            <w:noWrap/>
            <w:vAlign w:val="bottom"/>
            <w:hideMark/>
          </w:tcPr>
          <w:p>
            <w:pPr>
              <w:keepNext/>
              <w:keepLines/>
              <w:spacing w:before="0" w:after="0"/>
              <w:jc w:val="left"/>
              <w:rPr>
                <w:b/>
                <w:bCs/>
                <w:noProof/>
                <w:sz w:val="18"/>
                <w:szCs w:val="18"/>
              </w:rPr>
            </w:pPr>
            <w:r>
              <w:rPr>
                <w:b/>
                <w:bCs/>
                <w:noProof/>
                <w:sz w:val="18"/>
                <w:szCs w:val="18"/>
              </w:rPr>
              <w:t> </w:t>
            </w:r>
          </w:p>
        </w:tc>
      </w:tr>
      <w:tr>
        <w:trPr>
          <w:gridAfter w:val="1"/>
          <w:wAfter w:w="11" w:type="dxa"/>
          <w:trHeight w:val="255"/>
          <w:jc w:val="center"/>
        </w:trPr>
        <w:tc>
          <w:tcPr>
            <w:tcW w:w="2012" w:type="dxa"/>
            <w:tcBorders>
              <w:top w:val="nil"/>
              <w:left w:val="single" w:sz="4" w:space="0" w:color="auto"/>
              <w:bottom w:val="nil"/>
              <w:right w:val="single" w:sz="4" w:space="0" w:color="auto"/>
            </w:tcBorders>
            <w:shd w:val="clear" w:color="auto" w:fill="auto"/>
            <w:noWrap/>
            <w:vAlign w:val="bottom"/>
            <w:hideMark/>
          </w:tcPr>
          <w:p>
            <w:pPr>
              <w:keepNext/>
              <w:keepLines/>
              <w:spacing w:before="0" w:after="0"/>
              <w:ind w:firstLineChars="100" w:firstLine="180"/>
              <w:jc w:val="left"/>
              <w:rPr>
                <w:i/>
                <w:iCs/>
                <w:noProof/>
                <w:sz w:val="18"/>
                <w:szCs w:val="18"/>
              </w:rPr>
            </w:pPr>
            <w:r>
              <w:rPr>
                <w:i/>
                <w:iCs/>
                <w:noProof/>
                <w:sz w:val="18"/>
                <w:szCs w:val="18"/>
              </w:rPr>
              <w:t>įsipareigojimų</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240,1</w:t>
            </w:r>
          </w:p>
        </w:tc>
        <w:tc>
          <w:tcPr>
            <w:tcW w:w="1016"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1 906,2</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1016" w:type="dxa"/>
            <w:tcBorders>
              <w:top w:val="nil"/>
              <w:left w:val="nil"/>
              <w:bottom w:val="nil"/>
              <w:right w:val="single" w:sz="4" w:space="0" w:color="auto"/>
            </w:tcBorders>
            <w:shd w:val="clear" w:color="auto" w:fill="auto"/>
            <w:noWrap/>
            <w:vAlign w:val="bottom"/>
            <w:hideMark/>
          </w:tcPr>
          <w:p>
            <w:pPr>
              <w:keepNext/>
              <w:keepLines/>
              <w:spacing w:before="0" w:after="0"/>
              <w:jc w:val="right"/>
              <w:rPr>
                <w:b/>
                <w:bCs/>
                <w:noProof/>
                <w:sz w:val="18"/>
                <w:szCs w:val="18"/>
              </w:rPr>
            </w:pPr>
            <w:r>
              <w:rPr>
                <w:b/>
                <w:bCs/>
                <w:noProof/>
                <w:sz w:val="18"/>
                <w:szCs w:val="18"/>
              </w:rPr>
              <w:t>2 146,3</w:t>
            </w:r>
          </w:p>
        </w:tc>
      </w:tr>
      <w:tr>
        <w:trPr>
          <w:gridAfter w:val="1"/>
          <w:wAfter w:w="11" w:type="dxa"/>
          <w:trHeight w:val="255"/>
          <w:jc w:val="center"/>
        </w:trPr>
        <w:tc>
          <w:tcPr>
            <w:tcW w:w="2012" w:type="dxa"/>
            <w:tcBorders>
              <w:top w:val="nil"/>
              <w:left w:val="single" w:sz="4" w:space="0" w:color="auto"/>
              <w:bottom w:val="nil"/>
              <w:right w:val="single" w:sz="4" w:space="0" w:color="auto"/>
            </w:tcBorders>
            <w:shd w:val="clear" w:color="auto" w:fill="auto"/>
            <w:noWrap/>
            <w:vAlign w:val="bottom"/>
            <w:hideMark/>
          </w:tcPr>
          <w:p>
            <w:pPr>
              <w:keepNext/>
              <w:keepLines/>
              <w:spacing w:before="0" w:after="0"/>
              <w:ind w:firstLineChars="100" w:firstLine="180"/>
              <w:jc w:val="left"/>
              <w:rPr>
                <w:i/>
                <w:iCs/>
                <w:noProof/>
                <w:sz w:val="18"/>
                <w:szCs w:val="18"/>
              </w:rPr>
            </w:pPr>
            <w:r>
              <w:rPr>
                <w:i/>
                <w:iCs/>
                <w:noProof/>
                <w:sz w:val="18"/>
                <w:szCs w:val="18"/>
              </w:rPr>
              <w:t>mokėjimų</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2 818,2</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1016"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1016" w:type="dxa"/>
            <w:tcBorders>
              <w:top w:val="nil"/>
              <w:left w:val="nil"/>
              <w:bottom w:val="nil"/>
              <w:right w:val="single" w:sz="4" w:space="0" w:color="auto"/>
            </w:tcBorders>
            <w:shd w:val="clear" w:color="auto" w:fill="auto"/>
            <w:noWrap/>
            <w:vAlign w:val="bottom"/>
            <w:hideMark/>
          </w:tcPr>
          <w:p>
            <w:pPr>
              <w:keepNext/>
              <w:keepLines/>
              <w:spacing w:before="0" w:after="0"/>
              <w:jc w:val="right"/>
              <w:rPr>
                <w:b/>
                <w:bCs/>
                <w:noProof/>
                <w:sz w:val="18"/>
                <w:szCs w:val="18"/>
              </w:rPr>
            </w:pPr>
            <w:r>
              <w:rPr>
                <w:b/>
                <w:bCs/>
                <w:noProof/>
                <w:sz w:val="18"/>
                <w:szCs w:val="18"/>
              </w:rPr>
              <w:t>2 818,2</w:t>
            </w:r>
          </w:p>
        </w:tc>
      </w:tr>
      <w:tr>
        <w:trPr>
          <w:gridAfter w:val="1"/>
          <w:wAfter w:w="11" w:type="dxa"/>
          <w:trHeight w:val="255"/>
          <w:jc w:val="center"/>
        </w:trPr>
        <w:tc>
          <w:tcPr>
            <w:tcW w:w="2012" w:type="dxa"/>
            <w:tcBorders>
              <w:top w:val="nil"/>
              <w:left w:val="single" w:sz="4" w:space="0" w:color="auto"/>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Metinis kompensavimas</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1016"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left"/>
              <w:rPr>
                <w:noProof/>
                <w:sz w:val="18"/>
                <w:szCs w:val="18"/>
              </w:rPr>
            </w:pPr>
            <w:r>
              <w:rPr>
                <w:noProof/>
                <w:sz w:val="18"/>
                <w:szCs w:val="18"/>
              </w:rPr>
              <w:t> </w:t>
            </w:r>
          </w:p>
        </w:tc>
        <w:tc>
          <w:tcPr>
            <w:tcW w:w="1016" w:type="dxa"/>
            <w:tcBorders>
              <w:top w:val="nil"/>
              <w:left w:val="nil"/>
              <w:bottom w:val="nil"/>
              <w:right w:val="single" w:sz="4" w:space="0" w:color="auto"/>
            </w:tcBorders>
            <w:shd w:val="clear" w:color="auto" w:fill="auto"/>
            <w:noWrap/>
            <w:vAlign w:val="bottom"/>
            <w:hideMark/>
          </w:tcPr>
          <w:p>
            <w:pPr>
              <w:keepNext/>
              <w:keepLines/>
              <w:spacing w:before="0" w:after="0"/>
              <w:jc w:val="left"/>
              <w:rPr>
                <w:b/>
                <w:bCs/>
                <w:noProof/>
                <w:sz w:val="18"/>
                <w:szCs w:val="18"/>
              </w:rPr>
            </w:pPr>
            <w:r>
              <w:rPr>
                <w:b/>
                <w:bCs/>
                <w:noProof/>
                <w:sz w:val="18"/>
                <w:szCs w:val="18"/>
              </w:rPr>
              <w:t> </w:t>
            </w:r>
          </w:p>
        </w:tc>
      </w:tr>
      <w:tr>
        <w:trPr>
          <w:gridAfter w:val="1"/>
          <w:wAfter w:w="11" w:type="dxa"/>
          <w:trHeight w:val="255"/>
          <w:jc w:val="center"/>
        </w:trPr>
        <w:tc>
          <w:tcPr>
            <w:tcW w:w="2012" w:type="dxa"/>
            <w:tcBorders>
              <w:top w:val="nil"/>
              <w:left w:val="single" w:sz="4" w:space="0" w:color="auto"/>
              <w:bottom w:val="nil"/>
              <w:right w:val="single" w:sz="4" w:space="0" w:color="auto"/>
            </w:tcBorders>
            <w:shd w:val="clear" w:color="auto" w:fill="auto"/>
            <w:noWrap/>
            <w:vAlign w:val="bottom"/>
            <w:hideMark/>
          </w:tcPr>
          <w:p>
            <w:pPr>
              <w:keepNext/>
              <w:keepLines/>
              <w:spacing w:before="0" w:after="0"/>
              <w:ind w:firstLineChars="100" w:firstLine="180"/>
              <w:jc w:val="left"/>
              <w:rPr>
                <w:i/>
                <w:iCs/>
                <w:noProof/>
                <w:sz w:val="18"/>
                <w:szCs w:val="18"/>
              </w:rPr>
            </w:pPr>
            <w:r>
              <w:rPr>
                <w:i/>
                <w:iCs/>
                <w:noProof/>
                <w:sz w:val="18"/>
                <w:szCs w:val="18"/>
              </w:rPr>
              <w:t>įsipareigojimų</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−240,1</w:t>
            </w:r>
          </w:p>
        </w:tc>
        <w:tc>
          <w:tcPr>
            <w:tcW w:w="1016"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−1 082,3</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−318,0</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−253,9</w:t>
            </w:r>
          </w:p>
        </w:tc>
        <w:tc>
          <w:tcPr>
            <w:tcW w:w="925" w:type="dxa"/>
            <w:tcBorders>
              <w:top w:val="nil"/>
              <w:left w:val="nil"/>
              <w:bottom w:val="nil"/>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−252,0</w:t>
            </w:r>
          </w:p>
        </w:tc>
        <w:tc>
          <w:tcPr>
            <w:tcW w:w="1016" w:type="dxa"/>
            <w:tcBorders>
              <w:top w:val="nil"/>
              <w:left w:val="nil"/>
              <w:bottom w:val="nil"/>
              <w:right w:val="single" w:sz="4" w:space="0" w:color="auto"/>
            </w:tcBorders>
            <w:shd w:val="clear" w:color="auto" w:fill="auto"/>
            <w:noWrap/>
            <w:vAlign w:val="bottom"/>
            <w:hideMark/>
          </w:tcPr>
          <w:p>
            <w:pPr>
              <w:keepNext/>
              <w:keepLines/>
              <w:spacing w:before="0" w:after="0"/>
              <w:jc w:val="right"/>
              <w:rPr>
                <w:b/>
                <w:bCs/>
                <w:noProof/>
                <w:sz w:val="18"/>
                <w:szCs w:val="18"/>
              </w:rPr>
            </w:pPr>
            <w:r>
              <w:rPr>
                <w:b/>
                <w:bCs/>
                <w:noProof/>
                <w:sz w:val="18"/>
                <w:szCs w:val="18"/>
              </w:rPr>
              <w:t>−2 146,3</w:t>
            </w:r>
          </w:p>
        </w:tc>
      </w:tr>
      <w:tr>
        <w:trPr>
          <w:gridAfter w:val="1"/>
          <w:wAfter w:w="11" w:type="dxa"/>
          <w:trHeight w:val="255"/>
          <w:jc w:val="center"/>
        </w:trPr>
        <w:tc>
          <w:tcPr>
            <w:tcW w:w="2012" w:type="dxa"/>
            <w:tcBorders>
              <w:top w:val="nil"/>
              <w:left w:val="single" w:sz="4" w:space="0" w:color="auto"/>
              <w:bottom w:val="single" w:sz="4" w:space="0" w:color="auto"/>
              <w:right w:val="single" w:sz="4" w:space="0" w:color="auto"/>
            </w:tcBorders>
            <w:shd w:val="clear" w:color="auto" w:fill="auto"/>
            <w:noWrap/>
            <w:vAlign w:val="bottom"/>
            <w:hideMark/>
          </w:tcPr>
          <w:p>
            <w:pPr>
              <w:keepNext/>
              <w:keepLines/>
              <w:spacing w:before="0" w:after="0"/>
              <w:ind w:firstLineChars="100" w:firstLine="180"/>
              <w:jc w:val="left"/>
              <w:rPr>
                <w:i/>
                <w:iCs/>
                <w:noProof/>
                <w:sz w:val="18"/>
                <w:szCs w:val="18"/>
              </w:rPr>
            </w:pPr>
            <w:r>
              <w:rPr>
                <w:i/>
                <w:iCs/>
                <w:noProof/>
                <w:sz w:val="18"/>
                <w:szCs w:val="18"/>
              </w:rPr>
              <w:t>mokėjimų</w:t>
            </w:r>
          </w:p>
        </w:tc>
        <w:tc>
          <w:tcPr>
            <w:tcW w:w="925"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1016"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−2 818,2</w:t>
            </w:r>
          </w:p>
        </w:tc>
        <w:tc>
          <w:tcPr>
            <w:tcW w:w="925"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noProof/>
                <w:sz w:val="18"/>
                <w:szCs w:val="18"/>
              </w:rPr>
            </w:pPr>
            <w:r>
              <w:rPr>
                <w:noProof/>
                <w:sz w:val="18"/>
                <w:szCs w:val="18"/>
              </w:rPr>
              <w:t>0,0</w:t>
            </w:r>
          </w:p>
        </w:tc>
        <w:tc>
          <w:tcPr>
            <w:tcW w:w="1016" w:type="dxa"/>
            <w:tcBorders>
              <w:top w:val="nil"/>
              <w:left w:val="nil"/>
              <w:bottom w:val="single" w:sz="4" w:space="0" w:color="auto"/>
              <w:right w:val="single" w:sz="4" w:space="0" w:color="auto"/>
            </w:tcBorders>
            <w:shd w:val="clear" w:color="auto" w:fill="auto"/>
            <w:noWrap/>
            <w:vAlign w:val="bottom"/>
            <w:hideMark/>
          </w:tcPr>
          <w:p>
            <w:pPr>
              <w:keepNext/>
              <w:keepLines/>
              <w:spacing w:before="0" w:after="0"/>
              <w:jc w:val="right"/>
              <w:rPr>
                <w:b/>
                <w:bCs/>
                <w:noProof/>
                <w:sz w:val="18"/>
                <w:szCs w:val="18"/>
              </w:rPr>
            </w:pPr>
            <w:r>
              <w:rPr>
                <w:b/>
                <w:bCs/>
                <w:noProof/>
                <w:sz w:val="18"/>
                <w:szCs w:val="18"/>
              </w:rPr>
              <w:t>−2 818,2</w:t>
            </w:r>
          </w:p>
        </w:tc>
      </w:tr>
    </w:tbl>
    <w:p>
      <w:pPr>
        <w:pStyle w:val="ManualHeading2"/>
        <w:rPr>
          <w:noProof/>
        </w:rPr>
      </w:pPr>
      <w:r>
        <w:rPr>
          <w:noProof/>
        </w:rPr>
        <w:t>3.6.</w:t>
      </w:r>
      <w:r>
        <w:rPr>
          <w:noProof/>
        </w:rPr>
        <w:tab/>
        <w:t>Bendroji įsipareigojimų marža (BĮM) augimui ir užimtumui, visų pirma jaunimo užimtumui, taip pat migracijos ir saugumo priemonėms</w:t>
      </w:r>
    </w:p>
    <w:p>
      <w:pPr>
        <w:pStyle w:val="Text1"/>
        <w:rPr>
          <w:noProof/>
        </w:rPr>
      </w:pPr>
      <w:r>
        <w:rPr>
          <w:noProof/>
        </w:rPr>
        <w:t>Pagal DFP reglamento su pakeitimais, padarytais Tarybos reglamentu (ES, Euratomas) Nr. 2017/1123, 14 straipsnį turimos DFP įsipareigojimų asignavimų viršutinių ribų nesiekiančios maržos sudaro bendrąją DFP įsipareigojimų maržą, kurią galima panaudoti viršijant DFP nurodytas 2016–2020 m. viršutines ribas, nustatytas politiniams tikslams, susijusiems su augimu ir užimtumu, visų pirma jaunimo užimtumu, taip pat migracijai ir saugumui.</w:t>
      </w:r>
    </w:p>
    <w:p>
      <w:pPr>
        <w:pStyle w:val="Text1"/>
        <w:rPr>
          <w:noProof/>
        </w:rPr>
      </w:pPr>
      <w:r>
        <w:rPr>
          <w:noProof/>
        </w:rPr>
        <w:t>Galutiniame 2019 m. biudžete likusi turima marža pagal įsipareigojimų asignavimų viršutinę ribą sudaro 1 291,1 mln. EUR. Į įsipareigojimų asignavimus, skirtus specialioms priemonėms (įskaitant BĮM ir nenumatytų atvejų rezervo naudojimą) neatsižvelgiama, nes jie įgyvendinti viršijant DFP viršutines ribas.</w:t>
      </w:r>
    </w:p>
    <w:p>
      <w:pPr>
        <w:pStyle w:val="Text1"/>
        <w:rPr>
          <w:noProof/>
        </w:rPr>
      </w:pPr>
      <w:r>
        <w:rPr>
          <w:noProof/>
        </w:rPr>
        <w:t>Remiantis DFP reglamento 6 straipsnio 2 dalimi, apskaičiuojant BĮM naudojamas 2 % metinis defliatorius. Iš 2019 m. likusios maržos suma, kurią bus galima panaudoti 2020 m., atitinka 1 316,9 mln. EUR sumą galiojančiomis kainomis. BĮM suma 2011 m. kainomis atitinka 1 101,9 mln. EUR.</w:t>
      </w:r>
    </w:p>
    <w:p>
      <w:pPr>
        <w:pStyle w:val="Text1"/>
        <w:rPr>
          <w:noProof/>
        </w:rPr>
      </w:pPr>
      <w:r>
        <w:rPr>
          <w:noProof/>
        </w:rPr>
        <w:t>Toliau pateikiamoje lentelėje išsamiai parodyta, kaip apskaičiuojama 2019 m. BĮM.</w:t>
      </w:r>
    </w:p>
    <w:tbl>
      <w:tblPr>
        <w:tblW w:w="5870" w:type="dxa"/>
        <w:jc w:val="center"/>
        <w:tblCellMar>
          <w:left w:w="70" w:type="dxa"/>
          <w:right w:w="70" w:type="dxa"/>
        </w:tblCellMar>
        <w:tblLook w:val="04A0" w:firstRow="1" w:lastRow="0" w:firstColumn="1" w:lastColumn="0" w:noHBand="0" w:noVBand="1"/>
      </w:tblPr>
      <w:tblGrid>
        <w:gridCol w:w="4794"/>
        <w:gridCol w:w="1076"/>
      </w:tblGrid>
      <w:tr>
        <w:trPr>
          <w:trHeight w:val="270"/>
          <w:jc w:val="center"/>
        </w:trPr>
        <w:tc>
          <w:tcPr>
            <w:tcW w:w="5870" w:type="dxa"/>
            <w:gridSpan w:val="2"/>
            <w:tcBorders>
              <w:top w:val="single" w:sz="8" w:space="0" w:color="auto"/>
              <w:left w:val="single" w:sz="8" w:space="0" w:color="auto"/>
              <w:bottom w:val="single" w:sz="8" w:space="0" w:color="auto"/>
              <w:right w:val="single" w:sz="8" w:space="0" w:color="000000"/>
            </w:tcBorders>
            <w:shd w:val="clear" w:color="auto" w:fill="auto"/>
            <w:hideMark/>
          </w:tcPr>
          <w:p>
            <w:pPr>
              <w:spacing w:before="0" w:after="0"/>
              <w:jc w:val="center"/>
              <w:rPr>
                <w:b/>
                <w:bCs/>
                <w:noProof/>
                <w:sz w:val="18"/>
                <w:szCs w:val="18"/>
              </w:rPr>
            </w:pPr>
            <w:r>
              <w:rPr>
                <w:b/>
                <w:bCs/>
                <w:noProof/>
                <w:sz w:val="18"/>
                <w:szCs w:val="18"/>
              </w:rPr>
              <w:t>2019 m. bendroji įsipareigojimų marža</w:t>
            </w:r>
          </w:p>
        </w:tc>
      </w:tr>
      <w:tr>
        <w:trPr>
          <w:trHeight w:val="270"/>
          <w:jc w:val="center"/>
        </w:trPr>
        <w:tc>
          <w:tcPr>
            <w:tcW w:w="5870" w:type="dxa"/>
            <w:gridSpan w:val="2"/>
            <w:tcBorders>
              <w:top w:val="nil"/>
              <w:left w:val="single" w:sz="8" w:space="0" w:color="auto"/>
              <w:bottom w:val="single" w:sz="8" w:space="0" w:color="auto"/>
              <w:right w:val="single" w:sz="8" w:space="0" w:color="auto"/>
            </w:tcBorders>
            <w:shd w:val="clear" w:color="auto" w:fill="auto"/>
            <w:hideMark/>
          </w:tcPr>
          <w:p>
            <w:pPr>
              <w:spacing w:before="0" w:after="0"/>
              <w:jc w:val="right"/>
              <w:rPr>
                <w:i/>
                <w:iCs/>
                <w:noProof/>
                <w:sz w:val="18"/>
                <w:szCs w:val="18"/>
              </w:rPr>
            </w:pPr>
            <w:r>
              <w:rPr>
                <w:b/>
                <w:bCs/>
                <w:noProof/>
                <w:sz w:val="18"/>
                <w:szCs w:val="18"/>
              </w:rPr>
              <w:t> </w:t>
            </w:r>
            <w:r>
              <w:rPr>
                <w:i/>
                <w:iCs/>
                <w:noProof/>
                <w:sz w:val="18"/>
                <w:szCs w:val="18"/>
              </w:rPr>
              <w:t>mln. EUR</w:t>
            </w:r>
          </w:p>
        </w:tc>
      </w:tr>
      <w:tr>
        <w:trPr>
          <w:trHeight w:val="270"/>
          <w:jc w:val="center"/>
        </w:trPr>
        <w:tc>
          <w:tcPr>
            <w:tcW w:w="4794" w:type="dxa"/>
            <w:tcBorders>
              <w:top w:val="nil"/>
              <w:left w:val="single" w:sz="8" w:space="0" w:color="auto"/>
              <w:bottom w:val="single" w:sz="8" w:space="0" w:color="auto"/>
              <w:right w:val="single" w:sz="8" w:space="0" w:color="auto"/>
            </w:tcBorders>
            <w:shd w:val="clear" w:color="auto" w:fill="auto"/>
            <w:hideMark/>
          </w:tcPr>
          <w:p>
            <w:pPr>
              <w:spacing w:before="0" w:after="0"/>
              <w:jc w:val="left"/>
              <w:rPr>
                <w:noProof/>
                <w:sz w:val="18"/>
                <w:szCs w:val="18"/>
              </w:rPr>
            </w:pPr>
            <w:r>
              <w:rPr>
                <w:noProof/>
                <w:sz w:val="18"/>
                <w:szCs w:val="18"/>
              </w:rPr>
              <w:t>2019 m. įsipareigojimų asignavimų viršutinė riba</w:t>
            </w:r>
          </w:p>
        </w:tc>
        <w:tc>
          <w:tcPr>
            <w:tcW w:w="1076" w:type="dxa"/>
            <w:tcBorders>
              <w:top w:val="nil"/>
              <w:left w:val="nil"/>
              <w:bottom w:val="single" w:sz="8" w:space="0" w:color="auto"/>
              <w:right w:val="single" w:sz="8" w:space="0" w:color="auto"/>
            </w:tcBorders>
            <w:shd w:val="clear" w:color="auto" w:fill="auto"/>
            <w:hideMark/>
          </w:tcPr>
          <w:p>
            <w:pPr>
              <w:spacing w:before="0" w:after="0"/>
              <w:jc w:val="right"/>
              <w:rPr>
                <w:noProof/>
                <w:sz w:val="18"/>
                <w:szCs w:val="18"/>
              </w:rPr>
            </w:pPr>
            <w:r>
              <w:rPr>
                <w:noProof/>
                <w:sz w:val="18"/>
                <w:szCs w:val="18"/>
              </w:rPr>
              <w:t>164 123,0</w:t>
            </w:r>
          </w:p>
        </w:tc>
      </w:tr>
      <w:tr>
        <w:trPr>
          <w:trHeight w:val="270"/>
          <w:jc w:val="center"/>
        </w:trPr>
        <w:tc>
          <w:tcPr>
            <w:tcW w:w="4794" w:type="dxa"/>
            <w:tcBorders>
              <w:top w:val="nil"/>
              <w:left w:val="single" w:sz="8" w:space="0" w:color="auto"/>
              <w:bottom w:val="single" w:sz="8" w:space="0" w:color="auto"/>
              <w:right w:val="single" w:sz="8" w:space="0" w:color="auto"/>
            </w:tcBorders>
            <w:shd w:val="clear" w:color="auto" w:fill="auto"/>
            <w:hideMark/>
          </w:tcPr>
          <w:p>
            <w:pPr>
              <w:spacing w:before="0" w:after="0"/>
              <w:jc w:val="left"/>
              <w:rPr>
                <w:noProof/>
                <w:sz w:val="18"/>
                <w:szCs w:val="18"/>
              </w:rPr>
            </w:pPr>
            <w:r>
              <w:rPr>
                <w:noProof/>
                <w:sz w:val="18"/>
                <w:szCs w:val="18"/>
              </w:rPr>
              <w:t>Iš viso patvirtinta 2019 m. biudžeto asignavimų</w:t>
            </w:r>
          </w:p>
        </w:tc>
        <w:tc>
          <w:tcPr>
            <w:tcW w:w="1076" w:type="dxa"/>
            <w:tcBorders>
              <w:top w:val="nil"/>
              <w:left w:val="nil"/>
              <w:bottom w:val="single" w:sz="8" w:space="0" w:color="auto"/>
              <w:right w:val="single" w:sz="8" w:space="0" w:color="auto"/>
            </w:tcBorders>
            <w:shd w:val="clear" w:color="auto" w:fill="auto"/>
            <w:hideMark/>
          </w:tcPr>
          <w:p>
            <w:pPr>
              <w:spacing w:before="0" w:after="0"/>
              <w:jc w:val="right"/>
              <w:rPr>
                <w:noProof/>
                <w:sz w:val="18"/>
                <w:szCs w:val="18"/>
              </w:rPr>
            </w:pPr>
            <w:r>
              <w:rPr>
                <w:noProof/>
                <w:sz w:val="18"/>
                <w:szCs w:val="18"/>
              </w:rPr>
              <w:t>166 189,2</w:t>
            </w:r>
          </w:p>
        </w:tc>
      </w:tr>
      <w:tr>
        <w:trPr>
          <w:trHeight w:val="270"/>
          <w:jc w:val="center"/>
        </w:trPr>
        <w:tc>
          <w:tcPr>
            <w:tcW w:w="4794" w:type="dxa"/>
            <w:tcBorders>
              <w:top w:val="nil"/>
              <w:left w:val="single" w:sz="8" w:space="0" w:color="auto"/>
              <w:bottom w:val="single" w:sz="8" w:space="0" w:color="auto"/>
              <w:right w:val="single" w:sz="8" w:space="0" w:color="auto"/>
            </w:tcBorders>
            <w:shd w:val="clear" w:color="auto" w:fill="auto"/>
            <w:hideMark/>
          </w:tcPr>
          <w:p>
            <w:pPr>
              <w:spacing w:before="0" w:after="0"/>
              <w:jc w:val="left"/>
              <w:rPr>
                <w:noProof/>
                <w:sz w:val="18"/>
                <w:szCs w:val="18"/>
              </w:rPr>
            </w:pPr>
            <w:r>
              <w:rPr>
                <w:noProof/>
                <w:sz w:val="18"/>
                <w:szCs w:val="18"/>
              </w:rPr>
              <w:t>iš jų: specialioms priemonėms:</w:t>
            </w:r>
          </w:p>
        </w:tc>
        <w:tc>
          <w:tcPr>
            <w:tcW w:w="1076" w:type="dxa"/>
            <w:tcBorders>
              <w:top w:val="nil"/>
              <w:left w:val="nil"/>
              <w:bottom w:val="single" w:sz="8" w:space="0" w:color="auto"/>
              <w:right w:val="single" w:sz="8" w:space="0" w:color="auto"/>
            </w:tcBorders>
            <w:shd w:val="clear" w:color="auto" w:fill="auto"/>
            <w:hideMark/>
          </w:tcPr>
          <w:p>
            <w:pPr>
              <w:spacing w:before="0" w:after="0"/>
              <w:jc w:val="right"/>
              <w:rPr>
                <w:noProof/>
                <w:sz w:val="18"/>
                <w:szCs w:val="18"/>
              </w:rPr>
            </w:pPr>
            <w:r>
              <w:rPr>
                <w:noProof/>
                <w:sz w:val="18"/>
                <w:szCs w:val="18"/>
              </w:rPr>
              <w:t>3 357,3</w:t>
            </w:r>
          </w:p>
        </w:tc>
      </w:tr>
      <w:tr>
        <w:trPr>
          <w:trHeight w:val="255"/>
          <w:jc w:val="center"/>
        </w:trPr>
        <w:tc>
          <w:tcPr>
            <w:tcW w:w="4794" w:type="dxa"/>
            <w:tcBorders>
              <w:top w:val="nil"/>
              <w:left w:val="single" w:sz="8" w:space="0" w:color="auto"/>
              <w:bottom w:val="nil"/>
              <w:right w:val="single" w:sz="8" w:space="0" w:color="auto"/>
            </w:tcBorders>
            <w:shd w:val="clear" w:color="auto" w:fill="auto"/>
            <w:vAlign w:val="center"/>
            <w:hideMark/>
          </w:tcPr>
          <w:p>
            <w:pPr>
              <w:spacing w:before="0" w:after="0"/>
              <w:ind w:firstLineChars="100" w:firstLine="180"/>
              <w:jc w:val="left"/>
              <w:rPr>
                <w:noProof/>
                <w:sz w:val="18"/>
                <w:szCs w:val="18"/>
              </w:rPr>
            </w:pPr>
            <w:r>
              <w:rPr>
                <w:noProof/>
                <w:sz w:val="18"/>
                <w:szCs w:val="18"/>
              </w:rPr>
              <w:t>Europos Sąjungos solidarumo fondui</w:t>
            </w:r>
          </w:p>
        </w:tc>
        <w:tc>
          <w:tcPr>
            <w:tcW w:w="1076" w:type="dxa"/>
            <w:tcBorders>
              <w:top w:val="nil"/>
              <w:left w:val="nil"/>
              <w:bottom w:val="nil"/>
              <w:right w:val="single" w:sz="8" w:space="0" w:color="auto"/>
            </w:tcBorders>
            <w:shd w:val="clear" w:color="auto" w:fill="auto"/>
            <w:hideMark/>
          </w:tcPr>
          <w:p>
            <w:pPr>
              <w:spacing w:before="0" w:after="0"/>
              <w:jc w:val="right"/>
              <w:rPr>
                <w:noProof/>
                <w:sz w:val="18"/>
                <w:szCs w:val="18"/>
              </w:rPr>
            </w:pPr>
            <w:r>
              <w:rPr>
                <w:noProof/>
                <w:sz w:val="18"/>
                <w:szCs w:val="18"/>
              </w:rPr>
              <w:t>343,6</w:t>
            </w:r>
          </w:p>
        </w:tc>
      </w:tr>
      <w:tr>
        <w:trPr>
          <w:trHeight w:val="255"/>
          <w:jc w:val="center"/>
        </w:trPr>
        <w:tc>
          <w:tcPr>
            <w:tcW w:w="4794" w:type="dxa"/>
            <w:tcBorders>
              <w:top w:val="nil"/>
              <w:left w:val="single" w:sz="8" w:space="0" w:color="auto"/>
              <w:bottom w:val="nil"/>
              <w:right w:val="single" w:sz="8" w:space="0" w:color="auto"/>
            </w:tcBorders>
            <w:shd w:val="clear" w:color="auto" w:fill="auto"/>
            <w:vAlign w:val="center"/>
            <w:hideMark/>
          </w:tcPr>
          <w:p>
            <w:pPr>
              <w:spacing w:before="0" w:after="0"/>
              <w:ind w:firstLineChars="100" w:firstLine="180"/>
              <w:jc w:val="left"/>
              <w:rPr>
                <w:noProof/>
                <w:sz w:val="18"/>
                <w:szCs w:val="18"/>
              </w:rPr>
            </w:pPr>
            <w:r>
              <w:rPr>
                <w:noProof/>
                <w:sz w:val="18"/>
                <w:szCs w:val="18"/>
              </w:rPr>
              <w:t>Europos prisitaikymo prie globalizacijos padarinių fondui</w:t>
            </w:r>
          </w:p>
        </w:tc>
        <w:tc>
          <w:tcPr>
            <w:tcW w:w="1076" w:type="dxa"/>
            <w:tcBorders>
              <w:top w:val="nil"/>
              <w:left w:val="nil"/>
              <w:bottom w:val="nil"/>
              <w:right w:val="single" w:sz="8" w:space="0" w:color="auto"/>
            </w:tcBorders>
            <w:shd w:val="clear" w:color="auto" w:fill="auto"/>
            <w:hideMark/>
          </w:tcPr>
          <w:p>
            <w:pPr>
              <w:spacing w:before="0" w:after="0"/>
              <w:jc w:val="right"/>
              <w:rPr>
                <w:noProof/>
                <w:sz w:val="18"/>
                <w:szCs w:val="18"/>
              </w:rPr>
            </w:pPr>
            <w:r>
              <w:rPr>
                <w:noProof/>
                <w:sz w:val="18"/>
                <w:szCs w:val="18"/>
              </w:rPr>
              <w:t>175,7</w:t>
            </w:r>
          </w:p>
        </w:tc>
      </w:tr>
      <w:tr>
        <w:trPr>
          <w:trHeight w:val="255"/>
          <w:jc w:val="center"/>
        </w:trPr>
        <w:tc>
          <w:tcPr>
            <w:tcW w:w="4794" w:type="dxa"/>
            <w:tcBorders>
              <w:top w:val="nil"/>
              <w:left w:val="single" w:sz="8" w:space="0" w:color="auto"/>
              <w:bottom w:val="nil"/>
              <w:right w:val="single" w:sz="8" w:space="0" w:color="auto"/>
            </w:tcBorders>
            <w:shd w:val="clear" w:color="auto" w:fill="auto"/>
            <w:vAlign w:val="center"/>
            <w:hideMark/>
          </w:tcPr>
          <w:p>
            <w:pPr>
              <w:spacing w:before="0" w:after="0"/>
              <w:ind w:firstLineChars="100" w:firstLine="180"/>
              <w:jc w:val="left"/>
              <w:rPr>
                <w:noProof/>
                <w:sz w:val="18"/>
                <w:szCs w:val="18"/>
              </w:rPr>
            </w:pPr>
            <w:r>
              <w:rPr>
                <w:noProof/>
                <w:sz w:val="18"/>
                <w:szCs w:val="18"/>
              </w:rPr>
              <w:t>Neatidėliotinos pagalbos rezervui</w:t>
            </w:r>
          </w:p>
        </w:tc>
        <w:tc>
          <w:tcPr>
            <w:tcW w:w="1076" w:type="dxa"/>
            <w:tcBorders>
              <w:top w:val="nil"/>
              <w:left w:val="nil"/>
              <w:bottom w:val="nil"/>
              <w:right w:val="single" w:sz="8" w:space="0" w:color="auto"/>
            </w:tcBorders>
            <w:shd w:val="clear" w:color="auto" w:fill="auto"/>
            <w:hideMark/>
          </w:tcPr>
          <w:p>
            <w:pPr>
              <w:spacing w:before="0" w:after="0"/>
              <w:jc w:val="right"/>
              <w:rPr>
                <w:noProof/>
                <w:sz w:val="18"/>
                <w:szCs w:val="18"/>
              </w:rPr>
            </w:pPr>
            <w:r>
              <w:rPr>
                <w:noProof/>
                <w:sz w:val="18"/>
                <w:szCs w:val="18"/>
              </w:rPr>
              <w:t>351,5</w:t>
            </w:r>
          </w:p>
        </w:tc>
      </w:tr>
      <w:tr>
        <w:trPr>
          <w:trHeight w:val="255"/>
          <w:jc w:val="center"/>
        </w:trPr>
        <w:tc>
          <w:tcPr>
            <w:tcW w:w="4794" w:type="dxa"/>
            <w:tcBorders>
              <w:top w:val="nil"/>
              <w:left w:val="single" w:sz="8" w:space="0" w:color="auto"/>
              <w:bottom w:val="nil"/>
              <w:right w:val="single" w:sz="8" w:space="0" w:color="auto"/>
            </w:tcBorders>
            <w:shd w:val="clear" w:color="auto" w:fill="auto"/>
            <w:vAlign w:val="center"/>
            <w:hideMark/>
          </w:tcPr>
          <w:p>
            <w:pPr>
              <w:spacing w:before="0" w:after="0"/>
              <w:ind w:firstLineChars="100" w:firstLine="180"/>
              <w:jc w:val="left"/>
              <w:rPr>
                <w:noProof/>
                <w:sz w:val="18"/>
                <w:szCs w:val="18"/>
              </w:rPr>
            </w:pPr>
            <w:r>
              <w:rPr>
                <w:noProof/>
                <w:sz w:val="18"/>
                <w:szCs w:val="18"/>
              </w:rPr>
              <w:t>Lankstumo priemonei</w:t>
            </w:r>
          </w:p>
        </w:tc>
        <w:tc>
          <w:tcPr>
            <w:tcW w:w="1076" w:type="dxa"/>
            <w:tcBorders>
              <w:top w:val="nil"/>
              <w:left w:val="nil"/>
              <w:bottom w:val="nil"/>
              <w:right w:val="single" w:sz="8" w:space="0" w:color="auto"/>
            </w:tcBorders>
            <w:shd w:val="clear" w:color="auto" w:fill="auto"/>
            <w:hideMark/>
          </w:tcPr>
          <w:p>
            <w:pPr>
              <w:spacing w:before="0" w:after="0"/>
              <w:jc w:val="right"/>
              <w:rPr>
                <w:noProof/>
                <w:sz w:val="18"/>
                <w:szCs w:val="18"/>
              </w:rPr>
            </w:pPr>
            <w:r>
              <w:rPr>
                <w:noProof/>
                <w:sz w:val="18"/>
                <w:szCs w:val="18"/>
              </w:rPr>
              <w:t>1 164,3</w:t>
            </w:r>
          </w:p>
        </w:tc>
      </w:tr>
      <w:tr>
        <w:trPr>
          <w:trHeight w:val="270"/>
          <w:jc w:val="center"/>
        </w:trPr>
        <w:tc>
          <w:tcPr>
            <w:tcW w:w="4794" w:type="dxa"/>
            <w:tcBorders>
              <w:top w:val="nil"/>
              <w:left w:val="single" w:sz="8" w:space="0" w:color="auto"/>
              <w:bottom w:val="nil"/>
              <w:right w:val="single" w:sz="8" w:space="0" w:color="auto"/>
            </w:tcBorders>
            <w:shd w:val="clear" w:color="auto" w:fill="auto"/>
            <w:vAlign w:val="center"/>
            <w:hideMark/>
          </w:tcPr>
          <w:p>
            <w:pPr>
              <w:spacing w:before="0" w:after="0"/>
              <w:ind w:firstLineChars="100" w:firstLine="180"/>
              <w:jc w:val="left"/>
              <w:rPr>
                <w:noProof/>
                <w:sz w:val="18"/>
                <w:szCs w:val="18"/>
              </w:rPr>
            </w:pPr>
            <w:r>
              <w:rPr>
                <w:noProof/>
                <w:sz w:val="18"/>
                <w:szCs w:val="18"/>
              </w:rPr>
              <w:t>Nenumatytų atvejų rezervui</w:t>
            </w:r>
          </w:p>
        </w:tc>
        <w:tc>
          <w:tcPr>
            <w:tcW w:w="1076" w:type="dxa"/>
            <w:tcBorders>
              <w:top w:val="nil"/>
              <w:left w:val="nil"/>
              <w:bottom w:val="nil"/>
              <w:right w:val="single" w:sz="8" w:space="0" w:color="auto"/>
            </w:tcBorders>
            <w:shd w:val="clear" w:color="auto" w:fill="auto"/>
            <w:hideMark/>
          </w:tcPr>
          <w:p>
            <w:pPr>
              <w:spacing w:before="0" w:after="0"/>
              <w:jc w:val="right"/>
              <w:rPr>
                <w:noProof/>
                <w:sz w:val="18"/>
                <w:szCs w:val="18"/>
              </w:rPr>
            </w:pPr>
            <w:r>
              <w:rPr>
                <w:noProof/>
                <w:sz w:val="18"/>
                <w:szCs w:val="18"/>
              </w:rPr>
              <w:t>−253,9</w:t>
            </w:r>
          </w:p>
        </w:tc>
      </w:tr>
      <w:tr>
        <w:trPr>
          <w:trHeight w:val="270"/>
          <w:jc w:val="center"/>
        </w:trPr>
        <w:tc>
          <w:tcPr>
            <w:tcW w:w="4794" w:type="dxa"/>
            <w:tcBorders>
              <w:top w:val="nil"/>
              <w:left w:val="single" w:sz="8" w:space="0" w:color="auto"/>
              <w:bottom w:val="nil"/>
              <w:right w:val="single" w:sz="8" w:space="0" w:color="auto"/>
            </w:tcBorders>
            <w:shd w:val="clear" w:color="auto" w:fill="auto"/>
            <w:hideMark/>
          </w:tcPr>
          <w:p>
            <w:pPr>
              <w:spacing w:before="0" w:after="0"/>
              <w:ind w:firstLineChars="100" w:firstLine="180"/>
              <w:jc w:val="left"/>
              <w:rPr>
                <w:noProof/>
                <w:sz w:val="18"/>
                <w:szCs w:val="18"/>
              </w:rPr>
            </w:pPr>
            <w:r>
              <w:rPr>
                <w:noProof/>
                <w:sz w:val="18"/>
                <w:szCs w:val="18"/>
              </w:rPr>
              <w:t>2019 m. mobilizuota BĮM suma</w:t>
            </w:r>
          </w:p>
        </w:tc>
        <w:tc>
          <w:tcPr>
            <w:tcW w:w="1076" w:type="dxa"/>
            <w:tcBorders>
              <w:top w:val="nil"/>
              <w:left w:val="nil"/>
              <w:bottom w:val="nil"/>
              <w:right w:val="single" w:sz="8" w:space="0" w:color="auto"/>
            </w:tcBorders>
            <w:shd w:val="clear" w:color="auto" w:fill="auto"/>
            <w:hideMark/>
          </w:tcPr>
          <w:p>
            <w:pPr>
              <w:spacing w:before="0" w:after="0"/>
              <w:jc w:val="right"/>
              <w:rPr>
                <w:noProof/>
                <w:sz w:val="18"/>
                <w:szCs w:val="18"/>
              </w:rPr>
            </w:pPr>
            <w:r>
              <w:rPr>
                <w:noProof/>
                <w:sz w:val="18"/>
                <w:szCs w:val="18"/>
              </w:rPr>
              <w:t>1 576,0</w:t>
            </w:r>
          </w:p>
        </w:tc>
      </w:tr>
      <w:tr>
        <w:trPr>
          <w:trHeight w:val="270"/>
          <w:jc w:val="center"/>
        </w:trPr>
        <w:tc>
          <w:tcPr>
            <w:tcW w:w="479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left"/>
              <w:rPr>
                <w:b/>
                <w:bCs/>
                <w:noProof/>
                <w:sz w:val="18"/>
                <w:szCs w:val="18"/>
              </w:rPr>
            </w:pPr>
            <w:r>
              <w:rPr>
                <w:b/>
                <w:bCs/>
                <w:noProof/>
                <w:sz w:val="18"/>
                <w:szCs w:val="18"/>
              </w:rPr>
              <w:t>2019 m. bendroji įsipareigojimų marža (galiojančiomis kainomis)</w:t>
            </w:r>
          </w:p>
        </w:tc>
        <w:tc>
          <w:tcPr>
            <w:tcW w:w="1076" w:type="dxa"/>
            <w:tcBorders>
              <w:top w:val="single" w:sz="8" w:space="0" w:color="auto"/>
              <w:left w:val="nil"/>
              <w:bottom w:val="single" w:sz="8" w:space="0" w:color="auto"/>
              <w:right w:val="single" w:sz="8" w:space="0" w:color="auto"/>
            </w:tcBorders>
            <w:shd w:val="clear" w:color="auto" w:fill="auto"/>
            <w:hideMark/>
          </w:tcPr>
          <w:p>
            <w:pPr>
              <w:spacing w:before="0" w:after="0"/>
              <w:jc w:val="right"/>
              <w:rPr>
                <w:b/>
                <w:bCs/>
                <w:noProof/>
                <w:sz w:val="18"/>
                <w:szCs w:val="18"/>
              </w:rPr>
            </w:pPr>
            <w:r>
              <w:rPr>
                <w:b/>
                <w:bCs/>
                <w:noProof/>
                <w:sz w:val="18"/>
                <w:szCs w:val="18"/>
              </w:rPr>
              <w:t>1 291,1</w:t>
            </w:r>
          </w:p>
        </w:tc>
      </w:tr>
      <w:tr>
        <w:trPr>
          <w:trHeight w:val="270"/>
          <w:jc w:val="center"/>
        </w:trPr>
        <w:tc>
          <w:tcPr>
            <w:tcW w:w="4794" w:type="dxa"/>
            <w:tcBorders>
              <w:top w:val="nil"/>
              <w:left w:val="single" w:sz="8" w:space="0" w:color="auto"/>
              <w:bottom w:val="single" w:sz="8" w:space="0" w:color="auto"/>
              <w:right w:val="single" w:sz="8" w:space="0" w:color="auto"/>
            </w:tcBorders>
            <w:shd w:val="clear" w:color="auto" w:fill="auto"/>
            <w:hideMark/>
          </w:tcPr>
          <w:p>
            <w:pPr>
              <w:spacing w:before="0" w:after="0"/>
              <w:jc w:val="left"/>
              <w:rPr>
                <w:i/>
                <w:iCs/>
                <w:noProof/>
                <w:sz w:val="18"/>
                <w:szCs w:val="18"/>
              </w:rPr>
            </w:pPr>
            <w:r>
              <w:rPr>
                <w:i/>
                <w:iCs/>
                <w:noProof/>
                <w:sz w:val="18"/>
                <w:szCs w:val="18"/>
              </w:rPr>
              <w:t>2019 m. bendroji įsipareigojimų marža (2011 m. kainomis)</w:t>
            </w:r>
          </w:p>
        </w:tc>
        <w:tc>
          <w:tcPr>
            <w:tcW w:w="1076" w:type="dxa"/>
            <w:tcBorders>
              <w:top w:val="nil"/>
              <w:left w:val="nil"/>
              <w:bottom w:val="single" w:sz="8" w:space="0" w:color="auto"/>
              <w:right w:val="single" w:sz="8" w:space="0" w:color="auto"/>
            </w:tcBorders>
            <w:shd w:val="clear" w:color="auto" w:fill="auto"/>
            <w:hideMark/>
          </w:tcPr>
          <w:p>
            <w:pPr>
              <w:spacing w:before="0" w:after="0"/>
              <w:jc w:val="right"/>
              <w:rPr>
                <w:i/>
                <w:iCs/>
                <w:noProof/>
                <w:sz w:val="18"/>
                <w:szCs w:val="18"/>
              </w:rPr>
            </w:pPr>
            <w:r>
              <w:rPr>
                <w:i/>
                <w:iCs/>
                <w:noProof/>
                <w:sz w:val="18"/>
                <w:szCs w:val="18"/>
              </w:rPr>
              <w:t>1 101,9</w:t>
            </w:r>
          </w:p>
        </w:tc>
      </w:tr>
      <w:tr>
        <w:trPr>
          <w:trHeight w:val="270"/>
          <w:jc w:val="center"/>
        </w:trPr>
        <w:tc>
          <w:tcPr>
            <w:tcW w:w="4794" w:type="dxa"/>
            <w:tcBorders>
              <w:top w:val="nil"/>
              <w:left w:val="single" w:sz="8" w:space="0" w:color="auto"/>
              <w:bottom w:val="single" w:sz="8" w:space="0" w:color="auto"/>
              <w:right w:val="single" w:sz="8" w:space="0" w:color="auto"/>
            </w:tcBorders>
            <w:shd w:val="clear" w:color="auto" w:fill="auto"/>
            <w:hideMark/>
          </w:tcPr>
          <w:p>
            <w:pPr>
              <w:spacing w:before="0" w:after="0"/>
              <w:jc w:val="left"/>
              <w:rPr>
                <w:b/>
                <w:bCs/>
                <w:noProof/>
                <w:sz w:val="18"/>
                <w:szCs w:val="18"/>
              </w:rPr>
            </w:pPr>
            <w:r>
              <w:rPr>
                <w:b/>
                <w:bCs/>
                <w:noProof/>
                <w:sz w:val="18"/>
                <w:szCs w:val="18"/>
              </w:rPr>
              <w:t>2020 m. turima 2019 m. BĮM (galiojančiomis kainomis)</w:t>
            </w:r>
          </w:p>
        </w:tc>
        <w:tc>
          <w:tcPr>
            <w:tcW w:w="1076" w:type="dxa"/>
            <w:tcBorders>
              <w:top w:val="nil"/>
              <w:left w:val="nil"/>
              <w:bottom w:val="single" w:sz="8" w:space="0" w:color="auto"/>
              <w:right w:val="single" w:sz="8" w:space="0" w:color="auto"/>
            </w:tcBorders>
            <w:shd w:val="clear" w:color="auto" w:fill="auto"/>
            <w:hideMark/>
          </w:tcPr>
          <w:p>
            <w:pPr>
              <w:spacing w:before="0" w:after="0"/>
              <w:jc w:val="right"/>
              <w:rPr>
                <w:b/>
                <w:bCs/>
                <w:noProof/>
                <w:sz w:val="18"/>
                <w:szCs w:val="18"/>
              </w:rPr>
            </w:pPr>
            <w:r>
              <w:rPr>
                <w:b/>
                <w:bCs/>
                <w:noProof/>
                <w:sz w:val="18"/>
                <w:szCs w:val="18"/>
              </w:rPr>
              <w:t>1 316,9</w:t>
            </w:r>
          </w:p>
        </w:tc>
      </w:tr>
    </w:tbl>
    <w:p>
      <w:pPr>
        <w:pStyle w:val="Text1"/>
        <w:rPr>
          <w:noProof/>
        </w:rPr>
      </w:pPr>
      <w:r>
        <w:rPr>
          <w:noProof/>
        </w:rPr>
        <w:t>Šiuo metu 2018 m. BĮM dalis (1 075,5 mln. EUR 2020 m. kainomis) yra likusi nepanaudota. Todėl bendra turima 2020 m. BĮM yra 2 392,4 mln. EUR (2020 m. kainomis).</w:t>
      </w:r>
    </w:p>
    <w:p>
      <w:pPr>
        <w:pStyle w:val="Text1"/>
        <w:rPr>
          <w:noProof/>
        </w:rPr>
      </w:pPr>
      <w:r>
        <w:rPr>
          <w:noProof/>
        </w:rPr>
        <w:t>Toliau pateikiamoje lentelėje išsamiai parodyta, kokia turima ir kiek nuo 2014 m. panaudojama BĮM.</w:t>
      </w:r>
    </w:p>
    <w:tbl>
      <w:tblPr>
        <w:tblW w:w="9497" w:type="dxa"/>
        <w:tblInd w:w="70" w:type="dxa"/>
        <w:tblCellMar>
          <w:left w:w="70" w:type="dxa"/>
          <w:right w:w="70" w:type="dxa"/>
        </w:tblCellMar>
        <w:tblLook w:val="04A0" w:firstRow="1" w:lastRow="0" w:firstColumn="1" w:lastColumn="0" w:noHBand="0" w:noVBand="1"/>
      </w:tblPr>
      <w:tblGrid>
        <w:gridCol w:w="3544"/>
        <w:gridCol w:w="850"/>
        <w:gridCol w:w="851"/>
        <w:gridCol w:w="850"/>
        <w:gridCol w:w="851"/>
        <w:gridCol w:w="850"/>
        <w:gridCol w:w="851"/>
        <w:gridCol w:w="850"/>
      </w:tblGrid>
      <w:tr>
        <w:trPr>
          <w:trHeight w:val="270"/>
        </w:trPr>
        <w:tc>
          <w:tcPr>
            <w:tcW w:w="3544" w:type="dxa"/>
            <w:tcBorders>
              <w:top w:val="nil"/>
              <w:left w:val="nil"/>
              <w:bottom w:val="single" w:sz="8" w:space="0" w:color="auto"/>
              <w:right w:val="single" w:sz="8" w:space="0" w:color="000000"/>
            </w:tcBorders>
            <w:shd w:val="clear" w:color="auto" w:fill="auto"/>
            <w:noWrap/>
            <w:vAlign w:val="bottom"/>
            <w:hideMark/>
          </w:tcPr>
          <w:p>
            <w:pPr>
              <w:spacing w:before="0" w:after="0"/>
              <w:jc w:val="center"/>
              <w:rPr>
                <w:noProof/>
                <w:color w:val="000000"/>
                <w:sz w:val="18"/>
                <w:szCs w:val="18"/>
              </w:rPr>
            </w:pPr>
            <w:r>
              <w:rPr>
                <w:noProof/>
                <w:sz w:val="18"/>
                <w:szCs w:val="18"/>
              </w:rPr>
              <w:t> </w:t>
            </w:r>
          </w:p>
        </w:tc>
        <w:tc>
          <w:tcPr>
            <w:tcW w:w="850" w:type="dxa"/>
            <w:tcBorders>
              <w:top w:val="single" w:sz="8" w:space="0" w:color="auto"/>
              <w:left w:val="nil"/>
              <w:bottom w:val="single" w:sz="8" w:space="0" w:color="auto"/>
              <w:right w:val="single" w:sz="4" w:space="0" w:color="000000"/>
            </w:tcBorders>
            <w:shd w:val="clear" w:color="auto" w:fill="auto"/>
            <w:vAlign w:val="center"/>
            <w:hideMark/>
          </w:tcPr>
          <w:p>
            <w:pPr>
              <w:spacing w:before="0" w:after="0"/>
              <w:jc w:val="center"/>
              <w:rPr>
                <w:b/>
                <w:bCs/>
                <w:noProof/>
                <w:sz w:val="18"/>
                <w:szCs w:val="18"/>
              </w:rPr>
            </w:pPr>
            <w:r>
              <w:rPr>
                <w:b/>
                <w:bCs/>
                <w:noProof/>
                <w:sz w:val="18"/>
                <w:szCs w:val="18"/>
              </w:rPr>
              <w:t>2014</w:t>
            </w:r>
          </w:p>
        </w:tc>
        <w:tc>
          <w:tcPr>
            <w:tcW w:w="851" w:type="dxa"/>
            <w:tcBorders>
              <w:top w:val="single" w:sz="8" w:space="0" w:color="auto"/>
              <w:left w:val="single" w:sz="8" w:space="0" w:color="000000"/>
              <w:bottom w:val="single" w:sz="8" w:space="0" w:color="auto"/>
              <w:right w:val="single" w:sz="4" w:space="0" w:color="000000"/>
            </w:tcBorders>
            <w:shd w:val="clear" w:color="auto" w:fill="auto"/>
            <w:vAlign w:val="center"/>
            <w:hideMark/>
          </w:tcPr>
          <w:p>
            <w:pPr>
              <w:spacing w:before="0" w:after="0"/>
              <w:jc w:val="center"/>
              <w:rPr>
                <w:b/>
                <w:bCs/>
                <w:noProof/>
                <w:sz w:val="18"/>
                <w:szCs w:val="18"/>
              </w:rPr>
            </w:pPr>
            <w:r>
              <w:rPr>
                <w:b/>
                <w:bCs/>
                <w:noProof/>
                <w:sz w:val="18"/>
                <w:szCs w:val="18"/>
              </w:rPr>
              <w:t>2015</w:t>
            </w:r>
          </w:p>
        </w:tc>
        <w:tc>
          <w:tcPr>
            <w:tcW w:w="850" w:type="dxa"/>
            <w:tcBorders>
              <w:top w:val="single" w:sz="8" w:space="0" w:color="auto"/>
              <w:left w:val="single" w:sz="8" w:space="0" w:color="000000"/>
              <w:bottom w:val="single" w:sz="8" w:space="0" w:color="auto"/>
              <w:right w:val="single" w:sz="4" w:space="0" w:color="000000"/>
            </w:tcBorders>
            <w:shd w:val="clear" w:color="auto" w:fill="auto"/>
            <w:vAlign w:val="center"/>
            <w:hideMark/>
          </w:tcPr>
          <w:p>
            <w:pPr>
              <w:spacing w:before="0" w:after="0"/>
              <w:jc w:val="center"/>
              <w:rPr>
                <w:b/>
                <w:bCs/>
                <w:noProof/>
                <w:sz w:val="18"/>
                <w:szCs w:val="18"/>
              </w:rPr>
            </w:pPr>
            <w:r>
              <w:rPr>
                <w:b/>
                <w:bCs/>
                <w:noProof/>
                <w:sz w:val="18"/>
                <w:szCs w:val="18"/>
              </w:rPr>
              <w:t>2016</w:t>
            </w:r>
          </w:p>
        </w:tc>
        <w:tc>
          <w:tcPr>
            <w:tcW w:w="851" w:type="dxa"/>
            <w:tcBorders>
              <w:top w:val="single" w:sz="8" w:space="0" w:color="auto"/>
              <w:left w:val="single" w:sz="8" w:space="0" w:color="000000"/>
              <w:bottom w:val="single" w:sz="8" w:space="0" w:color="auto"/>
              <w:right w:val="single" w:sz="4" w:space="0" w:color="000000"/>
            </w:tcBorders>
            <w:shd w:val="clear" w:color="auto" w:fill="auto"/>
            <w:vAlign w:val="center"/>
            <w:hideMark/>
          </w:tcPr>
          <w:p>
            <w:pPr>
              <w:spacing w:before="0" w:after="0"/>
              <w:jc w:val="center"/>
              <w:rPr>
                <w:b/>
                <w:bCs/>
                <w:noProof/>
                <w:sz w:val="18"/>
                <w:szCs w:val="18"/>
              </w:rPr>
            </w:pPr>
            <w:r>
              <w:rPr>
                <w:b/>
                <w:bCs/>
                <w:noProof/>
                <w:sz w:val="18"/>
                <w:szCs w:val="18"/>
              </w:rPr>
              <w:t>2017</w:t>
            </w:r>
          </w:p>
        </w:tc>
        <w:tc>
          <w:tcPr>
            <w:tcW w:w="850" w:type="dxa"/>
            <w:tcBorders>
              <w:top w:val="single" w:sz="8" w:space="0" w:color="auto"/>
              <w:left w:val="single" w:sz="8" w:space="0" w:color="000000"/>
              <w:bottom w:val="single" w:sz="8" w:space="0" w:color="auto"/>
              <w:right w:val="nil"/>
            </w:tcBorders>
            <w:shd w:val="clear" w:color="auto" w:fill="auto"/>
            <w:vAlign w:val="center"/>
            <w:hideMark/>
          </w:tcPr>
          <w:p>
            <w:pPr>
              <w:spacing w:before="0" w:after="0"/>
              <w:jc w:val="center"/>
              <w:rPr>
                <w:b/>
                <w:bCs/>
                <w:noProof/>
                <w:sz w:val="18"/>
                <w:szCs w:val="18"/>
              </w:rPr>
            </w:pPr>
            <w:r>
              <w:rPr>
                <w:b/>
                <w:bCs/>
                <w:noProof/>
                <w:sz w:val="18"/>
                <w:szCs w:val="18"/>
              </w:rPr>
              <w:t>2018</w:t>
            </w:r>
          </w:p>
        </w:tc>
        <w:tc>
          <w:tcPr>
            <w:tcW w:w="851" w:type="dxa"/>
            <w:tcBorders>
              <w:top w:val="single" w:sz="8" w:space="0" w:color="auto"/>
              <w:left w:val="single" w:sz="8" w:space="0" w:color="auto"/>
              <w:bottom w:val="single" w:sz="8" w:space="0" w:color="auto"/>
              <w:right w:val="nil"/>
            </w:tcBorders>
            <w:shd w:val="clear" w:color="auto" w:fill="auto"/>
            <w:vAlign w:val="center"/>
            <w:hideMark/>
          </w:tcPr>
          <w:p>
            <w:pPr>
              <w:spacing w:before="0" w:after="0"/>
              <w:jc w:val="center"/>
              <w:rPr>
                <w:b/>
                <w:bCs/>
                <w:noProof/>
                <w:sz w:val="18"/>
                <w:szCs w:val="18"/>
              </w:rPr>
            </w:pPr>
            <w:r>
              <w:rPr>
                <w:b/>
                <w:bCs/>
                <w:noProof/>
                <w:sz w:val="18"/>
                <w:szCs w:val="18"/>
              </w:rPr>
              <w:t>2019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b/>
                <w:bCs/>
                <w:noProof/>
                <w:sz w:val="18"/>
                <w:szCs w:val="18"/>
              </w:rPr>
            </w:pPr>
            <w:r>
              <w:rPr>
                <w:b/>
                <w:bCs/>
                <w:noProof/>
                <w:sz w:val="18"/>
                <w:szCs w:val="18"/>
              </w:rPr>
              <w:t>2020</w:t>
            </w:r>
          </w:p>
        </w:tc>
      </w:tr>
      <w:tr>
        <w:trPr>
          <w:trHeight w:val="270"/>
        </w:trPr>
        <w:tc>
          <w:tcPr>
            <w:tcW w:w="354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pPr>
              <w:spacing w:before="0" w:after="0"/>
              <w:jc w:val="center"/>
              <w:rPr>
                <w:noProof/>
                <w:color w:val="000000"/>
                <w:sz w:val="18"/>
                <w:szCs w:val="18"/>
              </w:rPr>
            </w:pPr>
            <w:r>
              <w:rPr>
                <w:noProof/>
                <w:sz w:val="18"/>
                <w:szCs w:val="18"/>
              </w:rPr>
              <w:t>Metų pabaigoje galima įsipareigojimų marža (patvirtinta per metinį techninį patikslinimą)</w:t>
            </w:r>
          </w:p>
        </w:tc>
        <w:tc>
          <w:tcPr>
            <w:tcW w:w="850" w:type="dxa"/>
            <w:tcBorders>
              <w:top w:val="nil"/>
              <w:left w:val="nil"/>
              <w:bottom w:val="single" w:sz="8" w:space="0" w:color="auto"/>
              <w:right w:val="single" w:sz="4" w:space="0" w:color="000000"/>
            </w:tcBorders>
            <w:shd w:val="clear" w:color="auto" w:fill="auto"/>
            <w:vAlign w:val="center"/>
            <w:hideMark/>
          </w:tcPr>
          <w:p>
            <w:pPr>
              <w:spacing w:before="0" w:after="0"/>
              <w:jc w:val="right"/>
              <w:rPr>
                <w:noProof/>
                <w:sz w:val="18"/>
                <w:szCs w:val="18"/>
              </w:rPr>
            </w:pPr>
            <w:r>
              <w:rPr>
                <w:noProof/>
                <w:sz w:val="18"/>
                <w:szCs w:val="18"/>
              </w:rPr>
              <w:t>521,9</w:t>
            </w:r>
          </w:p>
        </w:tc>
        <w:tc>
          <w:tcPr>
            <w:tcW w:w="851"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noProof/>
                <w:sz w:val="18"/>
                <w:szCs w:val="18"/>
              </w:rPr>
            </w:pPr>
            <w:r>
              <w:rPr>
                <w:noProof/>
                <w:sz w:val="18"/>
                <w:szCs w:val="18"/>
              </w:rPr>
              <w:t>1 383,2</w:t>
            </w:r>
          </w:p>
        </w:tc>
        <w:tc>
          <w:tcPr>
            <w:tcW w:w="850"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noProof/>
                <w:sz w:val="18"/>
                <w:szCs w:val="18"/>
              </w:rPr>
            </w:pPr>
            <w:r>
              <w:rPr>
                <w:noProof/>
                <w:sz w:val="18"/>
                <w:szCs w:val="18"/>
              </w:rPr>
              <w:t>2 090,2</w:t>
            </w:r>
          </w:p>
        </w:tc>
        <w:tc>
          <w:tcPr>
            <w:tcW w:w="851"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noProof/>
                <w:sz w:val="18"/>
                <w:szCs w:val="18"/>
              </w:rPr>
            </w:pPr>
            <w:r>
              <w:rPr>
                <w:noProof/>
                <w:sz w:val="18"/>
                <w:szCs w:val="18"/>
              </w:rPr>
              <w:t>1 115,5</w:t>
            </w:r>
          </w:p>
        </w:tc>
        <w:tc>
          <w:tcPr>
            <w:tcW w:w="850"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noProof/>
                <w:sz w:val="18"/>
                <w:szCs w:val="18"/>
              </w:rPr>
            </w:pPr>
            <w:r>
              <w:rPr>
                <w:noProof/>
                <w:sz w:val="18"/>
                <w:szCs w:val="18"/>
              </w:rPr>
              <w:t>1 390,9</w:t>
            </w:r>
          </w:p>
        </w:tc>
        <w:tc>
          <w:tcPr>
            <w:tcW w:w="851"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noProof/>
                <w:sz w:val="18"/>
                <w:szCs w:val="18"/>
              </w:rPr>
            </w:pPr>
            <w:r>
              <w:rPr>
                <w:noProof/>
                <w:sz w:val="18"/>
                <w:szCs w:val="18"/>
              </w:rPr>
              <w:t>1 291,1</w:t>
            </w:r>
          </w:p>
        </w:tc>
        <w:tc>
          <w:tcPr>
            <w:tcW w:w="85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right"/>
              <w:rPr>
                <w:noProof/>
                <w:sz w:val="18"/>
                <w:szCs w:val="18"/>
              </w:rPr>
            </w:pPr>
            <w:r>
              <w:rPr>
                <w:noProof/>
                <w:sz w:val="18"/>
                <w:szCs w:val="18"/>
              </w:rPr>
              <w:t> </w:t>
            </w:r>
          </w:p>
        </w:tc>
      </w:tr>
      <w:tr>
        <w:trPr>
          <w:trHeight w:val="270"/>
        </w:trPr>
        <w:tc>
          <w:tcPr>
            <w:tcW w:w="354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pPr>
              <w:spacing w:before="0" w:after="0"/>
              <w:jc w:val="center"/>
              <w:rPr>
                <w:b/>
                <w:bCs/>
                <w:noProof/>
                <w:color w:val="000000"/>
                <w:sz w:val="18"/>
                <w:szCs w:val="18"/>
              </w:rPr>
            </w:pPr>
            <w:r>
              <w:rPr>
                <w:b/>
                <w:bCs/>
                <w:noProof/>
                <w:sz w:val="18"/>
                <w:szCs w:val="18"/>
              </w:rPr>
              <w:t>Metinė turima BĮM</w:t>
            </w:r>
          </w:p>
        </w:tc>
        <w:tc>
          <w:tcPr>
            <w:tcW w:w="850" w:type="dxa"/>
            <w:tcBorders>
              <w:top w:val="nil"/>
              <w:left w:val="nil"/>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0,0</w:t>
            </w:r>
          </w:p>
        </w:tc>
        <w:tc>
          <w:tcPr>
            <w:tcW w:w="851"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0,0</w:t>
            </w:r>
          </w:p>
        </w:tc>
        <w:tc>
          <w:tcPr>
            <w:tcW w:w="850"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1 953,9</w:t>
            </w:r>
          </w:p>
        </w:tc>
        <w:tc>
          <w:tcPr>
            <w:tcW w:w="851"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3 571,1</w:t>
            </w:r>
          </w:p>
        </w:tc>
        <w:tc>
          <w:tcPr>
            <w:tcW w:w="850"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2 802,4</w:t>
            </w:r>
          </w:p>
        </w:tc>
        <w:tc>
          <w:tcPr>
            <w:tcW w:w="851" w:type="dxa"/>
            <w:tcBorders>
              <w:top w:val="nil"/>
              <w:left w:val="single" w:sz="8" w:space="0" w:color="auto"/>
              <w:bottom w:val="single" w:sz="8" w:space="0" w:color="auto"/>
              <w:right w:val="nil"/>
            </w:tcBorders>
            <w:shd w:val="clear" w:color="auto" w:fill="auto"/>
            <w:vAlign w:val="center"/>
            <w:hideMark/>
          </w:tcPr>
          <w:p>
            <w:pPr>
              <w:spacing w:before="0" w:after="0"/>
              <w:jc w:val="right"/>
              <w:rPr>
                <w:b/>
                <w:bCs/>
                <w:noProof/>
                <w:sz w:val="18"/>
                <w:szCs w:val="18"/>
              </w:rPr>
            </w:pPr>
            <w:r>
              <w:rPr>
                <w:b/>
                <w:bCs/>
                <w:noProof/>
                <w:sz w:val="18"/>
                <w:szCs w:val="18"/>
              </w:rPr>
              <w:t>2 894,7</w:t>
            </w:r>
          </w:p>
        </w:tc>
        <w:tc>
          <w:tcPr>
            <w:tcW w:w="85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right"/>
              <w:rPr>
                <w:b/>
                <w:bCs/>
                <w:noProof/>
                <w:sz w:val="18"/>
                <w:szCs w:val="18"/>
              </w:rPr>
            </w:pPr>
            <w:r>
              <w:rPr>
                <w:b/>
                <w:bCs/>
                <w:noProof/>
                <w:sz w:val="18"/>
                <w:szCs w:val="18"/>
              </w:rPr>
              <w:t>2 662,0</w:t>
            </w:r>
          </w:p>
        </w:tc>
      </w:tr>
      <w:tr>
        <w:trPr>
          <w:trHeight w:val="255"/>
        </w:trPr>
        <w:tc>
          <w:tcPr>
            <w:tcW w:w="3544"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2014 m. BĮM</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543,0</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0,0</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0,0</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2015 m. BĮM</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1 410,9</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1 439,1</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0,0</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0,0</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2016 m. BĮM</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2 132,0</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1 664,6</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315,4</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0,0</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2017 m. BĮM</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1 137,8</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1 160,6</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0,0</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2018 m. BĮM</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1 418,7</w:t>
            </w:r>
          </w:p>
        </w:tc>
        <w:tc>
          <w:tcPr>
            <w:tcW w:w="850" w:type="dxa"/>
            <w:tcBorders>
              <w:top w:val="single" w:sz="4" w:space="0" w:color="auto"/>
              <w:left w:val="single" w:sz="8" w:space="0" w:color="000000"/>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1 345,1</w:t>
            </w:r>
          </w:p>
        </w:tc>
      </w:tr>
      <w:tr>
        <w:trPr>
          <w:trHeight w:val="270"/>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2019 m. BĮM</w:t>
            </w:r>
          </w:p>
        </w:tc>
        <w:tc>
          <w:tcPr>
            <w:tcW w:w="850" w:type="dxa"/>
            <w:tcBorders>
              <w:top w:val="nil"/>
              <w:left w:val="nil"/>
              <w:bottom w:val="single" w:sz="8"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8"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8"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8"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8"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8" w:space="0" w:color="auto"/>
              <w:right w:val="nil"/>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single" w:sz="4" w:space="0" w:color="auto"/>
              <w:left w:val="single" w:sz="8" w:space="0" w:color="auto"/>
              <w:bottom w:val="single" w:sz="8"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1 316,9</w:t>
            </w:r>
          </w:p>
        </w:tc>
      </w:tr>
      <w:tr>
        <w:trPr>
          <w:trHeight w:val="270"/>
        </w:trPr>
        <w:tc>
          <w:tcPr>
            <w:tcW w:w="354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pPr>
              <w:spacing w:before="0" w:after="0"/>
              <w:jc w:val="center"/>
              <w:rPr>
                <w:b/>
                <w:bCs/>
                <w:noProof/>
                <w:color w:val="000000"/>
                <w:sz w:val="18"/>
                <w:szCs w:val="18"/>
              </w:rPr>
            </w:pPr>
            <w:r>
              <w:rPr>
                <w:b/>
                <w:bCs/>
                <w:noProof/>
                <w:sz w:val="18"/>
                <w:szCs w:val="18"/>
              </w:rPr>
              <w:t>BĮM metinis panaudojimas</w:t>
            </w:r>
          </w:p>
        </w:tc>
        <w:tc>
          <w:tcPr>
            <w:tcW w:w="850" w:type="dxa"/>
            <w:tcBorders>
              <w:top w:val="nil"/>
              <w:left w:val="nil"/>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0,0</w:t>
            </w:r>
          </w:p>
        </w:tc>
        <w:tc>
          <w:tcPr>
            <w:tcW w:w="851"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0,0</w:t>
            </w:r>
          </w:p>
        </w:tc>
        <w:tc>
          <w:tcPr>
            <w:tcW w:w="850"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−543,0</w:t>
            </w:r>
          </w:p>
        </w:tc>
        <w:tc>
          <w:tcPr>
            <w:tcW w:w="851"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−1 939,1</w:t>
            </w:r>
          </w:p>
        </w:tc>
        <w:tc>
          <w:tcPr>
            <w:tcW w:w="850"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−1 355,6</w:t>
            </w:r>
          </w:p>
        </w:tc>
        <w:tc>
          <w:tcPr>
            <w:tcW w:w="851" w:type="dxa"/>
            <w:tcBorders>
              <w:top w:val="nil"/>
              <w:left w:val="single" w:sz="8" w:space="0" w:color="auto"/>
              <w:bottom w:val="single" w:sz="8" w:space="0" w:color="auto"/>
              <w:right w:val="nil"/>
            </w:tcBorders>
            <w:shd w:val="clear" w:color="auto" w:fill="auto"/>
            <w:vAlign w:val="center"/>
            <w:hideMark/>
          </w:tcPr>
          <w:p>
            <w:pPr>
              <w:spacing w:before="0" w:after="0"/>
              <w:jc w:val="right"/>
              <w:rPr>
                <w:b/>
                <w:bCs/>
                <w:noProof/>
                <w:sz w:val="18"/>
                <w:szCs w:val="18"/>
              </w:rPr>
            </w:pPr>
            <w:r>
              <w:rPr>
                <w:b/>
                <w:bCs/>
                <w:noProof/>
                <w:sz w:val="18"/>
                <w:szCs w:val="18"/>
              </w:rPr>
              <w:t>−1 576,0</w:t>
            </w:r>
          </w:p>
        </w:tc>
        <w:tc>
          <w:tcPr>
            <w:tcW w:w="85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right"/>
              <w:rPr>
                <w:b/>
                <w:bCs/>
                <w:noProof/>
                <w:sz w:val="18"/>
                <w:szCs w:val="18"/>
              </w:rPr>
            </w:pPr>
            <w:r>
              <w:rPr>
                <w:b/>
                <w:bCs/>
                <w:noProof/>
                <w:sz w:val="18"/>
                <w:szCs w:val="18"/>
              </w:rPr>
              <w:t>−269,6</w:t>
            </w:r>
          </w:p>
        </w:tc>
      </w:tr>
      <w:tr>
        <w:trPr>
          <w:trHeight w:val="255"/>
        </w:trPr>
        <w:tc>
          <w:tcPr>
            <w:tcW w:w="3544" w:type="dxa"/>
            <w:tcBorders>
              <w:top w:val="nil"/>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2014 m. BĮM</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−543,0</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0,0</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0,0</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2015 m. BĮM</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−1 439,1</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0,0</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0,0</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2016 m. BĮM</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−500,0</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−1 355,6</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−315,4</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0,0</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2017 m. BĮM</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−1 160,6</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0,0</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2018 m. BĮM</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−100,0</w:t>
            </w:r>
          </w:p>
        </w:tc>
        <w:tc>
          <w:tcPr>
            <w:tcW w:w="850" w:type="dxa"/>
            <w:tcBorders>
              <w:top w:val="single" w:sz="4" w:space="0" w:color="auto"/>
              <w:left w:val="single" w:sz="8" w:space="0" w:color="000000"/>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−269,6</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2019 m. BĮM</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p>
        </w:tc>
      </w:tr>
      <w:tr>
        <w:trPr>
          <w:trHeight w:val="270"/>
        </w:trPr>
        <w:tc>
          <w:tcPr>
            <w:tcW w:w="354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pPr>
              <w:spacing w:before="0" w:after="0"/>
              <w:jc w:val="center"/>
              <w:rPr>
                <w:b/>
                <w:bCs/>
                <w:noProof/>
                <w:color w:val="000000"/>
                <w:sz w:val="18"/>
                <w:szCs w:val="18"/>
              </w:rPr>
            </w:pPr>
            <w:r>
              <w:rPr>
                <w:b/>
                <w:bCs/>
                <w:noProof/>
                <w:sz w:val="18"/>
                <w:szCs w:val="18"/>
              </w:rPr>
              <w:t>Metų pabaigoje likusi BĮM</w:t>
            </w:r>
          </w:p>
        </w:tc>
        <w:tc>
          <w:tcPr>
            <w:tcW w:w="850" w:type="dxa"/>
            <w:tcBorders>
              <w:top w:val="nil"/>
              <w:left w:val="nil"/>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0,0</w:t>
            </w:r>
          </w:p>
        </w:tc>
        <w:tc>
          <w:tcPr>
            <w:tcW w:w="851"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0,0</w:t>
            </w:r>
          </w:p>
        </w:tc>
        <w:tc>
          <w:tcPr>
            <w:tcW w:w="850"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1 410,9</w:t>
            </w:r>
          </w:p>
        </w:tc>
        <w:tc>
          <w:tcPr>
            <w:tcW w:w="851"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1 632,0</w:t>
            </w:r>
          </w:p>
        </w:tc>
        <w:tc>
          <w:tcPr>
            <w:tcW w:w="850" w:type="dxa"/>
            <w:tcBorders>
              <w:top w:val="nil"/>
              <w:left w:val="single" w:sz="8" w:space="0" w:color="auto"/>
              <w:bottom w:val="single" w:sz="8" w:space="0" w:color="auto"/>
              <w:right w:val="single" w:sz="4" w:space="0" w:color="000000"/>
            </w:tcBorders>
            <w:shd w:val="clear" w:color="auto" w:fill="auto"/>
            <w:vAlign w:val="center"/>
            <w:hideMark/>
          </w:tcPr>
          <w:p>
            <w:pPr>
              <w:spacing w:before="0" w:after="0"/>
              <w:jc w:val="right"/>
              <w:rPr>
                <w:b/>
                <w:bCs/>
                <w:noProof/>
                <w:sz w:val="18"/>
                <w:szCs w:val="18"/>
              </w:rPr>
            </w:pPr>
            <w:r>
              <w:rPr>
                <w:b/>
                <w:bCs/>
                <w:noProof/>
                <w:sz w:val="18"/>
                <w:szCs w:val="18"/>
              </w:rPr>
              <w:t>1 446,8</w:t>
            </w:r>
          </w:p>
        </w:tc>
        <w:tc>
          <w:tcPr>
            <w:tcW w:w="851" w:type="dxa"/>
            <w:tcBorders>
              <w:top w:val="nil"/>
              <w:left w:val="single" w:sz="8" w:space="0" w:color="auto"/>
              <w:bottom w:val="single" w:sz="8" w:space="0" w:color="auto"/>
              <w:right w:val="nil"/>
            </w:tcBorders>
            <w:shd w:val="clear" w:color="auto" w:fill="auto"/>
            <w:vAlign w:val="center"/>
            <w:hideMark/>
          </w:tcPr>
          <w:p>
            <w:pPr>
              <w:spacing w:before="0" w:after="0"/>
              <w:jc w:val="right"/>
              <w:rPr>
                <w:b/>
                <w:bCs/>
                <w:noProof/>
                <w:sz w:val="18"/>
                <w:szCs w:val="18"/>
              </w:rPr>
            </w:pPr>
            <w:r>
              <w:rPr>
                <w:b/>
                <w:bCs/>
                <w:noProof/>
                <w:sz w:val="18"/>
                <w:szCs w:val="18"/>
              </w:rPr>
              <w:t>1 318,7</w:t>
            </w:r>
          </w:p>
        </w:tc>
        <w:tc>
          <w:tcPr>
            <w:tcW w:w="85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right"/>
              <w:rPr>
                <w:b/>
                <w:bCs/>
                <w:noProof/>
                <w:sz w:val="18"/>
                <w:szCs w:val="18"/>
              </w:rPr>
            </w:pPr>
            <w:r>
              <w:rPr>
                <w:b/>
                <w:bCs/>
                <w:noProof/>
                <w:sz w:val="18"/>
                <w:szCs w:val="18"/>
              </w:rPr>
              <w:t>2 392,4</w:t>
            </w:r>
          </w:p>
        </w:tc>
      </w:tr>
      <w:tr>
        <w:trPr>
          <w:trHeight w:val="255"/>
        </w:trPr>
        <w:tc>
          <w:tcPr>
            <w:tcW w:w="3544"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2014 m. BĮM</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0,0</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0,0</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2015 m. BĮM</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1 410,9</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0,0</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0,0</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0,0</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2016 m. BĮM</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1 632,0</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309,0</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0,0</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0,0</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2017 m. BĮM</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1 137,8</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0,0</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0,0</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2018 m. BĮM</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1 318,7</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1 075,5</w:t>
            </w:r>
          </w:p>
        </w:tc>
      </w:tr>
      <w:tr>
        <w:trPr>
          <w:trHeight w:val="255"/>
        </w:trPr>
        <w:tc>
          <w:tcPr>
            <w:tcW w:w="354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pPr>
              <w:spacing w:before="0" w:after="0"/>
              <w:jc w:val="center"/>
              <w:rPr>
                <w:i/>
                <w:iCs/>
                <w:noProof/>
                <w:color w:val="000000"/>
                <w:sz w:val="18"/>
                <w:szCs w:val="18"/>
              </w:rPr>
            </w:pPr>
            <w:r>
              <w:rPr>
                <w:i/>
                <w:iCs/>
                <w:noProof/>
                <w:sz w:val="18"/>
                <w:szCs w:val="18"/>
              </w:rPr>
              <w:t>2019 m. BĮM</w:t>
            </w:r>
          </w:p>
        </w:tc>
        <w:tc>
          <w:tcPr>
            <w:tcW w:w="850" w:type="dxa"/>
            <w:tcBorders>
              <w:top w:val="nil"/>
              <w:left w:val="nil"/>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000000"/>
              <w:bottom w:val="single" w:sz="4" w:space="0" w:color="auto"/>
              <w:right w:val="single" w:sz="4" w:space="0" w:color="000000"/>
            </w:tcBorders>
            <w:shd w:val="clear" w:color="auto" w:fill="auto"/>
            <w:vAlign w:val="center"/>
            <w:hideMark/>
          </w:tcPr>
          <w:p>
            <w:pPr>
              <w:spacing w:before="0" w:after="0"/>
              <w:jc w:val="right"/>
              <w:rPr>
                <w:i/>
                <w:iCs/>
                <w:noProof/>
                <w:sz w:val="18"/>
                <w:szCs w:val="18"/>
              </w:rPr>
            </w:pPr>
            <w:r>
              <w:rPr>
                <w:i/>
                <w:iCs/>
                <w:noProof/>
                <w:sz w:val="18"/>
                <w:szCs w:val="18"/>
              </w:rPr>
              <w:t>-</w:t>
            </w:r>
          </w:p>
        </w:tc>
        <w:tc>
          <w:tcPr>
            <w:tcW w:w="851" w:type="dxa"/>
            <w:tcBorders>
              <w:top w:val="nil"/>
              <w:left w:val="single" w:sz="8" w:space="0" w:color="000000"/>
              <w:bottom w:val="single" w:sz="4" w:space="0" w:color="auto"/>
              <w:right w:val="nil"/>
            </w:tcBorders>
            <w:shd w:val="clear" w:color="auto" w:fill="auto"/>
            <w:vAlign w:val="center"/>
            <w:hideMark/>
          </w:tcPr>
          <w:p>
            <w:pPr>
              <w:spacing w:before="0" w:after="0"/>
              <w:jc w:val="right"/>
              <w:rPr>
                <w:i/>
                <w:iCs/>
                <w:noProof/>
                <w:sz w:val="18"/>
                <w:szCs w:val="18"/>
              </w:rPr>
            </w:pPr>
            <w:r>
              <w:rPr>
                <w:i/>
                <w:iCs/>
                <w:noProof/>
                <w:sz w:val="18"/>
                <w:szCs w:val="18"/>
              </w:rPr>
              <w:t>-</w:t>
            </w:r>
          </w:p>
        </w:tc>
        <w:tc>
          <w:tcPr>
            <w:tcW w:w="850" w:type="dxa"/>
            <w:tcBorders>
              <w:top w:val="nil"/>
              <w:left w:val="single" w:sz="8" w:space="0" w:color="auto"/>
              <w:bottom w:val="single" w:sz="4" w:space="0" w:color="auto"/>
              <w:right w:val="single" w:sz="8" w:space="0" w:color="auto"/>
            </w:tcBorders>
            <w:shd w:val="clear" w:color="auto" w:fill="auto"/>
            <w:vAlign w:val="center"/>
            <w:hideMark/>
          </w:tcPr>
          <w:p>
            <w:pPr>
              <w:spacing w:before="0" w:after="0"/>
              <w:jc w:val="right"/>
              <w:rPr>
                <w:i/>
                <w:iCs/>
                <w:noProof/>
                <w:sz w:val="18"/>
                <w:szCs w:val="18"/>
              </w:rPr>
            </w:pPr>
            <w:r>
              <w:rPr>
                <w:i/>
                <w:iCs/>
                <w:noProof/>
                <w:sz w:val="18"/>
                <w:szCs w:val="18"/>
              </w:rPr>
              <w:t>1 316,9</w:t>
            </w:r>
          </w:p>
        </w:tc>
      </w:tr>
    </w:tbl>
    <w:p>
      <w:pPr>
        <w:pStyle w:val="Text1"/>
        <w:ind w:left="0"/>
        <w:rPr>
          <w:noProof/>
        </w:rPr>
      </w:pPr>
    </w:p>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67144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OL L 163, 2017 6 24, p. 1.</w:t>
      </w:r>
    </w:p>
  </w:footnote>
  <w:footnote w:id="3">
    <w:p>
      <w:pPr>
        <w:pStyle w:val="FootnoteText"/>
      </w:pPr>
      <w:r>
        <w:rPr>
          <w:rStyle w:val="FootnoteReference"/>
        </w:rPr>
        <w:footnoteRef/>
      </w:r>
      <w:r>
        <w:tab/>
        <w:t xml:space="preserve">COM(2019) 310 </w:t>
      </w:r>
      <w:r>
        <w:rPr>
          <w:i/>
          <w:iCs/>
        </w:rPr>
        <w:t>final</w:t>
      </w:r>
      <w:r>
        <w:t>, 2019 5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5B8B29F9"/>
    <w:multiLevelType w:val="hybridMultilevel"/>
    <w:tmpl w:val="32229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hideGrammaticalErrors/>
  <w:revisionView w:markup="0"/>
  <w:defaultTabStop w:val="720"/>
  <w:hyphenationZone w:val="425"/>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5DD8985-4F6C-4576-9758-B4CA3627747A"/>
    <w:docVar w:name="LW_COVERPAGE_TYPE" w:val="1"/>
    <w:docVar w:name="LW_CROSSREFERENCE" w:val="&lt;UNUSED&gt;"/>
    <w:docVar w:name="LW_DocType" w:val="NORMAL"/>
    <w:docVar w:name="LW_EMISSION" w:val="2020 04 02"/>
    <w:docVar w:name="LW_EMISSION_ISODATE" w:val="2020-04-02"/>
    <w:docVar w:name="LW_EMISSION_LOCATION" w:val="BRX"/>
    <w:docVar w:name="LW_EMISSION_PREFIX" w:val="Briuselis, "/>
    <w:docVar w:name="LW_EMISSION_SUFFIX" w:val=" "/>
    <w:docVar w:name="LW_ID_DOCTYPE_NONLW" w:val="CP-011"/>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20) 1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2020 m. speciali\u371? priemoni\u371? techninis patikslinimas (Tarybos reglamento Nr. 1311/2013, kuriuo nustatoma 2014\u8211?2020 m. daugiamet\u279? finansin\u279? programa, 6 straipsnio 1 dalies e ir f punktai)_x000b_"/>
    <w:docVar w:name="LW_TYPE.DOC.CP" w:val="KOMISIJOS KOMUNIKATAS TARYBAI IR EUROPOS PARLAMENTU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ManualHeading1">
    <w:name w:val="Manual Heading 1"/>
    <w:basedOn w:val="Normal"/>
    <w:next w:val="Text1"/>
    <w:link w:val="ManualHeading1Char"/>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customStyle="1" w:styleId="Pagedecouverture">
    <w:name w:val="Page de couverture"/>
    <w:basedOn w:val="Normal"/>
    <w:next w:val="Normal"/>
    <w:pPr>
      <w:spacing w:before="0" w:after="0"/>
    </w:pPr>
    <w:rPr>
      <w:rFonts w:eastAsiaTheme="minorHAnsi"/>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lang w:eastAsia="en-GB"/>
    </w:rPr>
  </w:style>
  <w:style w:type="character" w:customStyle="1" w:styleId="FooterCoverPageChar">
    <w:name w:val="Footer Cover Page Char"/>
    <w:basedOn w:val="ManualHeading1Char"/>
    <w:link w:val="FooterCoverPage"/>
    <w:rPr>
      <w:rFonts w:ascii="Times New Roman" w:eastAsia="Times New Roman" w:hAnsi="Times New Roman" w:cs="Times New Roman"/>
      <w:b w:val="0"/>
      <w:smallCaps w:val="0"/>
      <w:sz w:val="24"/>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ManualHeading1Char"/>
    <w:link w:val="FooterSensitivity"/>
    <w:rPr>
      <w:rFonts w:ascii="Times New Roman" w:eastAsia="Times New Roman" w:hAnsi="Times New Roman" w:cs="Times New Roman"/>
      <w:b/>
      <w:smallCaps w:val="0"/>
      <w:sz w:val="32"/>
      <w:lang w:eastAsia="en-GB"/>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ManualHeading1Char"/>
    <w:link w:val="HeaderCoverPage"/>
    <w:rPr>
      <w:rFonts w:ascii="Times New Roman" w:eastAsia="Times New Roman" w:hAnsi="Times New Roman" w:cs="Times New Roman"/>
      <w:b w:val="0"/>
      <w:smallCaps w:val="0"/>
      <w:sz w:val="24"/>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ManualHeading1Char"/>
    <w:link w:val="HeaderSensitivity"/>
    <w:rPr>
      <w:rFonts w:ascii="Times New Roman" w:eastAsia="Times New Roman" w:hAnsi="Times New Roman" w:cs="Times New Roman"/>
      <w:b/>
      <w:smallCaps w:val="0"/>
      <w:sz w:val="32"/>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customStyle="1" w:styleId="SecurityMarking">
    <w:name w:val="SecurityMarking"/>
    <w:basedOn w:val="Normal"/>
    <w:pPr>
      <w:spacing w:before="0" w:after="0" w:line="276" w:lineRule="auto"/>
      <w:ind w:left="5103"/>
      <w:jc w:val="left"/>
    </w:pPr>
    <w:rPr>
      <w:rFonts w:eastAsiaTheme="minorHAnsi"/>
      <w:sz w:val="28"/>
      <w:lang w:eastAsia="en-US"/>
    </w:rPr>
  </w:style>
  <w:style w:type="paragraph" w:customStyle="1" w:styleId="DateMarking">
    <w:name w:val="DateMarking"/>
    <w:basedOn w:val="Normal"/>
    <w:pPr>
      <w:spacing w:before="0" w:after="0" w:line="276" w:lineRule="auto"/>
      <w:ind w:left="5103"/>
      <w:jc w:val="left"/>
    </w:pPr>
    <w:rPr>
      <w:rFonts w:eastAsiaTheme="minorHAnsi"/>
      <w:i/>
      <w:sz w:val="28"/>
      <w:lang w:eastAsia="en-US"/>
    </w:rPr>
  </w:style>
  <w:style w:type="paragraph" w:customStyle="1" w:styleId="ReleasableTo">
    <w:name w:val="ReleasableTo"/>
    <w:basedOn w:val="Normal"/>
    <w:pPr>
      <w:spacing w:before="0" w:after="0" w:line="276" w:lineRule="auto"/>
      <w:ind w:left="5103"/>
      <w:jc w:val="left"/>
    </w:pPr>
    <w:rPr>
      <w:rFonts w:eastAsiaTheme="minorHAnsi"/>
      <w:i/>
      <w:sz w:val="28"/>
      <w:lang w:eastAsia="en-US"/>
    </w:rPr>
  </w:style>
  <w:style w:type="paragraph" w:customStyle="1" w:styleId="HeaderSensitivityRight">
    <w:name w:val="Header Sensitivity Right"/>
    <w:basedOn w:val="Normal"/>
    <w:pPr>
      <w:spacing w:before="0"/>
      <w:jc w:val="right"/>
    </w:pPr>
    <w:rPr>
      <w:sz w:val="28"/>
    </w:rPr>
  </w:style>
  <w:style w:type="paragraph" w:customStyle="1" w:styleId="LegalNumPar">
    <w:name w:val="LegalNumPar"/>
    <w:basedOn w:val="Normal"/>
    <w:pPr>
      <w:numPr>
        <w:numId w:val="4"/>
      </w:numPr>
      <w:spacing w:line="360" w:lineRule="auto"/>
    </w:pPr>
  </w:style>
  <w:style w:type="paragraph" w:customStyle="1" w:styleId="LegalNumPar2">
    <w:name w:val="LegalNumPar2"/>
    <w:basedOn w:val="Normal"/>
    <w:pPr>
      <w:numPr>
        <w:ilvl w:val="1"/>
        <w:numId w:val="4"/>
      </w:numPr>
      <w:spacing w:line="360" w:lineRule="auto"/>
    </w:pPr>
  </w:style>
  <w:style w:type="paragraph" w:customStyle="1" w:styleId="LegalNumPar3">
    <w:name w:val="LegalNumPar3"/>
    <w:basedOn w:val="Normal"/>
    <w:pPr>
      <w:numPr>
        <w:ilvl w:val="2"/>
        <w:numId w:val="4"/>
      </w:numPr>
      <w:spacing w:line="36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ManualHeading1">
    <w:name w:val="Manual Heading 1"/>
    <w:basedOn w:val="Normal"/>
    <w:next w:val="Text1"/>
    <w:link w:val="ManualHeading1Char"/>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customStyle="1" w:styleId="Pagedecouverture">
    <w:name w:val="Page de couverture"/>
    <w:basedOn w:val="Normal"/>
    <w:next w:val="Normal"/>
    <w:pPr>
      <w:spacing w:before="0" w:after="0"/>
    </w:pPr>
    <w:rPr>
      <w:rFonts w:eastAsiaTheme="minorHAnsi"/>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lang w:eastAsia="en-GB"/>
    </w:rPr>
  </w:style>
  <w:style w:type="character" w:customStyle="1" w:styleId="FooterCoverPageChar">
    <w:name w:val="Footer Cover Page Char"/>
    <w:basedOn w:val="ManualHeading1Char"/>
    <w:link w:val="FooterCoverPage"/>
    <w:rPr>
      <w:rFonts w:ascii="Times New Roman" w:eastAsia="Times New Roman" w:hAnsi="Times New Roman" w:cs="Times New Roman"/>
      <w:b w:val="0"/>
      <w:smallCaps w:val="0"/>
      <w:sz w:val="24"/>
      <w:lang w:eastAsia="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ManualHeading1Char"/>
    <w:link w:val="FooterSensitivity"/>
    <w:rPr>
      <w:rFonts w:ascii="Times New Roman" w:eastAsia="Times New Roman" w:hAnsi="Times New Roman" w:cs="Times New Roman"/>
      <w:b/>
      <w:smallCaps w:val="0"/>
      <w:sz w:val="32"/>
      <w:lang w:eastAsia="en-GB"/>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ManualHeading1Char"/>
    <w:link w:val="HeaderCoverPage"/>
    <w:rPr>
      <w:rFonts w:ascii="Times New Roman" w:eastAsia="Times New Roman" w:hAnsi="Times New Roman" w:cs="Times New Roman"/>
      <w:b w:val="0"/>
      <w:smallCaps w:val="0"/>
      <w:sz w:val="24"/>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ManualHeading1Char"/>
    <w:link w:val="HeaderSensitivity"/>
    <w:rPr>
      <w:rFonts w:ascii="Times New Roman" w:eastAsia="Times New Roman" w:hAnsi="Times New Roman" w:cs="Times New Roman"/>
      <w:b/>
      <w:smallCaps w:val="0"/>
      <w:sz w:val="32"/>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customStyle="1" w:styleId="SecurityMarking">
    <w:name w:val="SecurityMarking"/>
    <w:basedOn w:val="Normal"/>
    <w:pPr>
      <w:spacing w:before="0" w:after="0" w:line="276" w:lineRule="auto"/>
      <w:ind w:left="5103"/>
      <w:jc w:val="left"/>
    </w:pPr>
    <w:rPr>
      <w:rFonts w:eastAsiaTheme="minorHAnsi"/>
      <w:sz w:val="28"/>
      <w:lang w:eastAsia="en-US"/>
    </w:rPr>
  </w:style>
  <w:style w:type="paragraph" w:customStyle="1" w:styleId="DateMarking">
    <w:name w:val="DateMarking"/>
    <w:basedOn w:val="Normal"/>
    <w:pPr>
      <w:spacing w:before="0" w:after="0" w:line="276" w:lineRule="auto"/>
      <w:ind w:left="5103"/>
      <w:jc w:val="left"/>
    </w:pPr>
    <w:rPr>
      <w:rFonts w:eastAsiaTheme="minorHAnsi"/>
      <w:i/>
      <w:sz w:val="28"/>
      <w:lang w:eastAsia="en-US"/>
    </w:rPr>
  </w:style>
  <w:style w:type="paragraph" w:customStyle="1" w:styleId="ReleasableTo">
    <w:name w:val="ReleasableTo"/>
    <w:basedOn w:val="Normal"/>
    <w:pPr>
      <w:spacing w:before="0" w:after="0" w:line="276" w:lineRule="auto"/>
      <w:ind w:left="5103"/>
      <w:jc w:val="left"/>
    </w:pPr>
    <w:rPr>
      <w:rFonts w:eastAsiaTheme="minorHAnsi"/>
      <w:i/>
      <w:sz w:val="28"/>
      <w:lang w:eastAsia="en-US"/>
    </w:rPr>
  </w:style>
  <w:style w:type="paragraph" w:customStyle="1" w:styleId="HeaderSensitivityRight">
    <w:name w:val="Header Sensitivity Right"/>
    <w:basedOn w:val="Normal"/>
    <w:pPr>
      <w:spacing w:before="0"/>
      <w:jc w:val="right"/>
    </w:pPr>
    <w:rPr>
      <w:sz w:val="28"/>
    </w:rPr>
  </w:style>
  <w:style w:type="paragraph" w:customStyle="1" w:styleId="LegalNumPar">
    <w:name w:val="LegalNumPar"/>
    <w:basedOn w:val="Normal"/>
    <w:pPr>
      <w:numPr>
        <w:numId w:val="4"/>
      </w:numPr>
      <w:spacing w:line="360" w:lineRule="auto"/>
    </w:pPr>
  </w:style>
  <w:style w:type="paragraph" w:customStyle="1" w:styleId="LegalNumPar2">
    <w:name w:val="LegalNumPar2"/>
    <w:basedOn w:val="Normal"/>
    <w:pPr>
      <w:numPr>
        <w:ilvl w:val="1"/>
        <w:numId w:val="4"/>
      </w:numPr>
      <w:spacing w:line="360" w:lineRule="auto"/>
    </w:pPr>
  </w:style>
  <w:style w:type="paragraph" w:customStyle="1" w:styleId="LegalNumPar3">
    <w:name w:val="LegalNumPar3"/>
    <w:basedOn w:val="Normal"/>
    <w:pPr>
      <w:numPr>
        <w:ilvl w:val="2"/>
        <w:numId w:val="4"/>
      </w:num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3BEC3F5-9350-4018-8583-19A3E607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1833</Words>
  <Characters>9849</Characters>
  <Application>Microsoft Office Word</Application>
  <DocSecurity>0</DocSecurity>
  <Lines>703</Lines>
  <Paragraphs>648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20</cp:revision>
  <cp:lastPrinted>2019-04-11T08:28:00Z</cp:lastPrinted>
  <dcterms:created xsi:type="dcterms:W3CDTF">2020-03-30T14:53:00Z</dcterms:created>
  <dcterms:modified xsi:type="dcterms:W3CDTF">2020-04-06T16:28:00Z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CP-011</vt:lpwstr>
  </property>
</Properties>
</file>