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B45D46EB-7B29-4A14-B8CE-0C077DB9447A" style="width:450.4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ManualHeading1"/>
        <w:numPr>
          <w:ilvl w:val="0"/>
          <w:numId w:val="1"/>
        </w:numPr>
        <w:rPr>
          <w:noProof/>
        </w:rPr>
      </w:pPr>
      <w:bookmarkStart w:id="1" w:name="_GoBack"/>
      <w:bookmarkEnd w:id="1"/>
      <w:r>
        <w:rPr>
          <w:noProof/>
        </w:rPr>
        <w:lastRenderedPageBreak/>
        <w:t>Introducere</w:t>
      </w:r>
    </w:p>
    <w:p>
      <w:pPr>
        <w:pStyle w:val="Text1"/>
        <w:rPr>
          <w:noProof/>
        </w:rPr>
      </w:pPr>
      <w:r>
        <w:rPr>
          <w:noProof/>
        </w:rPr>
        <w:t>Regulamentul de stabilire a cadrului financiar multianual (Regulamentul privind CFM) pentru perioada 2014-2020, astfel cum a fost modificat ultima dată prin Regulamentul (UE, Euratom) 2017/1123 al Consiliului din 20 iunie 2017</w:t>
      </w:r>
      <w:r>
        <w:rPr>
          <w:rStyle w:val="FootnoteReference"/>
          <w:noProof/>
        </w:rPr>
        <w:footnoteReference w:id="2"/>
      </w:r>
      <w:r>
        <w:rPr>
          <w:noProof/>
        </w:rPr>
        <w:t xml:space="preserve"> și adaptat, astfel cum se arată în comunicarea privind ajustarea tehnică pentru 2020</w:t>
      </w:r>
      <w:r>
        <w:rPr>
          <w:rStyle w:val="FootnoteReference"/>
          <w:noProof/>
        </w:rPr>
        <w:footnoteReference w:id="3"/>
      </w:r>
      <w:r>
        <w:rPr>
          <w:noProof/>
        </w:rPr>
        <w:t xml:space="preserve">, conține tabelul cadrului financiar pentru perioada 2014-2020, exprimat în prețurile din 2011 (tabelul 1). </w:t>
      </w:r>
    </w:p>
    <w:p>
      <w:pPr>
        <w:pStyle w:val="Text1"/>
        <w:rPr>
          <w:noProof/>
        </w:rPr>
      </w:pPr>
      <w:r>
        <w:rPr>
          <w:noProof/>
        </w:rPr>
        <w:t xml:space="preserve">În conformitate cu articolul 6 alineatul (1) din Regulamentul privind CFM, în fiecare an, într-o etapă anterioară procedurii bugetare pentru exercițiul n+1, Comisia efectuează o ajustare tehnică a cadrului financiar multianual (CFM) în funcție de evoluția venitului național brut (VNB) al UE și a prețurilor și comunică aceste rezultate Consiliului și Parlamentului European. Ajustarea plafoanelor în conformitate cu articolul 6 alineatul (1) a fost efectuată în mai 2019, în cadrul ajustării tehnice pentru 2020, și, în temeiul articolului 6 alineatul (4), nu a fost actualizată. </w:t>
      </w:r>
    </w:p>
    <w:p>
      <w:pPr>
        <w:pStyle w:val="Text1"/>
        <w:rPr>
          <w:noProof/>
        </w:rPr>
      </w:pPr>
      <w:r>
        <w:rPr>
          <w:noProof/>
        </w:rPr>
        <w:t xml:space="preserve">Comunicarea privind ajustarea tehnică pentru 2020 a indicat sumele disponibile din instrumentele speciale pentru exercițiile 2019 și 2020, în conformitate cu articolul 6 alineatul (1) literele (e) și (f) din Regulamentul privind CFM, referitor la sumele disponibile din marja globală pentru angajamente și, respectiv, din Instrumentul de flexibilitate, astfel cum erau cunoscute în primăvara anului 2019. Scopul prezentei comunicări este de a aduce la cunoștința Consiliului și a Parlamentului European ce alte sume disponibile există în instrumentele speciale, în conformitate cu articolul 6 alineatul (1) literele (e) și (f) din Regulamentul privind CFM, referitor la marja globală pentru angajamente și, respectiv, la Instrumentul de flexibilitate pentru exercițiul 2020, care au devenit disponibile la încheierea exercițiului 2019. </w:t>
      </w:r>
    </w:p>
    <w:p>
      <w:pPr>
        <w:pStyle w:val="Text1"/>
        <w:rPr>
          <w:noProof/>
        </w:rPr>
      </w:pPr>
      <w:r>
        <w:rPr>
          <w:noProof/>
        </w:rPr>
        <w:t>Comunicarea prezintă, de asemenea, în scop informativ, sumele disponibile din toate instrumentele speciale și utilizarea acestora începând din 2014.</w:t>
      </w:r>
    </w:p>
    <w:p>
      <w:pPr>
        <w:pStyle w:val="ManualHeading1"/>
        <w:rPr>
          <w:noProof/>
        </w:rPr>
      </w:pPr>
      <w:r>
        <w:rPr>
          <w:noProof/>
        </w:rPr>
        <w:t>2.</w:t>
      </w:r>
      <w:r>
        <w:rPr>
          <w:noProof/>
        </w:rPr>
        <w:tab/>
        <w:t>Marja globală pentru plăți (MGP)</w:t>
      </w:r>
    </w:p>
    <w:p>
      <w:pPr>
        <w:pStyle w:val="Text1"/>
        <w:rPr>
          <w:noProof/>
        </w:rPr>
      </w:pPr>
      <w:r>
        <w:rPr>
          <w:noProof/>
        </w:rPr>
        <w:t>În conformitate cu articolul 5 din Regulamentul privind CFM, Comisia ajustează plafonul de plăți pentru anii 2015-2020, majorându-l cu o sumă echivalentă cu diferența dintre plățile efectuate și plafonul de plăți al CFM aferent exercițiului n-1. Orice majorare se compensează integral printr-o reducere corespunzătoare a plafonului de plăți aferent exercițiului n-1 în prețurile constante din 2011.</w:t>
      </w:r>
    </w:p>
    <w:p>
      <w:pPr>
        <w:pStyle w:val="Text1"/>
        <w:rPr>
          <w:noProof/>
        </w:rPr>
      </w:pPr>
      <w:r>
        <w:rPr>
          <w:noProof/>
        </w:rPr>
        <w:t>Nu s-a efectuat nicio recalculare a MGP pentru 2020, întrucât pragul stabilit la articolul 5 alineatul (2) din Regulamentul privind CFM a fost atins în cadrul ajustării tehnice pentru 2020, adoptată în mai 2019.</w:t>
      </w:r>
    </w:p>
    <w:p>
      <w:pPr>
        <w:pStyle w:val="ManualHeading1"/>
        <w:rPr>
          <w:noProof/>
        </w:rPr>
      </w:pPr>
      <w:r>
        <w:rPr>
          <w:noProof/>
        </w:rPr>
        <w:t>3.</w:t>
      </w:r>
      <w:r>
        <w:rPr>
          <w:noProof/>
        </w:rPr>
        <w:tab/>
        <w:t>Instrumente speciale</w:t>
      </w:r>
    </w:p>
    <w:p>
      <w:pPr>
        <w:pStyle w:val="Text1"/>
        <w:rPr>
          <w:noProof/>
        </w:rPr>
      </w:pPr>
      <w:r>
        <w:rPr>
          <w:noProof/>
        </w:rPr>
        <w:t>Există o serie de serie de instrumente disponibile în afara plafoanelor de cheltuieli convenite în cadrul financiar 2014-2020. Obiectivul acestor instrumente este de a permite reacții rapide la evenimente excepționale sau neprevăzute și de a oferi, în anumite limite, un grad de flexibilitate dincolo de plafoanele de cheltuieli convenite.</w:t>
      </w:r>
    </w:p>
    <w:p>
      <w:pPr>
        <w:pStyle w:val="ManualHeading2"/>
        <w:rPr>
          <w:noProof/>
        </w:rPr>
      </w:pPr>
      <w:r>
        <w:rPr>
          <w:noProof/>
        </w:rPr>
        <w:t>3.1.</w:t>
      </w:r>
      <w:r>
        <w:rPr>
          <w:noProof/>
        </w:rPr>
        <w:tab/>
        <w:t>Rezerva pentru ajutoare de urgență</w:t>
      </w:r>
    </w:p>
    <w:p>
      <w:pPr>
        <w:pStyle w:val="Text1"/>
        <w:rPr>
          <w:noProof/>
        </w:rPr>
      </w:pPr>
      <w:r>
        <w:rPr>
          <w:noProof/>
        </w:rPr>
        <w:t xml:space="preserve">În conformitate cu articolul 9 din Regulamentul modificat privind CFM, </w:t>
      </w:r>
      <w:r>
        <w:rPr>
          <w:i/>
          <w:noProof/>
        </w:rPr>
        <w:t>rezerva pentru ajutoare de urgență</w:t>
      </w:r>
      <w:r>
        <w:rPr>
          <w:noProof/>
        </w:rPr>
        <w:t xml:space="preserve"> poate fi mobilizată în limita unei sume maxime de 300 de milioane EUR pe an în prețurile din 2011 sau de 358,5 milioane EUR în 2020 în prețuri curente (2 301,4 milioane EUR pentru întreaga perioadă, în prețuri curente). Partea din suma neutilizată într-un exercițiu poate fi reportată în exercițiul următor. Suma reportată din 2019 în 2020 se ridică la 45,6 milioane EUR.</w:t>
      </w:r>
    </w:p>
    <w:p>
      <w:pPr>
        <w:pStyle w:val="Text1"/>
        <w:rPr>
          <w:noProof/>
        </w:rPr>
      </w:pPr>
      <w:r>
        <w:rPr>
          <w:noProof/>
        </w:rPr>
        <w:t>Tabelul de mai jos prezintă în detaliu sumele disponibile anuale și utilizarea rezervei pentru ajutoare de urgență începând din 2014:</w:t>
      </w:r>
    </w:p>
    <w:tbl>
      <w:tblPr>
        <w:tblW w:w="9431" w:type="dxa"/>
        <w:jc w:val="center"/>
        <w:tblCellMar>
          <w:left w:w="70" w:type="dxa"/>
          <w:right w:w="70" w:type="dxa"/>
        </w:tblCellMar>
        <w:tblLook w:val="04A0" w:firstRow="1" w:lastRow="0" w:firstColumn="1" w:lastColumn="0" w:noHBand="0" w:noVBand="1"/>
      </w:tblPr>
      <w:tblGrid>
        <w:gridCol w:w="2801"/>
        <w:gridCol w:w="875"/>
        <w:gridCol w:w="842"/>
        <w:gridCol w:w="809"/>
        <w:gridCol w:w="776"/>
        <w:gridCol w:w="783"/>
        <w:gridCol w:w="803"/>
        <w:gridCol w:w="875"/>
        <w:gridCol w:w="858"/>
        <w:gridCol w:w="9"/>
      </w:tblGrid>
      <w:tr>
        <w:trPr>
          <w:trHeight w:val="240"/>
          <w:jc w:val="center"/>
        </w:trPr>
        <w:tc>
          <w:tcPr>
            <w:tcW w:w="943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center"/>
              <w:rPr>
                <w:b/>
                <w:bCs/>
                <w:noProof/>
                <w:sz w:val="18"/>
                <w:szCs w:val="18"/>
              </w:rPr>
            </w:pPr>
            <w:r>
              <w:rPr>
                <w:b/>
                <w:bCs/>
                <w:noProof/>
                <w:sz w:val="18"/>
                <w:szCs w:val="18"/>
              </w:rPr>
              <w:t>Rezerva pentru ajutoare de urgență</w:t>
            </w:r>
          </w:p>
        </w:tc>
      </w:tr>
      <w:tr>
        <w:trPr>
          <w:trHeight w:val="240"/>
          <w:jc w:val="center"/>
        </w:trPr>
        <w:tc>
          <w:tcPr>
            <w:tcW w:w="943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right"/>
              <w:rPr>
                <w:i/>
                <w:iCs/>
                <w:noProof/>
                <w:sz w:val="18"/>
                <w:szCs w:val="18"/>
              </w:rPr>
            </w:pPr>
            <w:r>
              <w:rPr>
                <w:i/>
                <w:iCs/>
                <w:noProof/>
                <w:sz w:val="18"/>
                <w:szCs w:val="18"/>
              </w:rPr>
              <w:t>Milioane EUR</w:t>
            </w:r>
          </w:p>
        </w:tc>
      </w:tr>
      <w:tr>
        <w:trPr>
          <w:gridAfter w:val="1"/>
          <w:wAfter w:w="9" w:type="dxa"/>
          <w:trHeight w:val="240"/>
          <w:jc w:val="center"/>
        </w:trPr>
        <w:tc>
          <w:tcPr>
            <w:tcW w:w="2801"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875"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2014</w:t>
            </w:r>
          </w:p>
        </w:tc>
        <w:tc>
          <w:tcPr>
            <w:tcW w:w="842"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2015</w:t>
            </w:r>
          </w:p>
        </w:tc>
        <w:tc>
          <w:tcPr>
            <w:tcW w:w="809"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2016</w:t>
            </w:r>
          </w:p>
        </w:tc>
        <w:tc>
          <w:tcPr>
            <w:tcW w:w="776"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2017</w:t>
            </w:r>
          </w:p>
        </w:tc>
        <w:tc>
          <w:tcPr>
            <w:tcW w:w="783"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2018</w:t>
            </w:r>
          </w:p>
        </w:tc>
        <w:tc>
          <w:tcPr>
            <w:tcW w:w="803"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2019</w:t>
            </w:r>
          </w:p>
        </w:tc>
        <w:tc>
          <w:tcPr>
            <w:tcW w:w="875"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2020</w:t>
            </w:r>
          </w:p>
        </w:tc>
        <w:tc>
          <w:tcPr>
            <w:tcW w:w="858" w:type="dxa"/>
            <w:tcBorders>
              <w:top w:val="nil"/>
              <w:left w:val="nil"/>
              <w:bottom w:val="single" w:sz="4" w:space="0" w:color="auto"/>
              <w:right w:val="single" w:sz="4" w:space="0" w:color="auto"/>
            </w:tcBorders>
            <w:shd w:val="clear" w:color="auto" w:fill="auto"/>
            <w:noWrap/>
            <w:vAlign w:val="bottom"/>
            <w:hideMark/>
          </w:tcPr>
          <w:p>
            <w:pPr>
              <w:spacing w:before="0" w:after="0"/>
              <w:jc w:val="center"/>
              <w:rPr>
                <w:b/>
                <w:bCs/>
                <w:noProof/>
                <w:sz w:val="18"/>
                <w:szCs w:val="18"/>
              </w:rPr>
            </w:pPr>
            <w:r>
              <w:rPr>
                <w:b/>
                <w:bCs/>
                <w:noProof/>
                <w:sz w:val="18"/>
                <w:szCs w:val="18"/>
              </w:rPr>
              <w:t>Total</w:t>
            </w:r>
          </w:p>
        </w:tc>
      </w:tr>
      <w:tr>
        <w:trPr>
          <w:gridAfter w:val="1"/>
          <w:wAfter w:w="9" w:type="dxa"/>
          <w:trHeight w:val="240"/>
          <w:jc w:val="center"/>
        </w:trPr>
        <w:tc>
          <w:tcPr>
            <w:tcW w:w="2801"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Sumele anuale în prețurile din 2011</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280</w:t>
            </w:r>
          </w:p>
        </w:tc>
        <w:tc>
          <w:tcPr>
            <w:tcW w:w="84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280</w:t>
            </w:r>
          </w:p>
        </w:tc>
        <w:tc>
          <w:tcPr>
            <w:tcW w:w="80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280</w:t>
            </w:r>
          </w:p>
        </w:tc>
        <w:tc>
          <w:tcPr>
            <w:tcW w:w="7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300</w:t>
            </w:r>
          </w:p>
        </w:tc>
        <w:tc>
          <w:tcPr>
            <w:tcW w:w="78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300</w:t>
            </w:r>
          </w:p>
        </w:tc>
        <w:tc>
          <w:tcPr>
            <w:tcW w:w="80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300</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300</w:t>
            </w:r>
          </w:p>
        </w:tc>
        <w:tc>
          <w:tcPr>
            <w:tcW w:w="858"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2 040</w:t>
            </w:r>
          </w:p>
        </w:tc>
      </w:tr>
      <w:tr>
        <w:trPr>
          <w:gridAfter w:val="1"/>
          <w:wAfter w:w="9" w:type="dxa"/>
          <w:trHeight w:val="240"/>
          <w:jc w:val="center"/>
        </w:trPr>
        <w:tc>
          <w:tcPr>
            <w:tcW w:w="2801"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Sumele anuale în prețuri curente</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297,0</w:t>
            </w:r>
          </w:p>
        </w:tc>
        <w:tc>
          <w:tcPr>
            <w:tcW w:w="84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303,0</w:t>
            </w:r>
          </w:p>
        </w:tc>
        <w:tc>
          <w:tcPr>
            <w:tcW w:w="80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309,0</w:t>
            </w:r>
          </w:p>
        </w:tc>
        <w:tc>
          <w:tcPr>
            <w:tcW w:w="7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337,8</w:t>
            </w:r>
          </w:p>
        </w:tc>
        <w:tc>
          <w:tcPr>
            <w:tcW w:w="78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344,6</w:t>
            </w:r>
          </w:p>
        </w:tc>
        <w:tc>
          <w:tcPr>
            <w:tcW w:w="80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351,5</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358,5</w:t>
            </w:r>
          </w:p>
        </w:tc>
        <w:tc>
          <w:tcPr>
            <w:tcW w:w="858"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2 301,4</w:t>
            </w:r>
          </w:p>
        </w:tc>
      </w:tr>
      <w:tr>
        <w:trPr>
          <w:gridAfter w:val="1"/>
          <w:wAfter w:w="9" w:type="dxa"/>
          <w:trHeight w:val="240"/>
          <w:jc w:val="center"/>
        </w:trPr>
        <w:tc>
          <w:tcPr>
            <w:tcW w:w="2801"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Reportări din exercițiul precedent</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4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198,9</w:t>
            </w:r>
          </w:p>
        </w:tc>
        <w:tc>
          <w:tcPr>
            <w:tcW w:w="80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219,4</w:t>
            </w:r>
          </w:p>
        </w:tc>
        <w:tc>
          <w:tcPr>
            <w:tcW w:w="7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98,6</w:t>
            </w:r>
          </w:p>
        </w:tc>
        <w:tc>
          <w:tcPr>
            <w:tcW w:w="78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61,7</w:t>
            </w:r>
          </w:p>
        </w:tc>
        <w:tc>
          <w:tcPr>
            <w:tcW w:w="80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34,1</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45,6</w:t>
            </w:r>
          </w:p>
        </w:tc>
        <w:tc>
          <w:tcPr>
            <w:tcW w:w="858"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gridAfter w:val="1"/>
          <w:wAfter w:w="9" w:type="dxa"/>
          <w:trHeight w:val="240"/>
          <w:jc w:val="center"/>
        </w:trPr>
        <w:tc>
          <w:tcPr>
            <w:tcW w:w="2801"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Utilizare anuală</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98,1</w:t>
            </w:r>
          </w:p>
        </w:tc>
        <w:tc>
          <w:tcPr>
            <w:tcW w:w="84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282,5</w:t>
            </w:r>
          </w:p>
        </w:tc>
        <w:tc>
          <w:tcPr>
            <w:tcW w:w="80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429,8</w:t>
            </w:r>
          </w:p>
        </w:tc>
        <w:tc>
          <w:tcPr>
            <w:tcW w:w="7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374,7</w:t>
            </w:r>
          </w:p>
        </w:tc>
        <w:tc>
          <w:tcPr>
            <w:tcW w:w="78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372,2</w:t>
            </w:r>
          </w:p>
        </w:tc>
        <w:tc>
          <w:tcPr>
            <w:tcW w:w="80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340,0</w:t>
            </w:r>
          </w:p>
        </w:tc>
        <w:tc>
          <w:tcPr>
            <w:tcW w:w="875" w:type="dxa"/>
            <w:tcBorders>
              <w:top w:val="nil"/>
              <w:left w:val="nil"/>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858"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1 897,3</w:t>
            </w:r>
          </w:p>
        </w:tc>
      </w:tr>
      <w:tr>
        <w:trPr>
          <w:gridAfter w:val="1"/>
          <w:wAfter w:w="9" w:type="dxa"/>
          <w:trHeight w:val="240"/>
          <w:jc w:val="center"/>
        </w:trPr>
        <w:tc>
          <w:tcPr>
            <w:tcW w:w="2801"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Reportări în exercițiul următor</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198,9</w:t>
            </w:r>
          </w:p>
        </w:tc>
        <w:tc>
          <w:tcPr>
            <w:tcW w:w="84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219,4</w:t>
            </w:r>
          </w:p>
        </w:tc>
        <w:tc>
          <w:tcPr>
            <w:tcW w:w="80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98,6</w:t>
            </w:r>
          </w:p>
        </w:tc>
        <w:tc>
          <w:tcPr>
            <w:tcW w:w="7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61,7</w:t>
            </w:r>
          </w:p>
        </w:tc>
        <w:tc>
          <w:tcPr>
            <w:tcW w:w="78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34,1</w:t>
            </w:r>
          </w:p>
        </w:tc>
        <w:tc>
          <w:tcPr>
            <w:tcW w:w="80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45,6</w:t>
            </w:r>
          </w:p>
        </w:tc>
        <w:tc>
          <w:tcPr>
            <w:tcW w:w="875" w:type="dxa"/>
            <w:tcBorders>
              <w:top w:val="nil"/>
              <w:left w:val="nil"/>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858"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gridAfter w:val="1"/>
          <w:wAfter w:w="9" w:type="dxa"/>
          <w:trHeight w:val="240"/>
          <w:jc w:val="center"/>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Anulări</w:t>
            </w:r>
          </w:p>
        </w:tc>
        <w:tc>
          <w:tcPr>
            <w:tcW w:w="875"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42"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09"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776"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783"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03"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75" w:type="dxa"/>
            <w:tcBorders>
              <w:top w:val="nil"/>
              <w:left w:val="nil"/>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 </w:t>
            </w:r>
          </w:p>
        </w:tc>
        <w:tc>
          <w:tcPr>
            <w:tcW w:w="858" w:type="dxa"/>
            <w:tcBorders>
              <w:top w:val="nil"/>
              <w:left w:val="nil"/>
              <w:bottom w:val="single" w:sz="4" w:space="0" w:color="auto"/>
              <w:right w:val="single" w:sz="4" w:space="0" w:color="auto"/>
            </w:tcBorders>
            <w:shd w:val="clear" w:color="auto" w:fill="auto"/>
            <w:noWrap/>
            <w:vAlign w:val="bottom"/>
            <w:hideMark/>
          </w:tcPr>
          <w:p>
            <w:pPr>
              <w:spacing w:before="0" w:after="0"/>
              <w:jc w:val="right"/>
              <w:rPr>
                <w:b/>
                <w:bCs/>
                <w:i/>
                <w:iCs/>
                <w:noProof/>
                <w:sz w:val="18"/>
                <w:szCs w:val="18"/>
              </w:rPr>
            </w:pPr>
            <w:r>
              <w:rPr>
                <w:b/>
                <w:bCs/>
                <w:i/>
                <w:iCs/>
                <w:noProof/>
                <w:sz w:val="18"/>
                <w:szCs w:val="18"/>
              </w:rPr>
              <w:t>0,0</w:t>
            </w:r>
          </w:p>
        </w:tc>
      </w:tr>
    </w:tbl>
    <w:p>
      <w:pPr>
        <w:pStyle w:val="ManualHeading2"/>
        <w:ind w:left="0" w:firstLine="0"/>
        <w:rPr>
          <w:noProof/>
        </w:rPr>
      </w:pPr>
      <w:r>
        <w:rPr>
          <w:noProof/>
        </w:rPr>
        <w:t>3.2.</w:t>
      </w:r>
      <w:r>
        <w:rPr>
          <w:noProof/>
        </w:rPr>
        <w:tab/>
        <w:t>Fondul de solidaritate al Uniunii Europene (FSUE)</w:t>
      </w:r>
    </w:p>
    <w:p>
      <w:pPr>
        <w:pStyle w:val="Text1"/>
        <w:rPr>
          <w:noProof/>
        </w:rPr>
      </w:pPr>
      <w:r>
        <w:rPr>
          <w:noProof/>
        </w:rPr>
        <w:t xml:space="preserve">În conformitate cu articolul 10 din Regulamentul privind CFM, </w:t>
      </w:r>
      <w:r>
        <w:rPr>
          <w:i/>
          <w:noProof/>
        </w:rPr>
        <w:t>Fondul de solidaritate al UE</w:t>
      </w:r>
      <w:r>
        <w:rPr>
          <w:noProof/>
        </w:rPr>
        <w:t xml:space="preserve"> poate fi mobilizat în limita unei sume maxime de 500 de milioane EUR pe an în prețurile din 2011 sau de 597,5 milioane EUR în 2020 în prețuri curente (3 944,7 milioane EUR pentru întreaga perioadă, în prețuri curente). Partea din suma neutilizată într-un exercițiu poate fi reportată în exercițiul următor. Suma reportată din 2019 în 2020 s-a ridicat la 553,0 milioane EUR. Nicio sumă nu a fost anulată la încheierea exercițiului 2019.</w:t>
      </w:r>
    </w:p>
    <w:p>
      <w:pPr>
        <w:pStyle w:val="Text1"/>
        <w:rPr>
          <w:noProof/>
        </w:rPr>
      </w:pPr>
      <w:r>
        <w:rPr>
          <w:noProof/>
        </w:rPr>
        <w:t>Tabelul de mai jos prezintă în detaliu disponibilitățile anuale și utilizarea FSUE începând din 2014:</w:t>
      </w:r>
    </w:p>
    <w:tbl>
      <w:tblPr>
        <w:tblW w:w="9511" w:type="dxa"/>
        <w:jc w:val="center"/>
        <w:tblCellMar>
          <w:left w:w="70" w:type="dxa"/>
          <w:right w:w="70" w:type="dxa"/>
        </w:tblCellMar>
        <w:tblLook w:val="04A0" w:firstRow="1" w:lastRow="0" w:firstColumn="1" w:lastColumn="0" w:noHBand="0" w:noVBand="1"/>
      </w:tblPr>
      <w:tblGrid>
        <w:gridCol w:w="2712"/>
        <w:gridCol w:w="850"/>
        <w:gridCol w:w="930"/>
        <w:gridCol w:w="850"/>
        <w:gridCol w:w="822"/>
        <w:gridCol w:w="850"/>
        <w:gridCol w:w="851"/>
        <w:gridCol w:w="850"/>
        <w:gridCol w:w="796"/>
      </w:tblGrid>
      <w:tr>
        <w:trPr>
          <w:trHeight w:val="240"/>
          <w:jc w:val="center"/>
        </w:trPr>
        <w:tc>
          <w:tcPr>
            <w:tcW w:w="951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center"/>
              <w:rPr>
                <w:b/>
                <w:bCs/>
                <w:noProof/>
                <w:sz w:val="18"/>
                <w:szCs w:val="18"/>
              </w:rPr>
            </w:pPr>
            <w:r>
              <w:rPr>
                <w:b/>
                <w:bCs/>
                <w:noProof/>
                <w:sz w:val="18"/>
                <w:szCs w:val="18"/>
              </w:rPr>
              <w:t>Fondul de solidaritate al Uniunii Europene</w:t>
            </w:r>
          </w:p>
        </w:tc>
      </w:tr>
      <w:tr>
        <w:trPr>
          <w:trHeight w:val="240"/>
          <w:jc w:val="center"/>
        </w:trPr>
        <w:tc>
          <w:tcPr>
            <w:tcW w:w="951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right"/>
              <w:rPr>
                <w:i/>
                <w:iCs/>
                <w:noProof/>
                <w:sz w:val="18"/>
                <w:szCs w:val="18"/>
              </w:rPr>
            </w:pPr>
            <w:r>
              <w:rPr>
                <w:i/>
                <w:iCs/>
                <w:noProof/>
                <w:sz w:val="18"/>
                <w:szCs w:val="18"/>
              </w:rPr>
              <w:t>Milioane EUR</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2014</w:t>
            </w:r>
          </w:p>
        </w:tc>
        <w:tc>
          <w:tcPr>
            <w:tcW w:w="930"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2016</w:t>
            </w:r>
          </w:p>
        </w:tc>
        <w:tc>
          <w:tcPr>
            <w:tcW w:w="822"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2017</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2018</w:t>
            </w:r>
          </w:p>
        </w:tc>
        <w:tc>
          <w:tcPr>
            <w:tcW w:w="851"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2019</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2020</w:t>
            </w:r>
          </w:p>
        </w:tc>
        <w:tc>
          <w:tcPr>
            <w:tcW w:w="796" w:type="dxa"/>
            <w:tcBorders>
              <w:top w:val="nil"/>
              <w:left w:val="nil"/>
              <w:bottom w:val="single" w:sz="4" w:space="0" w:color="auto"/>
              <w:right w:val="single" w:sz="4" w:space="0" w:color="auto"/>
            </w:tcBorders>
            <w:shd w:val="clear" w:color="auto" w:fill="auto"/>
            <w:noWrap/>
            <w:vAlign w:val="bottom"/>
            <w:hideMark/>
          </w:tcPr>
          <w:p>
            <w:pPr>
              <w:spacing w:before="0" w:after="0"/>
              <w:jc w:val="center"/>
              <w:rPr>
                <w:b/>
                <w:bCs/>
                <w:noProof/>
                <w:sz w:val="18"/>
                <w:szCs w:val="18"/>
              </w:rPr>
            </w:pPr>
            <w:r>
              <w:rPr>
                <w:b/>
                <w:bCs/>
                <w:noProof/>
                <w:sz w:val="18"/>
                <w:szCs w:val="18"/>
              </w:rPr>
              <w:t>Total</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Sumele anuale în prețurile din 2011</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93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82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85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3 500</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Sumele anuale în prețuri curente</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530,6</w:t>
            </w:r>
          </w:p>
        </w:tc>
        <w:tc>
          <w:tcPr>
            <w:tcW w:w="93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541,2</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552,0</w:t>
            </w:r>
          </w:p>
        </w:tc>
        <w:tc>
          <w:tcPr>
            <w:tcW w:w="82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563,1</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574,3</w:t>
            </w:r>
          </w:p>
        </w:tc>
        <w:tc>
          <w:tcPr>
            <w:tcW w:w="85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585,8</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597,5</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3 944,7</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Reportări din exercițiul precedent</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93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403,9</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541,2</w:t>
            </w:r>
          </w:p>
        </w:tc>
        <w:tc>
          <w:tcPr>
            <w:tcW w:w="82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552,0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140,8</w:t>
            </w:r>
          </w:p>
        </w:tc>
        <w:tc>
          <w:tcPr>
            <w:tcW w:w="85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265,3</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553,0</w:t>
            </w:r>
          </w:p>
        </w:tc>
        <w:tc>
          <w:tcPr>
            <w:tcW w:w="796"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Mobilizare anticipată pentru exercițiul următor</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93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2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294,0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-294,0</w:t>
            </w:r>
          </w:p>
        </w:tc>
        <w:tc>
          <w:tcPr>
            <w:tcW w:w="85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796"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Utilizare anuală</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126,7</w:t>
            </w:r>
          </w:p>
        </w:tc>
        <w:tc>
          <w:tcPr>
            <w:tcW w:w="93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82,8</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33,1</w:t>
            </w:r>
          </w:p>
        </w:tc>
        <w:tc>
          <w:tcPr>
            <w:tcW w:w="82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1 268,3</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155,9</w:t>
            </w:r>
          </w:p>
        </w:tc>
        <w:tc>
          <w:tcPr>
            <w:tcW w:w="85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298,1</w:t>
            </w:r>
          </w:p>
        </w:tc>
        <w:tc>
          <w:tcPr>
            <w:tcW w:w="850" w:type="dxa"/>
            <w:tcBorders>
              <w:top w:val="nil"/>
              <w:left w:val="nil"/>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1 964,9</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Reportări în exercițiul următor</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403,9</w:t>
            </w:r>
          </w:p>
        </w:tc>
        <w:tc>
          <w:tcPr>
            <w:tcW w:w="93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541,2</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552,0</w:t>
            </w:r>
          </w:p>
        </w:tc>
        <w:tc>
          <w:tcPr>
            <w:tcW w:w="82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140,8</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265,3</w:t>
            </w:r>
          </w:p>
        </w:tc>
        <w:tc>
          <w:tcPr>
            <w:tcW w:w="85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553,0</w:t>
            </w:r>
          </w:p>
        </w:tc>
        <w:tc>
          <w:tcPr>
            <w:tcW w:w="850" w:type="dxa"/>
            <w:tcBorders>
              <w:top w:val="nil"/>
              <w:left w:val="nil"/>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796"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trHeight w:val="240"/>
          <w:jc w:val="center"/>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Anulări</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930"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321,1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508,1</w:t>
            </w:r>
          </w:p>
        </w:tc>
        <w:tc>
          <w:tcPr>
            <w:tcW w:w="822"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 </w:t>
            </w:r>
          </w:p>
        </w:tc>
        <w:tc>
          <w:tcPr>
            <w:tcW w:w="796" w:type="dxa"/>
            <w:tcBorders>
              <w:top w:val="nil"/>
              <w:left w:val="nil"/>
              <w:bottom w:val="single" w:sz="4" w:space="0" w:color="auto"/>
              <w:right w:val="single" w:sz="4" w:space="0" w:color="auto"/>
            </w:tcBorders>
            <w:shd w:val="clear" w:color="auto" w:fill="auto"/>
            <w:noWrap/>
            <w:vAlign w:val="bottom"/>
            <w:hideMark/>
          </w:tcPr>
          <w:p>
            <w:pPr>
              <w:spacing w:before="0" w:after="0"/>
              <w:jc w:val="right"/>
              <w:rPr>
                <w:b/>
                <w:bCs/>
                <w:i/>
                <w:iCs/>
                <w:noProof/>
                <w:sz w:val="18"/>
                <w:szCs w:val="18"/>
              </w:rPr>
            </w:pPr>
            <w:r>
              <w:rPr>
                <w:b/>
                <w:bCs/>
                <w:i/>
                <w:iCs/>
                <w:noProof/>
                <w:sz w:val="18"/>
                <w:szCs w:val="18"/>
              </w:rPr>
              <w:t>829,2</w:t>
            </w:r>
          </w:p>
        </w:tc>
      </w:tr>
    </w:tbl>
    <w:p>
      <w:pPr>
        <w:pStyle w:val="ManualHeading2"/>
        <w:rPr>
          <w:noProof/>
        </w:rPr>
      </w:pPr>
      <w:r>
        <w:rPr>
          <w:noProof/>
        </w:rPr>
        <w:t>3.3.</w:t>
      </w:r>
      <w:r>
        <w:rPr>
          <w:noProof/>
        </w:rPr>
        <w:tab/>
        <w:t>Instrumentul de flexibilitate</w:t>
      </w:r>
    </w:p>
    <w:p>
      <w:pPr>
        <w:pStyle w:val="Text1"/>
        <w:rPr>
          <w:noProof/>
        </w:rPr>
      </w:pPr>
      <w:r>
        <w:rPr>
          <w:noProof/>
        </w:rPr>
        <w:t xml:space="preserve">În conformitate cu articolul 11 din Regulamentul modificat privind CFM, </w:t>
      </w:r>
      <w:r>
        <w:rPr>
          <w:i/>
          <w:noProof/>
        </w:rPr>
        <w:t>Instrumentul de flexibilitate</w:t>
      </w:r>
      <w:r>
        <w:rPr>
          <w:noProof/>
        </w:rPr>
        <w:t xml:space="preserve"> poate fi mobilizat în limita unei sume maxime anuale de 600 de milioane EUR, în prețurile din 2011, sau de 717 milioane EUR în 2020, în prețuri curente (4 315 milioane EUR pentru întreaga perioadă, în prețuri curente). Partea din sumele anuale neutilizate în cele 3 exerciții precedente poate fi reportată.</w:t>
      </w:r>
    </w:p>
    <w:p>
      <w:pPr>
        <w:pStyle w:val="Text1"/>
        <w:rPr>
          <w:noProof/>
        </w:rPr>
      </w:pPr>
      <w:r>
        <w:rPr>
          <w:noProof/>
        </w:rPr>
        <w:t xml:space="preserve">În conformitate cu articolul 6 alineatul (1) litera (f), care face referire la articolul 11 alineatul (1) al doilea paragraf, </w:t>
      </w:r>
      <w:r>
        <w:rPr>
          <w:i/>
          <w:noProof/>
        </w:rPr>
        <w:t>în fiecare an, începând cu 2017, suma anuală disponibilă pentru Instrumentul de flexibilitate este majorată cu</w:t>
      </w:r>
      <w:r>
        <w:rPr>
          <w:noProof/>
        </w:rPr>
        <w:t xml:space="preserve"> sumele echivalente cu părțile din suma anuală pentru Fondul de solidaritate al Uniunii Europene și pentru Fondul european de ajustare la globalizare care au fost anulate în exercițiul precedent. </w:t>
      </w:r>
    </w:p>
    <w:p>
      <w:pPr>
        <w:pStyle w:val="Text1"/>
        <w:rPr>
          <w:noProof/>
        </w:rPr>
      </w:pPr>
      <w:r>
        <w:rPr>
          <w:noProof/>
        </w:rPr>
        <w:t>Tabelul de mai jos prezintă în detaliu sumele disponibile anuale și utilizarea Instrumentului de flexibilitate începând din 2014:</w:t>
      </w:r>
    </w:p>
    <w:tbl>
      <w:tblPr>
        <w:tblW w:w="9600" w:type="dxa"/>
        <w:jc w:val="center"/>
        <w:tblCellMar>
          <w:left w:w="70" w:type="dxa"/>
          <w:right w:w="70" w:type="dxa"/>
        </w:tblCellMar>
        <w:tblLook w:val="04A0" w:firstRow="1" w:lastRow="0" w:firstColumn="1" w:lastColumn="0" w:noHBand="0" w:noVBand="1"/>
      </w:tblPr>
      <w:tblGrid>
        <w:gridCol w:w="3020"/>
        <w:gridCol w:w="889"/>
        <w:gridCol w:w="867"/>
        <w:gridCol w:w="867"/>
        <w:gridCol w:w="745"/>
        <w:gridCol w:w="756"/>
        <w:gridCol w:w="796"/>
        <w:gridCol w:w="819"/>
        <w:gridCol w:w="841"/>
      </w:tblGrid>
      <w:tr>
        <w:trPr>
          <w:trHeight w:val="240"/>
          <w:jc w:val="center"/>
        </w:trPr>
        <w:tc>
          <w:tcPr>
            <w:tcW w:w="96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center"/>
              <w:rPr>
                <w:b/>
                <w:bCs/>
                <w:noProof/>
                <w:sz w:val="18"/>
                <w:szCs w:val="18"/>
              </w:rPr>
            </w:pPr>
            <w:r>
              <w:rPr>
                <w:b/>
                <w:bCs/>
                <w:noProof/>
                <w:sz w:val="18"/>
                <w:szCs w:val="18"/>
              </w:rPr>
              <w:t>Instrumentul de flexibilitate</w:t>
            </w:r>
          </w:p>
        </w:tc>
      </w:tr>
      <w:tr>
        <w:trPr>
          <w:trHeight w:val="104"/>
          <w:jc w:val="center"/>
        </w:trPr>
        <w:tc>
          <w:tcPr>
            <w:tcW w:w="96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right"/>
              <w:rPr>
                <w:i/>
                <w:iCs/>
                <w:noProof/>
                <w:sz w:val="18"/>
                <w:szCs w:val="18"/>
              </w:rPr>
            </w:pPr>
            <w:r>
              <w:rPr>
                <w:i/>
                <w:iCs/>
                <w:noProof/>
                <w:sz w:val="18"/>
                <w:szCs w:val="18"/>
              </w:rPr>
              <w:t>Milioane EUR</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2014</w:t>
            </w:r>
          </w:p>
        </w:tc>
        <w:tc>
          <w:tcPr>
            <w:tcW w:w="867"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2015</w:t>
            </w:r>
          </w:p>
        </w:tc>
        <w:tc>
          <w:tcPr>
            <w:tcW w:w="867"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2016</w:t>
            </w:r>
          </w:p>
        </w:tc>
        <w:tc>
          <w:tcPr>
            <w:tcW w:w="745"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2017</w:t>
            </w:r>
          </w:p>
        </w:tc>
        <w:tc>
          <w:tcPr>
            <w:tcW w:w="756"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2018</w:t>
            </w:r>
          </w:p>
        </w:tc>
        <w:tc>
          <w:tcPr>
            <w:tcW w:w="796"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2019</w:t>
            </w:r>
          </w:p>
        </w:tc>
        <w:tc>
          <w:tcPr>
            <w:tcW w:w="819"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2020</w:t>
            </w:r>
          </w:p>
        </w:tc>
        <w:tc>
          <w:tcPr>
            <w:tcW w:w="841" w:type="dxa"/>
            <w:tcBorders>
              <w:top w:val="nil"/>
              <w:left w:val="nil"/>
              <w:bottom w:val="single" w:sz="4" w:space="0" w:color="auto"/>
              <w:right w:val="single" w:sz="4" w:space="0" w:color="auto"/>
            </w:tcBorders>
            <w:shd w:val="clear" w:color="auto" w:fill="auto"/>
            <w:noWrap/>
            <w:vAlign w:val="bottom"/>
            <w:hideMark/>
          </w:tcPr>
          <w:p>
            <w:pPr>
              <w:spacing w:before="0" w:after="0"/>
              <w:jc w:val="center"/>
              <w:rPr>
                <w:b/>
                <w:bCs/>
                <w:noProof/>
                <w:sz w:val="18"/>
                <w:szCs w:val="18"/>
              </w:rPr>
            </w:pPr>
            <w:r>
              <w:rPr>
                <w:b/>
                <w:bCs/>
                <w:noProof/>
                <w:sz w:val="18"/>
                <w:szCs w:val="18"/>
              </w:rPr>
              <w:t>Total</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Sumele anuale în prețurile din 2011</w:t>
            </w:r>
          </w:p>
        </w:tc>
        <w:tc>
          <w:tcPr>
            <w:tcW w:w="88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471</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471</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471</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600</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600</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600</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600</w:t>
            </w:r>
          </w:p>
        </w:tc>
        <w:tc>
          <w:tcPr>
            <w:tcW w:w="841"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3 813</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Sumele anuale în prețuri curente</w:t>
            </w:r>
          </w:p>
        </w:tc>
        <w:tc>
          <w:tcPr>
            <w:tcW w:w="88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510</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520</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676</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689</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703</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717</w:t>
            </w:r>
          </w:p>
        </w:tc>
        <w:tc>
          <w:tcPr>
            <w:tcW w:w="841"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4 315</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Reportări din exercițiul precedent</w:t>
            </w:r>
          </w:p>
        </w:tc>
        <w:tc>
          <w:tcPr>
            <w:tcW w:w="88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276,0</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686,7</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1010,0</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517,0</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519,8</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202,4</w:t>
            </w:r>
          </w:p>
        </w:tc>
        <w:tc>
          <w:tcPr>
            <w:tcW w:w="841"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La care se adaugă suma anulată din FEG</w:t>
            </w:r>
          </w:p>
        </w:tc>
        <w:tc>
          <w:tcPr>
            <w:tcW w:w="889" w:type="dxa"/>
            <w:tcBorders>
              <w:top w:val="nil"/>
              <w:left w:val="nil"/>
              <w:bottom w:val="nil"/>
              <w:right w:val="single" w:sz="4" w:space="0" w:color="auto"/>
            </w:tcBorders>
            <w:shd w:val="clear" w:color="000000" w:fill="D9D9D9"/>
            <w:noWrap/>
            <w:vAlign w:val="bottom"/>
            <w:hideMark/>
          </w:tcPr>
          <w:p>
            <w:pPr>
              <w:spacing w:before="0" w:after="0"/>
              <w:jc w:val="left"/>
              <w:rPr>
                <w:i/>
                <w:iCs/>
                <w:noProof/>
                <w:sz w:val="18"/>
                <w:szCs w:val="18"/>
              </w:rPr>
            </w:pPr>
            <w:r>
              <w:rPr>
                <w:i/>
                <w:iCs/>
                <w:noProof/>
                <w:sz w:val="18"/>
                <w:szCs w:val="18"/>
              </w:rPr>
              <w:t> </w:t>
            </w:r>
          </w:p>
        </w:tc>
        <w:tc>
          <w:tcPr>
            <w:tcW w:w="867" w:type="dxa"/>
            <w:tcBorders>
              <w:top w:val="nil"/>
              <w:left w:val="nil"/>
              <w:bottom w:val="nil"/>
              <w:right w:val="single" w:sz="4" w:space="0" w:color="auto"/>
            </w:tcBorders>
            <w:shd w:val="clear" w:color="000000" w:fill="D9D9D9"/>
            <w:noWrap/>
            <w:vAlign w:val="bottom"/>
            <w:hideMark/>
          </w:tcPr>
          <w:p>
            <w:pPr>
              <w:spacing w:before="0" w:after="0"/>
              <w:jc w:val="left"/>
              <w:rPr>
                <w:i/>
                <w:iCs/>
                <w:noProof/>
                <w:sz w:val="18"/>
                <w:szCs w:val="18"/>
              </w:rPr>
            </w:pPr>
            <w:r>
              <w:rPr>
                <w:i/>
                <w:iCs/>
                <w:noProof/>
                <w:sz w:val="18"/>
                <w:szCs w:val="18"/>
              </w:rPr>
              <w:t> </w:t>
            </w:r>
          </w:p>
        </w:tc>
        <w:tc>
          <w:tcPr>
            <w:tcW w:w="867" w:type="dxa"/>
            <w:tcBorders>
              <w:top w:val="nil"/>
              <w:left w:val="nil"/>
              <w:bottom w:val="nil"/>
              <w:right w:val="single" w:sz="4" w:space="0" w:color="auto"/>
            </w:tcBorders>
            <w:shd w:val="clear" w:color="000000" w:fill="D9D9D9"/>
            <w:noWrap/>
            <w:vAlign w:val="bottom"/>
            <w:hideMark/>
          </w:tcPr>
          <w:p>
            <w:pPr>
              <w:spacing w:before="0" w:after="0"/>
              <w:jc w:val="left"/>
              <w:rPr>
                <w:i/>
                <w:iCs/>
                <w:noProof/>
                <w:sz w:val="18"/>
                <w:szCs w:val="18"/>
              </w:rPr>
            </w:pPr>
            <w:r>
              <w:rPr>
                <w:i/>
                <w:iCs/>
                <w:noProof/>
                <w:sz w:val="18"/>
                <w:szCs w:val="18"/>
              </w:rPr>
              <w:t> </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138</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151</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144</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175</w:t>
            </w:r>
          </w:p>
        </w:tc>
        <w:tc>
          <w:tcPr>
            <w:tcW w:w="841" w:type="dxa"/>
            <w:tcBorders>
              <w:top w:val="nil"/>
              <w:left w:val="nil"/>
              <w:bottom w:val="nil"/>
              <w:right w:val="single" w:sz="4" w:space="0" w:color="auto"/>
            </w:tcBorders>
            <w:shd w:val="clear" w:color="auto" w:fill="auto"/>
            <w:noWrap/>
            <w:vAlign w:val="bottom"/>
            <w:hideMark/>
          </w:tcPr>
          <w:p>
            <w:pPr>
              <w:spacing w:before="0" w:after="0"/>
              <w:jc w:val="right"/>
              <w:rPr>
                <w:b/>
                <w:bCs/>
                <w:i/>
                <w:iCs/>
                <w:noProof/>
                <w:sz w:val="18"/>
                <w:szCs w:val="18"/>
              </w:rPr>
            </w:pPr>
            <w:r>
              <w:rPr>
                <w:b/>
                <w:bCs/>
                <w:i/>
                <w:iCs/>
                <w:noProof/>
                <w:sz w:val="18"/>
                <w:szCs w:val="18"/>
              </w:rPr>
              <w:t>608</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La care se adaugă suma anulată din FSUE</w:t>
            </w:r>
          </w:p>
        </w:tc>
        <w:tc>
          <w:tcPr>
            <w:tcW w:w="889" w:type="dxa"/>
            <w:tcBorders>
              <w:top w:val="nil"/>
              <w:left w:val="nil"/>
              <w:bottom w:val="nil"/>
              <w:right w:val="single" w:sz="4" w:space="0" w:color="auto"/>
            </w:tcBorders>
            <w:shd w:val="clear" w:color="000000" w:fill="D9D9D9"/>
            <w:noWrap/>
            <w:vAlign w:val="bottom"/>
            <w:hideMark/>
          </w:tcPr>
          <w:p>
            <w:pPr>
              <w:spacing w:before="0" w:after="0"/>
              <w:jc w:val="left"/>
              <w:rPr>
                <w:i/>
                <w:iCs/>
                <w:noProof/>
                <w:sz w:val="18"/>
                <w:szCs w:val="18"/>
              </w:rPr>
            </w:pPr>
            <w:r>
              <w:rPr>
                <w:i/>
                <w:iCs/>
                <w:noProof/>
                <w:sz w:val="18"/>
                <w:szCs w:val="18"/>
              </w:rPr>
              <w:t> </w:t>
            </w:r>
          </w:p>
        </w:tc>
        <w:tc>
          <w:tcPr>
            <w:tcW w:w="867" w:type="dxa"/>
            <w:tcBorders>
              <w:top w:val="nil"/>
              <w:left w:val="nil"/>
              <w:bottom w:val="nil"/>
              <w:right w:val="single" w:sz="4" w:space="0" w:color="auto"/>
            </w:tcBorders>
            <w:shd w:val="clear" w:color="000000" w:fill="D9D9D9"/>
            <w:noWrap/>
            <w:vAlign w:val="bottom"/>
            <w:hideMark/>
          </w:tcPr>
          <w:p>
            <w:pPr>
              <w:spacing w:before="0" w:after="0"/>
              <w:jc w:val="left"/>
              <w:rPr>
                <w:i/>
                <w:iCs/>
                <w:noProof/>
                <w:sz w:val="18"/>
                <w:szCs w:val="18"/>
              </w:rPr>
            </w:pPr>
            <w:r>
              <w:rPr>
                <w:i/>
                <w:iCs/>
                <w:noProof/>
                <w:sz w:val="18"/>
                <w:szCs w:val="18"/>
              </w:rPr>
              <w:t> </w:t>
            </w:r>
          </w:p>
        </w:tc>
        <w:tc>
          <w:tcPr>
            <w:tcW w:w="867" w:type="dxa"/>
            <w:tcBorders>
              <w:top w:val="nil"/>
              <w:left w:val="nil"/>
              <w:bottom w:val="nil"/>
              <w:right w:val="single" w:sz="4" w:space="0" w:color="auto"/>
            </w:tcBorders>
            <w:shd w:val="clear" w:color="000000" w:fill="D9D9D9"/>
            <w:noWrap/>
            <w:vAlign w:val="bottom"/>
            <w:hideMark/>
          </w:tcPr>
          <w:p>
            <w:pPr>
              <w:spacing w:before="0" w:after="0"/>
              <w:jc w:val="left"/>
              <w:rPr>
                <w:i/>
                <w:iCs/>
                <w:noProof/>
                <w:sz w:val="18"/>
                <w:szCs w:val="18"/>
              </w:rPr>
            </w:pPr>
            <w:r>
              <w:rPr>
                <w:i/>
                <w:iCs/>
                <w:noProof/>
                <w:sz w:val="18"/>
                <w:szCs w:val="18"/>
              </w:rPr>
              <w:t> </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508</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w:t>
            </w:r>
          </w:p>
        </w:tc>
        <w:tc>
          <w:tcPr>
            <w:tcW w:w="841" w:type="dxa"/>
            <w:tcBorders>
              <w:top w:val="nil"/>
              <w:left w:val="nil"/>
              <w:bottom w:val="nil"/>
              <w:right w:val="single" w:sz="4" w:space="0" w:color="auto"/>
            </w:tcBorders>
            <w:shd w:val="clear" w:color="auto" w:fill="auto"/>
            <w:noWrap/>
            <w:vAlign w:val="bottom"/>
            <w:hideMark/>
          </w:tcPr>
          <w:p>
            <w:pPr>
              <w:spacing w:before="0" w:after="0"/>
              <w:jc w:val="right"/>
              <w:rPr>
                <w:b/>
                <w:bCs/>
                <w:i/>
                <w:iCs/>
                <w:noProof/>
                <w:sz w:val="18"/>
                <w:szCs w:val="18"/>
              </w:rPr>
            </w:pPr>
            <w:r>
              <w:rPr>
                <w:b/>
                <w:bCs/>
                <w:i/>
                <w:iCs/>
                <w:noProof/>
                <w:sz w:val="18"/>
                <w:szCs w:val="18"/>
              </w:rPr>
              <w:t>508</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Utilizare anuală</w:t>
            </w:r>
          </w:p>
        </w:tc>
        <w:tc>
          <w:tcPr>
            <w:tcW w:w="88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89,3</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149,4</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1 530,0</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805,0</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837,2</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1 164,3</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778,1</w:t>
            </w:r>
          </w:p>
        </w:tc>
        <w:tc>
          <w:tcPr>
            <w:tcW w:w="841"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5 353,4</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Reportări în exercițiul următor</w:t>
            </w:r>
          </w:p>
        </w:tc>
        <w:tc>
          <w:tcPr>
            <w:tcW w:w="88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686,7</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1 010,0</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517,0</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519,8</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202,4</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41"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Sumă disponibilă</w:t>
            </w:r>
          </w:p>
        </w:tc>
        <w:tc>
          <w:tcPr>
            <w:tcW w:w="88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316,3</w:t>
            </w:r>
          </w:p>
        </w:tc>
        <w:tc>
          <w:tcPr>
            <w:tcW w:w="841"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316,3</w:t>
            </w:r>
          </w:p>
        </w:tc>
      </w:tr>
      <w:tr>
        <w:trPr>
          <w:trHeight w:val="24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Anulări</w:t>
            </w:r>
          </w:p>
        </w:tc>
        <w:tc>
          <w:tcPr>
            <w:tcW w:w="889"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67"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37,2</w:t>
            </w:r>
          </w:p>
        </w:tc>
        <w:tc>
          <w:tcPr>
            <w:tcW w:w="867"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745"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756"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796"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19"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41" w:type="dxa"/>
            <w:tcBorders>
              <w:top w:val="nil"/>
              <w:left w:val="nil"/>
              <w:bottom w:val="single" w:sz="4" w:space="0" w:color="auto"/>
              <w:right w:val="single" w:sz="4" w:space="0" w:color="auto"/>
            </w:tcBorders>
            <w:shd w:val="clear" w:color="auto" w:fill="auto"/>
            <w:noWrap/>
            <w:vAlign w:val="bottom"/>
            <w:hideMark/>
          </w:tcPr>
          <w:p>
            <w:pPr>
              <w:spacing w:before="0" w:after="0"/>
              <w:jc w:val="right"/>
              <w:rPr>
                <w:b/>
                <w:bCs/>
                <w:i/>
                <w:iCs/>
                <w:noProof/>
                <w:sz w:val="18"/>
                <w:szCs w:val="18"/>
              </w:rPr>
            </w:pPr>
            <w:r>
              <w:rPr>
                <w:b/>
                <w:bCs/>
                <w:i/>
                <w:iCs/>
                <w:noProof/>
                <w:sz w:val="18"/>
                <w:szCs w:val="18"/>
              </w:rPr>
              <w:t>37,2</w:t>
            </w:r>
          </w:p>
        </w:tc>
      </w:tr>
    </w:tbl>
    <w:p>
      <w:pPr>
        <w:pStyle w:val="ManualHeading2"/>
        <w:rPr>
          <w:noProof/>
        </w:rPr>
      </w:pPr>
      <w:r>
        <w:rPr>
          <w:noProof/>
        </w:rPr>
        <w:t>3.4.</w:t>
      </w:r>
      <w:r>
        <w:rPr>
          <w:noProof/>
        </w:rPr>
        <w:tab/>
        <w:t>Fondul european de ajustare la globalizare (FEG)</w:t>
      </w:r>
    </w:p>
    <w:p>
      <w:pPr>
        <w:pStyle w:val="Text1"/>
        <w:rPr>
          <w:noProof/>
        </w:rPr>
      </w:pPr>
      <w:r>
        <w:rPr>
          <w:noProof/>
        </w:rPr>
        <w:t xml:space="preserve">În conformitate cu articolul 12 din Regulamentul privind CFM, </w:t>
      </w:r>
      <w:r>
        <w:rPr>
          <w:i/>
          <w:noProof/>
        </w:rPr>
        <w:t>Fondul european de ajustare la globalizare</w:t>
      </w:r>
      <w:r>
        <w:rPr>
          <w:noProof/>
        </w:rPr>
        <w:t xml:space="preserve"> poate fi mobilizat în limita unei sume maxime de 150 de milioane EUR pe an în prețurile din 2011 sau de 179,3 milioane EUR în 2020 în prețuri curente (1 183,4 milioane EUR pentru întreaga perioadă, în prețuri curente). Sumele neutilizate din exercițiul precedent nu pot fi reportate. Suma de 175,1 milioane EUR, care a fost anulată la încheierea exercițiului 2019, este utilizată pentru a majora Instrumentul de flexibilitate în 2020.</w:t>
      </w:r>
    </w:p>
    <w:p>
      <w:pPr>
        <w:pStyle w:val="Text1"/>
        <w:rPr>
          <w:noProof/>
        </w:rPr>
      </w:pPr>
      <w:r>
        <w:rPr>
          <w:noProof/>
        </w:rPr>
        <w:t xml:space="preserve">Tabelul de mai jos prezintă în detaliu sumele disponibile anuale și utilizarea FEG începând din 2014: </w:t>
      </w:r>
    </w:p>
    <w:tbl>
      <w:tblPr>
        <w:tblW w:w="9505" w:type="dxa"/>
        <w:jc w:val="center"/>
        <w:tblCellMar>
          <w:left w:w="70" w:type="dxa"/>
          <w:right w:w="70" w:type="dxa"/>
        </w:tblCellMar>
        <w:tblLook w:val="04A0" w:firstRow="1" w:lastRow="0" w:firstColumn="1" w:lastColumn="0" w:noHBand="0" w:noVBand="1"/>
      </w:tblPr>
      <w:tblGrid>
        <w:gridCol w:w="2603"/>
        <w:gridCol w:w="817"/>
        <w:gridCol w:w="870"/>
        <w:gridCol w:w="821"/>
        <w:gridCol w:w="876"/>
        <w:gridCol w:w="766"/>
        <w:gridCol w:w="878"/>
        <w:gridCol w:w="905"/>
        <w:gridCol w:w="969"/>
      </w:tblGrid>
      <w:tr>
        <w:trPr>
          <w:trHeight w:val="240"/>
          <w:jc w:val="center"/>
        </w:trPr>
        <w:tc>
          <w:tcPr>
            <w:tcW w:w="950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center"/>
              <w:rPr>
                <w:b/>
                <w:bCs/>
                <w:noProof/>
                <w:sz w:val="18"/>
                <w:szCs w:val="18"/>
              </w:rPr>
            </w:pPr>
            <w:r>
              <w:rPr>
                <w:b/>
                <w:bCs/>
                <w:noProof/>
                <w:sz w:val="18"/>
                <w:szCs w:val="18"/>
              </w:rPr>
              <w:t>Fondul european de ajustare la globalizare (FEG)</w:t>
            </w:r>
          </w:p>
        </w:tc>
      </w:tr>
      <w:tr>
        <w:trPr>
          <w:trHeight w:val="240"/>
          <w:jc w:val="center"/>
        </w:trPr>
        <w:tc>
          <w:tcPr>
            <w:tcW w:w="950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right"/>
              <w:rPr>
                <w:i/>
                <w:iCs/>
                <w:noProof/>
                <w:sz w:val="18"/>
                <w:szCs w:val="18"/>
              </w:rPr>
            </w:pPr>
            <w:r>
              <w:rPr>
                <w:i/>
                <w:iCs/>
                <w:noProof/>
                <w:sz w:val="18"/>
                <w:szCs w:val="18"/>
              </w:rPr>
              <w:t>Milioane EUR</w:t>
            </w:r>
          </w:p>
        </w:tc>
      </w:tr>
      <w:tr>
        <w:trPr>
          <w:trHeight w:val="240"/>
          <w:jc w:val="center"/>
        </w:trPr>
        <w:tc>
          <w:tcPr>
            <w:tcW w:w="2603"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817"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2014</w:t>
            </w:r>
          </w:p>
        </w:tc>
        <w:tc>
          <w:tcPr>
            <w:tcW w:w="870"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2015</w:t>
            </w:r>
          </w:p>
        </w:tc>
        <w:tc>
          <w:tcPr>
            <w:tcW w:w="821"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2016</w:t>
            </w:r>
          </w:p>
        </w:tc>
        <w:tc>
          <w:tcPr>
            <w:tcW w:w="876"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2017</w:t>
            </w:r>
          </w:p>
        </w:tc>
        <w:tc>
          <w:tcPr>
            <w:tcW w:w="766"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2018</w:t>
            </w:r>
          </w:p>
        </w:tc>
        <w:tc>
          <w:tcPr>
            <w:tcW w:w="878"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2019</w:t>
            </w:r>
          </w:p>
        </w:tc>
        <w:tc>
          <w:tcPr>
            <w:tcW w:w="905"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2020</w:t>
            </w:r>
          </w:p>
        </w:tc>
        <w:tc>
          <w:tcPr>
            <w:tcW w:w="969" w:type="dxa"/>
            <w:tcBorders>
              <w:top w:val="nil"/>
              <w:left w:val="nil"/>
              <w:bottom w:val="single" w:sz="4" w:space="0" w:color="auto"/>
              <w:right w:val="single" w:sz="4" w:space="0" w:color="auto"/>
            </w:tcBorders>
            <w:shd w:val="clear" w:color="auto" w:fill="auto"/>
            <w:noWrap/>
            <w:vAlign w:val="bottom"/>
            <w:hideMark/>
          </w:tcPr>
          <w:p>
            <w:pPr>
              <w:spacing w:before="0" w:after="0"/>
              <w:jc w:val="center"/>
              <w:rPr>
                <w:b/>
                <w:bCs/>
                <w:noProof/>
                <w:sz w:val="18"/>
                <w:szCs w:val="18"/>
              </w:rPr>
            </w:pPr>
            <w:r>
              <w:rPr>
                <w:b/>
                <w:bCs/>
                <w:noProof/>
                <w:sz w:val="18"/>
                <w:szCs w:val="18"/>
              </w:rPr>
              <w:t>Total</w:t>
            </w:r>
          </w:p>
        </w:tc>
      </w:tr>
      <w:tr>
        <w:trPr>
          <w:trHeight w:val="240"/>
          <w:jc w:val="center"/>
        </w:trPr>
        <w:tc>
          <w:tcPr>
            <w:tcW w:w="2603"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Sumele anuale în prețurile din 2011</w:t>
            </w:r>
          </w:p>
        </w:tc>
        <w:tc>
          <w:tcPr>
            <w:tcW w:w="81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87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82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8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76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878"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90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969"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1 050</w:t>
            </w:r>
          </w:p>
        </w:tc>
      </w:tr>
      <w:tr>
        <w:trPr>
          <w:trHeight w:val="240"/>
          <w:jc w:val="center"/>
        </w:trPr>
        <w:tc>
          <w:tcPr>
            <w:tcW w:w="2603"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Sumele anuale în prețuri curente</w:t>
            </w:r>
          </w:p>
        </w:tc>
        <w:tc>
          <w:tcPr>
            <w:tcW w:w="81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159,2</w:t>
            </w:r>
          </w:p>
        </w:tc>
        <w:tc>
          <w:tcPr>
            <w:tcW w:w="87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162,4</w:t>
            </w:r>
          </w:p>
        </w:tc>
        <w:tc>
          <w:tcPr>
            <w:tcW w:w="82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165,6</w:t>
            </w:r>
          </w:p>
        </w:tc>
        <w:tc>
          <w:tcPr>
            <w:tcW w:w="8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168,9</w:t>
            </w:r>
          </w:p>
        </w:tc>
        <w:tc>
          <w:tcPr>
            <w:tcW w:w="76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172,3</w:t>
            </w:r>
          </w:p>
        </w:tc>
        <w:tc>
          <w:tcPr>
            <w:tcW w:w="878"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175,7</w:t>
            </w:r>
          </w:p>
        </w:tc>
        <w:tc>
          <w:tcPr>
            <w:tcW w:w="90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179,3</w:t>
            </w:r>
          </w:p>
        </w:tc>
        <w:tc>
          <w:tcPr>
            <w:tcW w:w="969"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1 183,4</w:t>
            </w:r>
          </w:p>
        </w:tc>
      </w:tr>
      <w:tr>
        <w:trPr>
          <w:trHeight w:val="240"/>
          <w:jc w:val="center"/>
        </w:trPr>
        <w:tc>
          <w:tcPr>
            <w:tcW w:w="2603"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Utilizare anuală</w:t>
            </w:r>
          </w:p>
        </w:tc>
        <w:tc>
          <w:tcPr>
            <w:tcW w:w="81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81,0</w:t>
            </w:r>
          </w:p>
        </w:tc>
        <w:tc>
          <w:tcPr>
            <w:tcW w:w="87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43,4</w:t>
            </w:r>
          </w:p>
        </w:tc>
        <w:tc>
          <w:tcPr>
            <w:tcW w:w="82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28,0</w:t>
            </w:r>
          </w:p>
        </w:tc>
        <w:tc>
          <w:tcPr>
            <w:tcW w:w="8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18,1</w:t>
            </w:r>
          </w:p>
        </w:tc>
        <w:tc>
          <w:tcPr>
            <w:tcW w:w="76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28,0</w:t>
            </w:r>
          </w:p>
        </w:tc>
        <w:tc>
          <w:tcPr>
            <w:tcW w:w="878"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0,6</w:t>
            </w:r>
          </w:p>
        </w:tc>
        <w:tc>
          <w:tcPr>
            <w:tcW w:w="905" w:type="dxa"/>
            <w:tcBorders>
              <w:top w:val="nil"/>
              <w:left w:val="nil"/>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969"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199,1</w:t>
            </w:r>
          </w:p>
        </w:tc>
      </w:tr>
      <w:tr>
        <w:trPr>
          <w:trHeight w:val="240"/>
          <w:jc w:val="center"/>
        </w:trPr>
        <w:tc>
          <w:tcPr>
            <w:tcW w:w="2603"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Anulări</w:t>
            </w:r>
          </w:p>
        </w:tc>
        <w:tc>
          <w:tcPr>
            <w:tcW w:w="817"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78,2</w:t>
            </w:r>
          </w:p>
        </w:tc>
        <w:tc>
          <w:tcPr>
            <w:tcW w:w="870"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119,0</w:t>
            </w:r>
          </w:p>
        </w:tc>
        <w:tc>
          <w:tcPr>
            <w:tcW w:w="821"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137,6</w:t>
            </w:r>
          </w:p>
        </w:tc>
        <w:tc>
          <w:tcPr>
            <w:tcW w:w="876"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150,8</w:t>
            </w:r>
          </w:p>
        </w:tc>
        <w:tc>
          <w:tcPr>
            <w:tcW w:w="766"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144,3</w:t>
            </w:r>
          </w:p>
        </w:tc>
        <w:tc>
          <w:tcPr>
            <w:tcW w:w="878"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175,1</w:t>
            </w:r>
          </w:p>
        </w:tc>
        <w:tc>
          <w:tcPr>
            <w:tcW w:w="905" w:type="dxa"/>
            <w:tcBorders>
              <w:top w:val="nil"/>
              <w:left w:val="nil"/>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 </w:t>
            </w:r>
          </w:p>
        </w:tc>
        <w:tc>
          <w:tcPr>
            <w:tcW w:w="969" w:type="dxa"/>
            <w:tcBorders>
              <w:top w:val="nil"/>
              <w:left w:val="nil"/>
              <w:bottom w:val="single" w:sz="4" w:space="0" w:color="auto"/>
              <w:right w:val="single" w:sz="4" w:space="0" w:color="auto"/>
            </w:tcBorders>
            <w:shd w:val="clear" w:color="auto" w:fill="auto"/>
            <w:noWrap/>
            <w:vAlign w:val="bottom"/>
            <w:hideMark/>
          </w:tcPr>
          <w:p>
            <w:pPr>
              <w:spacing w:before="0" w:after="0"/>
              <w:jc w:val="right"/>
              <w:rPr>
                <w:b/>
                <w:bCs/>
                <w:i/>
                <w:iCs/>
                <w:noProof/>
                <w:sz w:val="18"/>
                <w:szCs w:val="18"/>
              </w:rPr>
            </w:pPr>
            <w:r>
              <w:rPr>
                <w:b/>
                <w:bCs/>
                <w:i/>
                <w:iCs/>
                <w:noProof/>
                <w:sz w:val="18"/>
                <w:szCs w:val="18"/>
              </w:rPr>
              <w:t>629,9</w:t>
            </w:r>
          </w:p>
        </w:tc>
      </w:tr>
    </w:tbl>
    <w:p>
      <w:pPr>
        <w:pStyle w:val="ManualHeading2"/>
        <w:rPr>
          <w:noProof/>
        </w:rPr>
      </w:pPr>
      <w:r>
        <w:rPr>
          <w:noProof/>
        </w:rPr>
        <w:t>3.5.</w:t>
      </w:r>
      <w:r>
        <w:rPr>
          <w:noProof/>
        </w:rPr>
        <w:tab/>
        <w:t>Marja pentru situații neprevăzute</w:t>
      </w:r>
    </w:p>
    <w:p>
      <w:pPr>
        <w:pStyle w:val="Text1"/>
        <w:rPr>
          <w:bCs/>
          <w:noProof/>
        </w:rPr>
      </w:pPr>
      <w:r>
        <w:rPr>
          <w:noProof/>
        </w:rPr>
        <w:t>În conformitate cu articolul 13 din Regulamentul privind CFM, se constituie, în afara plafoanelor cadrului financiar pentru perioada 2014-2020, o marjă pentru situații neprevăzute de până la 0,03 % din venitul național brut al Uniunii.</w:t>
      </w:r>
    </w:p>
    <w:p>
      <w:pPr>
        <w:pStyle w:val="Text1"/>
        <w:rPr>
          <w:bCs/>
          <w:noProof/>
        </w:rPr>
      </w:pPr>
      <w:r>
        <w:rPr>
          <w:noProof/>
        </w:rPr>
        <w:t>Valoarea absolută a marjei pentru situații neprevăzute pentru exercițiul 2020 este de 5 096,8 milioane EUR, astfel cum s-a stabilit în ajustarea tehnică a CFM pentru 2020, adoptată în mai 2019.</w:t>
      </w:r>
    </w:p>
    <w:p>
      <w:pPr>
        <w:pStyle w:val="Text1"/>
        <w:rPr>
          <w:bCs/>
          <w:noProof/>
        </w:rPr>
      </w:pPr>
      <w:r>
        <w:rPr>
          <w:noProof/>
        </w:rPr>
        <w:t>Tabelul de mai jos prezintă în detaliu sumele disponibile anuale și utilizarea marjei pentru situații neprevăzute începând din 2014:</w:t>
      </w:r>
    </w:p>
    <w:tbl>
      <w:tblPr>
        <w:tblW w:w="9605" w:type="dxa"/>
        <w:jc w:val="center"/>
        <w:tblCellMar>
          <w:left w:w="70" w:type="dxa"/>
          <w:right w:w="70" w:type="dxa"/>
        </w:tblCellMar>
        <w:tblLook w:val="04A0" w:firstRow="1" w:lastRow="0" w:firstColumn="1" w:lastColumn="0" w:noHBand="0" w:noVBand="1"/>
      </w:tblPr>
      <w:tblGrid>
        <w:gridCol w:w="2012"/>
        <w:gridCol w:w="925"/>
        <w:gridCol w:w="925"/>
        <w:gridCol w:w="925"/>
        <w:gridCol w:w="1016"/>
        <w:gridCol w:w="925"/>
        <w:gridCol w:w="925"/>
        <w:gridCol w:w="925"/>
        <w:gridCol w:w="1016"/>
        <w:gridCol w:w="11"/>
      </w:tblGrid>
      <w:tr>
        <w:trPr>
          <w:trHeight w:val="255"/>
          <w:jc w:val="center"/>
        </w:trPr>
        <w:tc>
          <w:tcPr>
            <w:tcW w:w="96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pPr>
              <w:keepNext/>
              <w:keepLines/>
              <w:spacing w:before="0" w:after="0"/>
              <w:jc w:val="center"/>
              <w:rPr>
                <w:b/>
                <w:bCs/>
                <w:noProof/>
                <w:sz w:val="18"/>
                <w:szCs w:val="18"/>
              </w:rPr>
            </w:pPr>
            <w:r>
              <w:rPr>
                <w:b/>
                <w:bCs/>
                <w:noProof/>
                <w:sz w:val="18"/>
                <w:szCs w:val="18"/>
              </w:rPr>
              <w:t>Marja pentru situații neprevăzute</w:t>
            </w:r>
          </w:p>
        </w:tc>
      </w:tr>
      <w:tr>
        <w:trPr>
          <w:trHeight w:val="212"/>
          <w:jc w:val="center"/>
        </w:trPr>
        <w:tc>
          <w:tcPr>
            <w:tcW w:w="96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pPr>
              <w:keepNext/>
              <w:keepLines/>
              <w:spacing w:before="0" w:after="0"/>
              <w:jc w:val="right"/>
              <w:rPr>
                <w:i/>
                <w:iCs/>
                <w:noProof/>
                <w:sz w:val="18"/>
                <w:szCs w:val="18"/>
              </w:rPr>
            </w:pPr>
            <w:r>
              <w:rPr>
                <w:i/>
                <w:iCs/>
                <w:noProof/>
                <w:sz w:val="18"/>
                <w:szCs w:val="18"/>
              </w:rPr>
              <w:t>Milioane EUR</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2014</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2015</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2016</w:t>
            </w:r>
          </w:p>
        </w:tc>
        <w:tc>
          <w:tcPr>
            <w:tcW w:w="1016"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2017</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2018</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2019</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2020</w:t>
            </w:r>
          </w:p>
        </w:tc>
        <w:tc>
          <w:tcPr>
            <w:tcW w:w="1016"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center"/>
              <w:rPr>
                <w:b/>
                <w:bCs/>
                <w:noProof/>
                <w:sz w:val="18"/>
                <w:szCs w:val="18"/>
              </w:rPr>
            </w:pPr>
            <w:r>
              <w:rPr>
                <w:b/>
                <w:bCs/>
                <w:noProof/>
                <w:sz w:val="18"/>
                <w:szCs w:val="18"/>
              </w:rPr>
              <w:t>Total</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Sume anuale disponibile</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4 026,7</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4 175,4</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4 438,2</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4 496,8</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4 711,3</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4 946,7</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5 096,8</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b/>
                <w:bCs/>
                <w:noProof/>
                <w:sz w:val="18"/>
                <w:szCs w:val="18"/>
              </w:rPr>
            </w:pPr>
            <w:r>
              <w:rPr>
                <w:b/>
                <w:bCs/>
                <w:noProof/>
                <w:sz w:val="18"/>
                <w:szCs w:val="18"/>
              </w:rPr>
              <w:t>31 892</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Utilizare anuală</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left"/>
              <w:rPr>
                <w:b/>
                <w:bCs/>
                <w:noProof/>
                <w:sz w:val="18"/>
                <w:szCs w:val="18"/>
              </w:rPr>
            </w:pPr>
            <w:r>
              <w:rPr>
                <w:b/>
                <w:bCs/>
                <w:noProof/>
                <w:sz w:val="18"/>
                <w:szCs w:val="18"/>
              </w:rPr>
              <w:t> </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ind w:firstLineChars="100" w:firstLine="180"/>
              <w:jc w:val="left"/>
              <w:rPr>
                <w:i/>
                <w:iCs/>
                <w:noProof/>
                <w:sz w:val="18"/>
                <w:szCs w:val="18"/>
              </w:rPr>
            </w:pPr>
            <w:r>
              <w:rPr>
                <w:i/>
                <w:iCs/>
                <w:noProof/>
                <w:sz w:val="18"/>
                <w:szCs w:val="18"/>
              </w:rPr>
              <w:t>în angajamente</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240,1</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1 906,2</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b/>
                <w:bCs/>
                <w:noProof/>
                <w:sz w:val="18"/>
                <w:szCs w:val="18"/>
              </w:rPr>
            </w:pPr>
            <w:r>
              <w:rPr>
                <w:b/>
                <w:bCs/>
                <w:noProof/>
                <w:sz w:val="18"/>
                <w:szCs w:val="18"/>
              </w:rPr>
              <w:t>2 146,3</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ind w:firstLineChars="100" w:firstLine="180"/>
              <w:jc w:val="left"/>
              <w:rPr>
                <w:i/>
                <w:iCs/>
                <w:noProof/>
                <w:sz w:val="18"/>
                <w:szCs w:val="18"/>
              </w:rPr>
            </w:pPr>
            <w:r>
              <w:rPr>
                <w:i/>
                <w:iCs/>
                <w:noProof/>
                <w:sz w:val="18"/>
                <w:szCs w:val="18"/>
              </w:rPr>
              <w:t>în plăți</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2 818,2</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b/>
                <w:bCs/>
                <w:noProof/>
                <w:sz w:val="18"/>
                <w:szCs w:val="18"/>
              </w:rPr>
            </w:pPr>
            <w:r>
              <w:rPr>
                <w:b/>
                <w:bCs/>
                <w:noProof/>
                <w:sz w:val="18"/>
                <w:szCs w:val="18"/>
              </w:rPr>
              <w:t>2 818,2</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Compensare anuală</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left"/>
              <w:rPr>
                <w:b/>
                <w:bCs/>
                <w:noProof/>
                <w:sz w:val="18"/>
                <w:szCs w:val="18"/>
              </w:rPr>
            </w:pPr>
            <w:r>
              <w:rPr>
                <w:b/>
                <w:bCs/>
                <w:noProof/>
                <w:sz w:val="18"/>
                <w:szCs w:val="18"/>
              </w:rPr>
              <w:t> </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ind w:firstLineChars="100" w:firstLine="180"/>
              <w:jc w:val="left"/>
              <w:rPr>
                <w:i/>
                <w:iCs/>
                <w:noProof/>
                <w:sz w:val="18"/>
                <w:szCs w:val="18"/>
              </w:rPr>
            </w:pPr>
            <w:r>
              <w:rPr>
                <w:i/>
                <w:iCs/>
                <w:noProof/>
                <w:sz w:val="18"/>
                <w:szCs w:val="18"/>
              </w:rPr>
              <w:t>în angajamente</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-240,1</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-1 082,3</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-318,0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-253,9</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-252,0</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b/>
                <w:bCs/>
                <w:noProof/>
                <w:sz w:val="18"/>
                <w:szCs w:val="18"/>
              </w:rPr>
            </w:pPr>
            <w:r>
              <w:rPr>
                <w:b/>
                <w:bCs/>
                <w:noProof/>
                <w:sz w:val="18"/>
                <w:szCs w:val="18"/>
              </w:rPr>
              <w:t>-2 146,3</w:t>
            </w:r>
          </w:p>
        </w:tc>
      </w:tr>
      <w:tr>
        <w:trPr>
          <w:gridAfter w:val="1"/>
          <w:wAfter w:w="11" w:type="dxa"/>
          <w:trHeight w:val="255"/>
          <w:jc w:val="center"/>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pPr>
              <w:keepNext/>
              <w:keepLines/>
              <w:spacing w:before="0" w:after="0"/>
              <w:ind w:firstLineChars="100" w:firstLine="180"/>
              <w:jc w:val="left"/>
              <w:rPr>
                <w:i/>
                <w:iCs/>
                <w:noProof/>
                <w:sz w:val="18"/>
                <w:szCs w:val="18"/>
              </w:rPr>
            </w:pPr>
            <w:r>
              <w:rPr>
                <w:i/>
                <w:iCs/>
                <w:noProof/>
                <w:sz w:val="18"/>
                <w:szCs w:val="18"/>
              </w:rPr>
              <w:t>în plăți</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1016"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-2 818,2</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1016"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b/>
                <w:bCs/>
                <w:noProof/>
                <w:sz w:val="18"/>
                <w:szCs w:val="18"/>
              </w:rPr>
            </w:pPr>
            <w:r>
              <w:rPr>
                <w:b/>
                <w:bCs/>
                <w:noProof/>
                <w:sz w:val="18"/>
                <w:szCs w:val="18"/>
              </w:rPr>
              <w:t>-2 818,2</w:t>
            </w:r>
          </w:p>
        </w:tc>
      </w:tr>
    </w:tbl>
    <w:p>
      <w:pPr>
        <w:pStyle w:val="ManualHeading2"/>
        <w:rPr>
          <w:noProof/>
        </w:rPr>
      </w:pPr>
      <w:r>
        <w:rPr>
          <w:noProof/>
        </w:rPr>
        <w:t>3.6.</w:t>
      </w:r>
      <w:r>
        <w:rPr>
          <w:noProof/>
        </w:rPr>
        <w:tab/>
        <w:t>Marja globală pentru angajamentele destinate creșterii economice și ocupării forței de muncă, în special în rândul tinerilor, precum și măsurilor legate de migrație și securitate (MGA)</w:t>
      </w:r>
    </w:p>
    <w:p>
      <w:pPr>
        <w:pStyle w:val="Text1"/>
        <w:rPr>
          <w:noProof/>
        </w:rPr>
      </w:pPr>
      <w:r>
        <w:rPr>
          <w:noProof/>
        </w:rPr>
        <w:t>În conformitate cu articolul 14 din Regulamentul privind CFM, modificat prin Regulamentul (UE, Euratom) nr. 2017/1123 al Consiliului, marjele rămase disponibile sub plafoanele CFM pentru credite de angajament constituie o marjă CFM globală pentru angajamente, care se disponibilizează peste plafoanele stabilite în CFM pentru anii 2016-2020 pentru obiective de politică legate de creșterea economică și ocuparea forței de muncă, în special în rândul tinerilor, și de migrație și securitate.</w:t>
      </w:r>
    </w:p>
    <w:p>
      <w:pPr>
        <w:pStyle w:val="Text1"/>
        <w:rPr>
          <w:noProof/>
        </w:rPr>
      </w:pPr>
      <w:r>
        <w:rPr>
          <w:noProof/>
        </w:rPr>
        <w:t>În bugetul definitiv al exercițiului 2019, marja rămasă disponibilă sub plafonul angajamentelor se ridică la 1 291,1 milioane EUR. Angajamentele privind instrumentele speciale (inclusiv utilizarea MGA și a marjei pentru situații neprevăzute) nu se iau în considerare, întrucât sunt executate peste plafoanele CFM.</w:t>
      </w:r>
    </w:p>
    <w:p>
      <w:pPr>
        <w:pStyle w:val="Text1"/>
        <w:rPr>
          <w:noProof/>
        </w:rPr>
      </w:pPr>
      <w:r>
        <w:rPr>
          <w:noProof/>
        </w:rPr>
        <w:t>În conformitate cu articolul 6 alineatul (2) din Regulamentul privind CFM, pentru calcularea MGA se utilizează deflatorul anual de 2 %. Marja rămasă din 2019 care va fi disponibilizată pentru 2020 corespunde sumei de 1 316,9 milioane EUR în prețuri curente. Valoarea MGA în prețurile din 2011 corespunde sumei de 1 101,9 milioane EUR.</w:t>
      </w:r>
    </w:p>
    <w:p>
      <w:pPr>
        <w:pStyle w:val="Text1"/>
        <w:rPr>
          <w:noProof/>
        </w:rPr>
      </w:pPr>
      <w:r>
        <w:rPr>
          <w:noProof/>
        </w:rPr>
        <w:t>Tabelul de mai jos prezintă în detaliu calcularea MGA pentru 2019:</w:t>
      </w:r>
    </w:p>
    <w:tbl>
      <w:tblPr>
        <w:tblW w:w="5870" w:type="dxa"/>
        <w:jc w:val="center"/>
        <w:tblCellMar>
          <w:left w:w="70" w:type="dxa"/>
          <w:right w:w="70" w:type="dxa"/>
        </w:tblCellMar>
        <w:tblLook w:val="04A0" w:firstRow="1" w:lastRow="0" w:firstColumn="1" w:lastColumn="0" w:noHBand="0" w:noVBand="1"/>
      </w:tblPr>
      <w:tblGrid>
        <w:gridCol w:w="4794"/>
        <w:gridCol w:w="1076"/>
      </w:tblGrid>
      <w:tr>
        <w:trPr>
          <w:trHeight w:val="270"/>
          <w:jc w:val="center"/>
        </w:trPr>
        <w:tc>
          <w:tcPr>
            <w:tcW w:w="5870" w:type="dxa"/>
            <w:gridSpan w:val="2"/>
            <w:tcBorders>
              <w:top w:val="single" w:sz="8" w:space="0" w:color="auto"/>
              <w:left w:val="single" w:sz="8" w:space="0" w:color="auto"/>
              <w:bottom w:val="single" w:sz="8" w:space="0" w:color="auto"/>
              <w:right w:val="single" w:sz="8" w:space="0" w:color="000000"/>
            </w:tcBorders>
            <w:shd w:val="clear" w:color="auto" w:fill="auto"/>
            <w:hideMark/>
          </w:tcPr>
          <w:p>
            <w:pPr>
              <w:spacing w:before="0" w:after="0"/>
              <w:jc w:val="center"/>
              <w:rPr>
                <w:b/>
                <w:bCs/>
                <w:noProof/>
                <w:sz w:val="18"/>
                <w:szCs w:val="18"/>
              </w:rPr>
            </w:pPr>
            <w:r>
              <w:rPr>
                <w:b/>
                <w:bCs/>
                <w:noProof/>
                <w:sz w:val="18"/>
                <w:szCs w:val="18"/>
              </w:rPr>
              <w:t>Marja globală pentru angajamente – 2019</w:t>
            </w:r>
          </w:p>
        </w:tc>
      </w:tr>
      <w:tr>
        <w:trPr>
          <w:trHeight w:val="270"/>
          <w:jc w:val="center"/>
        </w:trPr>
        <w:tc>
          <w:tcPr>
            <w:tcW w:w="5870" w:type="dxa"/>
            <w:gridSpan w:val="2"/>
            <w:tcBorders>
              <w:top w:val="nil"/>
              <w:left w:val="single" w:sz="8" w:space="0" w:color="auto"/>
              <w:bottom w:val="single" w:sz="8" w:space="0" w:color="auto"/>
              <w:right w:val="single" w:sz="8" w:space="0" w:color="auto"/>
            </w:tcBorders>
            <w:shd w:val="clear" w:color="auto" w:fill="auto"/>
            <w:hideMark/>
          </w:tcPr>
          <w:p>
            <w:pPr>
              <w:spacing w:before="0" w:after="0"/>
              <w:jc w:val="right"/>
              <w:rPr>
                <w:i/>
                <w:iCs/>
                <w:noProof/>
                <w:sz w:val="18"/>
                <w:szCs w:val="18"/>
              </w:rPr>
            </w:pPr>
            <w:r>
              <w:rPr>
                <w:b/>
                <w:bCs/>
                <w:noProof/>
                <w:sz w:val="18"/>
                <w:szCs w:val="18"/>
              </w:rPr>
              <w:t> </w:t>
            </w:r>
            <w:r>
              <w:rPr>
                <w:i/>
                <w:iCs/>
                <w:noProof/>
                <w:sz w:val="18"/>
                <w:szCs w:val="18"/>
              </w:rPr>
              <w:t>Milioane EUR</w:t>
            </w:r>
          </w:p>
        </w:tc>
      </w:tr>
      <w:tr>
        <w:trPr>
          <w:trHeight w:val="270"/>
          <w:jc w:val="center"/>
        </w:trPr>
        <w:tc>
          <w:tcPr>
            <w:tcW w:w="4794" w:type="dxa"/>
            <w:tcBorders>
              <w:top w:val="nil"/>
              <w:left w:val="single" w:sz="8" w:space="0" w:color="auto"/>
              <w:bottom w:val="single" w:sz="8" w:space="0" w:color="auto"/>
              <w:right w:val="single" w:sz="8" w:space="0" w:color="auto"/>
            </w:tcBorders>
            <w:shd w:val="clear" w:color="auto" w:fill="auto"/>
            <w:hideMark/>
          </w:tcPr>
          <w:p>
            <w:pPr>
              <w:spacing w:before="0" w:after="0"/>
              <w:jc w:val="left"/>
              <w:rPr>
                <w:noProof/>
                <w:sz w:val="18"/>
                <w:szCs w:val="18"/>
              </w:rPr>
            </w:pPr>
            <w:r>
              <w:rPr>
                <w:noProof/>
                <w:sz w:val="18"/>
                <w:szCs w:val="18"/>
              </w:rPr>
              <w:t>Plafonul CA 2019</w:t>
            </w:r>
          </w:p>
        </w:tc>
        <w:tc>
          <w:tcPr>
            <w:tcW w:w="1076" w:type="dxa"/>
            <w:tcBorders>
              <w:top w:val="nil"/>
              <w:left w:val="nil"/>
              <w:bottom w:val="single" w:sz="8" w:space="0" w:color="auto"/>
              <w:right w:val="single" w:sz="8" w:space="0" w:color="auto"/>
            </w:tcBorders>
            <w:shd w:val="clear" w:color="auto" w:fill="auto"/>
            <w:hideMark/>
          </w:tcPr>
          <w:p>
            <w:pPr>
              <w:spacing w:before="0" w:after="0"/>
              <w:jc w:val="right"/>
              <w:rPr>
                <w:noProof/>
                <w:sz w:val="18"/>
                <w:szCs w:val="18"/>
              </w:rPr>
            </w:pPr>
            <w:r>
              <w:rPr>
                <w:noProof/>
                <w:sz w:val="18"/>
                <w:szCs w:val="18"/>
              </w:rPr>
              <w:t>164 123,0</w:t>
            </w:r>
          </w:p>
        </w:tc>
      </w:tr>
      <w:tr>
        <w:trPr>
          <w:trHeight w:val="270"/>
          <w:jc w:val="center"/>
        </w:trPr>
        <w:tc>
          <w:tcPr>
            <w:tcW w:w="4794" w:type="dxa"/>
            <w:tcBorders>
              <w:top w:val="nil"/>
              <w:left w:val="single" w:sz="8" w:space="0" w:color="auto"/>
              <w:bottom w:val="single" w:sz="8" w:space="0" w:color="auto"/>
              <w:right w:val="single" w:sz="8" w:space="0" w:color="auto"/>
            </w:tcBorders>
            <w:shd w:val="clear" w:color="auto" w:fill="auto"/>
            <w:hideMark/>
          </w:tcPr>
          <w:p>
            <w:pPr>
              <w:spacing w:before="0" w:after="0"/>
              <w:jc w:val="left"/>
              <w:rPr>
                <w:noProof/>
                <w:sz w:val="18"/>
                <w:szCs w:val="18"/>
              </w:rPr>
            </w:pPr>
            <w:r>
              <w:rPr>
                <w:noProof/>
                <w:sz w:val="18"/>
                <w:szCs w:val="18"/>
              </w:rPr>
              <w:t>Total credite autorizate în bugetul 2019</w:t>
            </w:r>
          </w:p>
        </w:tc>
        <w:tc>
          <w:tcPr>
            <w:tcW w:w="1076" w:type="dxa"/>
            <w:tcBorders>
              <w:top w:val="nil"/>
              <w:left w:val="nil"/>
              <w:bottom w:val="single" w:sz="8" w:space="0" w:color="auto"/>
              <w:right w:val="single" w:sz="8" w:space="0" w:color="auto"/>
            </w:tcBorders>
            <w:shd w:val="clear" w:color="auto" w:fill="auto"/>
            <w:hideMark/>
          </w:tcPr>
          <w:p>
            <w:pPr>
              <w:spacing w:before="0" w:after="0"/>
              <w:jc w:val="right"/>
              <w:rPr>
                <w:noProof/>
                <w:sz w:val="18"/>
                <w:szCs w:val="18"/>
              </w:rPr>
            </w:pPr>
            <w:r>
              <w:rPr>
                <w:noProof/>
                <w:sz w:val="18"/>
                <w:szCs w:val="18"/>
              </w:rPr>
              <w:t>166 189,2</w:t>
            </w:r>
          </w:p>
        </w:tc>
      </w:tr>
      <w:tr>
        <w:trPr>
          <w:trHeight w:val="270"/>
          <w:jc w:val="center"/>
        </w:trPr>
        <w:tc>
          <w:tcPr>
            <w:tcW w:w="4794" w:type="dxa"/>
            <w:tcBorders>
              <w:top w:val="nil"/>
              <w:left w:val="single" w:sz="8" w:space="0" w:color="auto"/>
              <w:bottom w:val="single" w:sz="8" w:space="0" w:color="auto"/>
              <w:right w:val="single" w:sz="8" w:space="0" w:color="auto"/>
            </w:tcBorders>
            <w:shd w:val="clear" w:color="auto" w:fill="auto"/>
            <w:hideMark/>
          </w:tcPr>
          <w:p>
            <w:pPr>
              <w:spacing w:before="0" w:after="0"/>
              <w:jc w:val="left"/>
              <w:rPr>
                <w:noProof/>
                <w:sz w:val="18"/>
                <w:szCs w:val="18"/>
              </w:rPr>
            </w:pPr>
            <w:r>
              <w:rPr>
                <w:noProof/>
                <w:sz w:val="18"/>
                <w:szCs w:val="18"/>
              </w:rPr>
              <w:t>din care instrumente speciale:</w:t>
            </w:r>
          </w:p>
        </w:tc>
        <w:tc>
          <w:tcPr>
            <w:tcW w:w="1076" w:type="dxa"/>
            <w:tcBorders>
              <w:top w:val="nil"/>
              <w:left w:val="nil"/>
              <w:bottom w:val="single" w:sz="8" w:space="0" w:color="auto"/>
              <w:right w:val="single" w:sz="8" w:space="0" w:color="auto"/>
            </w:tcBorders>
            <w:shd w:val="clear" w:color="auto" w:fill="auto"/>
            <w:hideMark/>
          </w:tcPr>
          <w:p>
            <w:pPr>
              <w:spacing w:before="0" w:after="0"/>
              <w:jc w:val="right"/>
              <w:rPr>
                <w:noProof/>
                <w:sz w:val="18"/>
                <w:szCs w:val="18"/>
              </w:rPr>
            </w:pPr>
            <w:r>
              <w:rPr>
                <w:noProof/>
                <w:sz w:val="18"/>
                <w:szCs w:val="18"/>
              </w:rPr>
              <w:t>3 357,3</w:t>
            </w:r>
          </w:p>
        </w:tc>
      </w:tr>
      <w:tr>
        <w:trPr>
          <w:trHeight w:val="255"/>
          <w:jc w:val="center"/>
        </w:trPr>
        <w:tc>
          <w:tcPr>
            <w:tcW w:w="4794" w:type="dxa"/>
            <w:tcBorders>
              <w:top w:val="nil"/>
              <w:left w:val="single" w:sz="8" w:space="0" w:color="auto"/>
              <w:bottom w:val="nil"/>
              <w:right w:val="single" w:sz="8" w:space="0" w:color="auto"/>
            </w:tcBorders>
            <w:shd w:val="clear" w:color="auto" w:fill="auto"/>
            <w:vAlign w:val="center"/>
            <w:hideMark/>
          </w:tcPr>
          <w:p>
            <w:pPr>
              <w:spacing w:before="0" w:after="0"/>
              <w:ind w:firstLineChars="100" w:firstLine="180"/>
              <w:jc w:val="left"/>
              <w:rPr>
                <w:noProof/>
                <w:sz w:val="18"/>
                <w:szCs w:val="18"/>
              </w:rPr>
            </w:pPr>
            <w:r>
              <w:rPr>
                <w:noProof/>
                <w:sz w:val="18"/>
                <w:szCs w:val="18"/>
              </w:rPr>
              <w:t>Fondul de solidaritate al Uniunii Europene</w:t>
            </w:r>
          </w:p>
        </w:tc>
        <w:tc>
          <w:tcPr>
            <w:tcW w:w="1076" w:type="dxa"/>
            <w:tcBorders>
              <w:top w:val="nil"/>
              <w:left w:val="nil"/>
              <w:bottom w:val="nil"/>
              <w:right w:val="single" w:sz="8" w:space="0" w:color="auto"/>
            </w:tcBorders>
            <w:shd w:val="clear" w:color="auto" w:fill="auto"/>
            <w:hideMark/>
          </w:tcPr>
          <w:p>
            <w:pPr>
              <w:spacing w:before="0" w:after="0"/>
              <w:jc w:val="right"/>
              <w:rPr>
                <w:noProof/>
                <w:sz w:val="18"/>
                <w:szCs w:val="18"/>
              </w:rPr>
            </w:pPr>
            <w:r>
              <w:rPr>
                <w:noProof/>
                <w:sz w:val="18"/>
                <w:szCs w:val="18"/>
              </w:rPr>
              <w:t>343,6</w:t>
            </w:r>
          </w:p>
        </w:tc>
      </w:tr>
      <w:tr>
        <w:trPr>
          <w:trHeight w:val="255"/>
          <w:jc w:val="center"/>
        </w:trPr>
        <w:tc>
          <w:tcPr>
            <w:tcW w:w="4794" w:type="dxa"/>
            <w:tcBorders>
              <w:top w:val="nil"/>
              <w:left w:val="single" w:sz="8" w:space="0" w:color="auto"/>
              <w:bottom w:val="nil"/>
              <w:right w:val="single" w:sz="8" w:space="0" w:color="auto"/>
            </w:tcBorders>
            <w:shd w:val="clear" w:color="auto" w:fill="auto"/>
            <w:vAlign w:val="center"/>
            <w:hideMark/>
          </w:tcPr>
          <w:p>
            <w:pPr>
              <w:spacing w:before="0" w:after="0"/>
              <w:ind w:firstLineChars="100" w:firstLine="180"/>
              <w:jc w:val="left"/>
              <w:rPr>
                <w:noProof/>
                <w:sz w:val="18"/>
                <w:szCs w:val="18"/>
              </w:rPr>
            </w:pPr>
            <w:r>
              <w:rPr>
                <w:noProof/>
                <w:sz w:val="18"/>
                <w:szCs w:val="18"/>
              </w:rPr>
              <w:t>Fondul european de ajustare la globalizare (FEG)</w:t>
            </w:r>
          </w:p>
        </w:tc>
        <w:tc>
          <w:tcPr>
            <w:tcW w:w="1076" w:type="dxa"/>
            <w:tcBorders>
              <w:top w:val="nil"/>
              <w:left w:val="nil"/>
              <w:bottom w:val="nil"/>
              <w:right w:val="single" w:sz="8" w:space="0" w:color="auto"/>
            </w:tcBorders>
            <w:shd w:val="clear" w:color="auto" w:fill="auto"/>
            <w:hideMark/>
          </w:tcPr>
          <w:p>
            <w:pPr>
              <w:spacing w:before="0" w:after="0"/>
              <w:jc w:val="right"/>
              <w:rPr>
                <w:noProof/>
                <w:sz w:val="18"/>
                <w:szCs w:val="18"/>
              </w:rPr>
            </w:pPr>
            <w:r>
              <w:rPr>
                <w:noProof/>
                <w:sz w:val="18"/>
                <w:szCs w:val="18"/>
              </w:rPr>
              <w:t>175,7</w:t>
            </w:r>
          </w:p>
        </w:tc>
      </w:tr>
      <w:tr>
        <w:trPr>
          <w:trHeight w:val="255"/>
          <w:jc w:val="center"/>
        </w:trPr>
        <w:tc>
          <w:tcPr>
            <w:tcW w:w="4794" w:type="dxa"/>
            <w:tcBorders>
              <w:top w:val="nil"/>
              <w:left w:val="single" w:sz="8" w:space="0" w:color="auto"/>
              <w:bottom w:val="nil"/>
              <w:right w:val="single" w:sz="8" w:space="0" w:color="auto"/>
            </w:tcBorders>
            <w:shd w:val="clear" w:color="auto" w:fill="auto"/>
            <w:vAlign w:val="center"/>
            <w:hideMark/>
          </w:tcPr>
          <w:p>
            <w:pPr>
              <w:spacing w:before="0" w:after="0"/>
              <w:ind w:firstLineChars="100" w:firstLine="180"/>
              <w:jc w:val="left"/>
              <w:rPr>
                <w:noProof/>
                <w:sz w:val="18"/>
                <w:szCs w:val="18"/>
              </w:rPr>
            </w:pPr>
            <w:r>
              <w:rPr>
                <w:noProof/>
                <w:sz w:val="18"/>
                <w:szCs w:val="18"/>
              </w:rPr>
              <w:t>Rezerva pentru ajutoare de urgență</w:t>
            </w:r>
          </w:p>
        </w:tc>
        <w:tc>
          <w:tcPr>
            <w:tcW w:w="1076" w:type="dxa"/>
            <w:tcBorders>
              <w:top w:val="nil"/>
              <w:left w:val="nil"/>
              <w:bottom w:val="nil"/>
              <w:right w:val="single" w:sz="8" w:space="0" w:color="auto"/>
            </w:tcBorders>
            <w:shd w:val="clear" w:color="auto" w:fill="auto"/>
            <w:hideMark/>
          </w:tcPr>
          <w:p>
            <w:pPr>
              <w:spacing w:before="0" w:after="0"/>
              <w:jc w:val="right"/>
              <w:rPr>
                <w:noProof/>
                <w:sz w:val="18"/>
                <w:szCs w:val="18"/>
              </w:rPr>
            </w:pPr>
            <w:r>
              <w:rPr>
                <w:noProof/>
                <w:sz w:val="18"/>
                <w:szCs w:val="18"/>
              </w:rPr>
              <w:t>351,5</w:t>
            </w:r>
          </w:p>
        </w:tc>
      </w:tr>
      <w:tr>
        <w:trPr>
          <w:trHeight w:val="255"/>
          <w:jc w:val="center"/>
        </w:trPr>
        <w:tc>
          <w:tcPr>
            <w:tcW w:w="4794" w:type="dxa"/>
            <w:tcBorders>
              <w:top w:val="nil"/>
              <w:left w:val="single" w:sz="8" w:space="0" w:color="auto"/>
              <w:bottom w:val="nil"/>
              <w:right w:val="single" w:sz="8" w:space="0" w:color="auto"/>
            </w:tcBorders>
            <w:shd w:val="clear" w:color="auto" w:fill="auto"/>
            <w:vAlign w:val="center"/>
            <w:hideMark/>
          </w:tcPr>
          <w:p>
            <w:pPr>
              <w:spacing w:before="0" w:after="0"/>
              <w:ind w:firstLineChars="100" w:firstLine="180"/>
              <w:jc w:val="left"/>
              <w:rPr>
                <w:noProof/>
                <w:sz w:val="18"/>
                <w:szCs w:val="18"/>
              </w:rPr>
            </w:pPr>
            <w:r>
              <w:rPr>
                <w:noProof/>
                <w:sz w:val="18"/>
                <w:szCs w:val="18"/>
              </w:rPr>
              <w:t>Instrumentul de flexibilitate</w:t>
            </w:r>
          </w:p>
        </w:tc>
        <w:tc>
          <w:tcPr>
            <w:tcW w:w="1076" w:type="dxa"/>
            <w:tcBorders>
              <w:top w:val="nil"/>
              <w:left w:val="nil"/>
              <w:bottom w:val="nil"/>
              <w:right w:val="single" w:sz="8" w:space="0" w:color="auto"/>
            </w:tcBorders>
            <w:shd w:val="clear" w:color="auto" w:fill="auto"/>
            <w:hideMark/>
          </w:tcPr>
          <w:p>
            <w:pPr>
              <w:spacing w:before="0" w:after="0"/>
              <w:jc w:val="right"/>
              <w:rPr>
                <w:noProof/>
                <w:sz w:val="18"/>
                <w:szCs w:val="18"/>
              </w:rPr>
            </w:pPr>
            <w:r>
              <w:rPr>
                <w:noProof/>
                <w:sz w:val="18"/>
                <w:szCs w:val="18"/>
              </w:rPr>
              <w:t>1 164,3</w:t>
            </w:r>
          </w:p>
        </w:tc>
      </w:tr>
      <w:tr>
        <w:trPr>
          <w:trHeight w:val="270"/>
          <w:jc w:val="center"/>
        </w:trPr>
        <w:tc>
          <w:tcPr>
            <w:tcW w:w="4794" w:type="dxa"/>
            <w:tcBorders>
              <w:top w:val="nil"/>
              <w:left w:val="single" w:sz="8" w:space="0" w:color="auto"/>
              <w:bottom w:val="nil"/>
              <w:right w:val="single" w:sz="8" w:space="0" w:color="auto"/>
            </w:tcBorders>
            <w:shd w:val="clear" w:color="auto" w:fill="auto"/>
            <w:vAlign w:val="center"/>
            <w:hideMark/>
          </w:tcPr>
          <w:p>
            <w:pPr>
              <w:spacing w:before="0" w:after="0"/>
              <w:ind w:firstLineChars="100" w:firstLine="180"/>
              <w:jc w:val="left"/>
              <w:rPr>
                <w:noProof/>
                <w:sz w:val="18"/>
                <w:szCs w:val="18"/>
              </w:rPr>
            </w:pPr>
            <w:r>
              <w:rPr>
                <w:noProof/>
                <w:sz w:val="18"/>
                <w:szCs w:val="18"/>
              </w:rPr>
              <w:t>Marja pentru situații neprevăzute</w:t>
            </w:r>
          </w:p>
        </w:tc>
        <w:tc>
          <w:tcPr>
            <w:tcW w:w="1076" w:type="dxa"/>
            <w:tcBorders>
              <w:top w:val="nil"/>
              <w:left w:val="nil"/>
              <w:bottom w:val="nil"/>
              <w:right w:val="single" w:sz="8" w:space="0" w:color="auto"/>
            </w:tcBorders>
            <w:shd w:val="clear" w:color="auto" w:fill="auto"/>
            <w:hideMark/>
          </w:tcPr>
          <w:p>
            <w:pPr>
              <w:spacing w:before="0" w:after="0"/>
              <w:jc w:val="right"/>
              <w:rPr>
                <w:noProof/>
                <w:sz w:val="18"/>
                <w:szCs w:val="18"/>
              </w:rPr>
            </w:pPr>
            <w:r>
              <w:rPr>
                <w:noProof/>
                <w:sz w:val="18"/>
                <w:szCs w:val="18"/>
              </w:rPr>
              <w:t>-253,9</w:t>
            </w:r>
          </w:p>
        </w:tc>
      </w:tr>
      <w:tr>
        <w:trPr>
          <w:trHeight w:val="270"/>
          <w:jc w:val="center"/>
        </w:trPr>
        <w:tc>
          <w:tcPr>
            <w:tcW w:w="4794" w:type="dxa"/>
            <w:tcBorders>
              <w:top w:val="nil"/>
              <w:left w:val="single" w:sz="8" w:space="0" w:color="auto"/>
              <w:bottom w:val="nil"/>
              <w:right w:val="single" w:sz="8" w:space="0" w:color="auto"/>
            </w:tcBorders>
            <w:shd w:val="clear" w:color="auto" w:fill="auto"/>
            <w:hideMark/>
          </w:tcPr>
          <w:p>
            <w:pPr>
              <w:spacing w:before="0" w:after="0"/>
              <w:ind w:firstLineChars="100" w:firstLine="180"/>
              <w:jc w:val="left"/>
              <w:rPr>
                <w:noProof/>
                <w:sz w:val="18"/>
                <w:szCs w:val="18"/>
              </w:rPr>
            </w:pPr>
            <w:r>
              <w:rPr>
                <w:noProof/>
                <w:sz w:val="18"/>
                <w:szCs w:val="18"/>
              </w:rPr>
              <w:t>MGA mobilizată în 2019</w:t>
            </w:r>
          </w:p>
        </w:tc>
        <w:tc>
          <w:tcPr>
            <w:tcW w:w="1076" w:type="dxa"/>
            <w:tcBorders>
              <w:top w:val="nil"/>
              <w:left w:val="nil"/>
              <w:bottom w:val="nil"/>
              <w:right w:val="single" w:sz="8" w:space="0" w:color="auto"/>
            </w:tcBorders>
            <w:shd w:val="clear" w:color="auto" w:fill="auto"/>
            <w:hideMark/>
          </w:tcPr>
          <w:p>
            <w:pPr>
              <w:spacing w:before="0" w:after="0"/>
              <w:jc w:val="right"/>
              <w:rPr>
                <w:noProof/>
                <w:sz w:val="18"/>
                <w:szCs w:val="18"/>
              </w:rPr>
            </w:pPr>
            <w:r>
              <w:rPr>
                <w:noProof/>
                <w:sz w:val="18"/>
                <w:szCs w:val="18"/>
              </w:rPr>
              <w:t>1 576,0</w:t>
            </w:r>
          </w:p>
        </w:tc>
      </w:tr>
      <w:tr>
        <w:trPr>
          <w:trHeight w:val="270"/>
          <w:jc w:val="center"/>
        </w:trPr>
        <w:tc>
          <w:tcPr>
            <w:tcW w:w="479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left"/>
              <w:rPr>
                <w:b/>
                <w:bCs/>
                <w:noProof/>
                <w:sz w:val="18"/>
                <w:szCs w:val="18"/>
              </w:rPr>
            </w:pPr>
            <w:r>
              <w:rPr>
                <w:b/>
                <w:bCs/>
                <w:noProof/>
                <w:sz w:val="18"/>
                <w:szCs w:val="18"/>
              </w:rPr>
              <w:t>Marja globală pentru angajamente 2019 (prețuri curente)</w:t>
            </w:r>
          </w:p>
        </w:tc>
        <w:tc>
          <w:tcPr>
            <w:tcW w:w="1076" w:type="dxa"/>
            <w:tcBorders>
              <w:top w:val="single" w:sz="8" w:space="0" w:color="auto"/>
              <w:left w:val="nil"/>
              <w:bottom w:val="single" w:sz="8" w:space="0" w:color="auto"/>
              <w:right w:val="single" w:sz="8" w:space="0" w:color="auto"/>
            </w:tcBorders>
            <w:shd w:val="clear" w:color="auto" w:fill="auto"/>
            <w:hideMark/>
          </w:tcPr>
          <w:p>
            <w:pPr>
              <w:spacing w:before="0" w:after="0"/>
              <w:jc w:val="right"/>
              <w:rPr>
                <w:b/>
                <w:bCs/>
                <w:noProof/>
                <w:sz w:val="18"/>
                <w:szCs w:val="18"/>
              </w:rPr>
            </w:pPr>
            <w:r>
              <w:rPr>
                <w:b/>
                <w:bCs/>
                <w:noProof/>
                <w:sz w:val="18"/>
                <w:szCs w:val="18"/>
              </w:rPr>
              <w:t>1 291,1</w:t>
            </w:r>
          </w:p>
        </w:tc>
      </w:tr>
      <w:tr>
        <w:trPr>
          <w:trHeight w:val="270"/>
          <w:jc w:val="center"/>
        </w:trPr>
        <w:tc>
          <w:tcPr>
            <w:tcW w:w="4794" w:type="dxa"/>
            <w:tcBorders>
              <w:top w:val="nil"/>
              <w:left w:val="single" w:sz="8" w:space="0" w:color="auto"/>
              <w:bottom w:val="single" w:sz="8" w:space="0" w:color="auto"/>
              <w:right w:val="single" w:sz="8" w:space="0" w:color="auto"/>
            </w:tcBorders>
            <w:shd w:val="clear" w:color="auto" w:fill="auto"/>
            <w:hideMark/>
          </w:tcPr>
          <w:p>
            <w:pPr>
              <w:spacing w:before="0" w:after="0"/>
              <w:jc w:val="left"/>
              <w:rPr>
                <w:i/>
                <w:iCs/>
                <w:noProof/>
                <w:sz w:val="18"/>
                <w:szCs w:val="18"/>
              </w:rPr>
            </w:pPr>
            <w:r>
              <w:rPr>
                <w:i/>
                <w:iCs/>
                <w:noProof/>
                <w:sz w:val="18"/>
                <w:szCs w:val="18"/>
              </w:rPr>
              <w:t>Marja globală pentru angajamente 2019 (prețurile din 2011)</w:t>
            </w:r>
          </w:p>
        </w:tc>
        <w:tc>
          <w:tcPr>
            <w:tcW w:w="1076" w:type="dxa"/>
            <w:tcBorders>
              <w:top w:val="nil"/>
              <w:left w:val="nil"/>
              <w:bottom w:val="single" w:sz="8" w:space="0" w:color="auto"/>
              <w:right w:val="single" w:sz="8" w:space="0" w:color="auto"/>
            </w:tcBorders>
            <w:shd w:val="clear" w:color="auto" w:fill="auto"/>
            <w:hideMark/>
          </w:tcPr>
          <w:p>
            <w:pPr>
              <w:spacing w:before="0" w:after="0"/>
              <w:jc w:val="right"/>
              <w:rPr>
                <w:i/>
                <w:iCs/>
                <w:noProof/>
                <w:sz w:val="18"/>
                <w:szCs w:val="18"/>
              </w:rPr>
            </w:pPr>
            <w:r>
              <w:rPr>
                <w:i/>
                <w:iCs/>
                <w:noProof/>
                <w:sz w:val="18"/>
                <w:szCs w:val="18"/>
              </w:rPr>
              <w:t>1 101,9</w:t>
            </w:r>
          </w:p>
        </w:tc>
      </w:tr>
      <w:tr>
        <w:trPr>
          <w:trHeight w:val="270"/>
          <w:jc w:val="center"/>
        </w:trPr>
        <w:tc>
          <w:tcPr>
            <w:tcW w:w="4794" w:type="dxa"/>
            <w:tcBorders>
              <w:top w:val="nil"/>
              <w:left w:val="single" w:sz="8" w:space="0" w:color="auto"/>
              <w:bottom w:val="single" w:sz="8" w:space="0" w:color="auto"/>
              <w:right w:val="single" w:sz="8" w:space="0" w:color="auto"/>
            </w:tcBorders>
            <w:shd w:val="clear" w:color="auto" w:fill="auto"/>
            <w:hideMark/>
          </w:tcPr>
          <w:p>
            <w:pPr>
              <w:spacing w:before="0" w:after="0"/>
              <w:jc w:val="left"/>
              <w:rPr>
                <w:b/>
                <w:bCs/>
                <w:noProof/>
                <w:sz w:val="18"/>
                <w:szCs w:val="18"/>
              </w:rPr>
            </w:pPr>
            <w:r>
              <w:rPr>
                <w:b/>
                <w:bCs/>
                <w:noProof/>
                <w:sz w:val="18"/>
                <w:szCs w:val="18"/>
              </w:rPr>
              <w:t>MGA 2019 disponibilă în 2020 (prețuri curente)</w:t>
            </w:r>
          </w:p>
        </w:tc>
        <w:tc>
          <w:tcPr>
            <w:tcW w:w="1076" w:type="dxa"/>
            <w:tcBorders>
              <w:top w:val="nil"/>
              <w:left w:val="nil"/>
              <w:bottom w:val="single" w:sz="8" w:space="0" w:color="auto"/>
              <w:right w:val="single" w:sz="8" w:space="0" w:color="auto"/>
            </w:tcBorders>
            <w:shd w:val="clear" w:color="auto" w:fill="auto"/>
            <w:hideMark/>
          </w:tcPr>
          <w:p>
            <w:pPr>
              <w:spacing w:before="0" w:after="0"/>
              <w:jc w:val="right"/>
              <w:rPr>
                <w:b/>
                <w:bCs/>
                <w:noProof/>
                <w:sz w:val="18"/>
                <w:szCs w:val="18"/>
              </w:rPr>
            </w:pPr>
            <w:r>
              <w:rPr>
                <w:b/>
                <w:bCs/>
                <w:noProof/>
                <w:sz w:val="18"/>
                <w:szCs w:val="18"/>
              </w:rPr>
              <w:t>1 316,9</w:t>
            </w:r>
          </w:p>
        </w:tc>
      </w:tr>
    </w:tbl>
    <w:p>
      <w:pPr>
        <w:pStyle w:val="Text1"/>
        <w:rPr>
          <w:noProof/>
        </w:rPr>
      </w:pPr>
      <w:r>
        <w:rPr>
          <w:noProof/>
        </w:rPr>
        <w:t>În prezent, o parte din MGA pentru 2018 (1 075,5 milioane EUR în prețurile din 2020) este în continuare disponibilă. Disponibilitatea globală a MGA în 2020 este, prin urmare, de 2 392,4 milioane EUR (în prețurile din 2020).</w:t>
      </w:r>
    </w:p>
    <w:p>
      <w:pPr>
        <w:pStyle w:val="Text1"/>
        <w:rPr>
          <w:noProof/>
        </w:rPr>
      </w:pPr>
      <w:r>
        <w:rPr>
          <w:noProof/>
        </w:rPr>
        <w:t>Tabelul de mai jos prezintă în detaliu sumele disponibile și utilizarea MGA începând din 2014:</w:t>
      </w:r>
    </w:p>
    <w:tbl>
      <w:tblPr>
        <w:tblW w:w="9497" w:type="dxa"/>
        <w:tblInd w:w="70" w:type="dxa"/>
        <w:tblCellMar>
          <w:left w:w="70" w:type="dxa"/>
          <w:right w:w="70" w:type="dxa"/>
        </w:tblCellMar>
        <w:tblLook w:val="04A0" w:firstRow="1" w:lastRow="0" w:firstColumn="1" w:lastColumn="0" w:noHBand="0" w:noVBand="1"/>
      </w:tblPr>
      <w:tblGrid>
        <w:gridCol w:w="3544"/>
        <w:gridCol w:w="850"/>
        <w:gridCol w:w="851"/>
        <w:gridCol w:w="850"/>
        <w:gridCol w:w="851"/>
        <w:gridCol w:w="850"/>
        <w:gridCol w:w="851"/>
        <w:gridCol w:w="850"/>
      </w:tblGrid>
      <w:tr>
        <w:trPr>
          <w:trHeight w:val="270"/>
        </w:trPr>
        <w:tc>
          <w:tcPr>
            <w:tcW w:w="3544" w:type="dxa"/>
            <w:tcBorders>
              <w:top w:val="nil"/>
              <w:left w:val="nil"/>
              <w:bottom w:val="single" w:sz="8" w:space="0" w:color="auto"/>
              <w:right w:val="single" w:sz="8" w:space="0" w:color="000000"/>
            </w:tcBorders>
            <w:shd w:val="clear" w:color="auto" w:fill="auto"/>
            <w:noWrap/>
            <w:vAlign w:val="bottom"/>
            <w:hideMark/>
          </w:tcPr>
          <w:p>
            <w:pPr>
              <w:spacing w:before="0" w:after="0"/>
              <w:jc w:val="center"/>
              <w:rPr>
                <w:noProof/>
                <w:color w:val="000000"/>
                <w:sz w:val="18"/>
                <w:szCs w:val="18"/>
              </w:rPr>
            </w:pPr>
            <w:r>
              <w:rPr>
                <w:noProof/>
                <w:sz w:val="18"/>
                <w:szCs w:val="18"/>
              </w:rPr>
              <w:t> </w:t>
            </w:r>
          </w:p>
        </w:tc>
        <w:tc>
          <w:tcPr>
            <w:tcW w:w="850" w:type="dxa"/>
            <w:tcBorders>
              <w:top w:val="single" w:sz="8" w:space="0" w:color="auto"/>
              <w:left w:val="nil"/>
              <w:bottom w:val="single" w:sz="8" w:space="0" w:color="auto"/>
              <w:right w:val="single" w:sz="4" w:space="0" w:color="000000"/>
            </w:tcBorders>
            <w:shd w:val="clear" w:color="auto" w:fill="auto"/>
            <w:vAlign w:val="center"/>
            <w:hideMark/>
          </w:tcPr>
          <w:p>
            <w:pPr>
              <w:spacing w:before="0" w:after="0"/>
              <w:jc w:val="center"/>
              <w:rPr>
                <w:b/>
                <w:bCs/>
                <w:noProof/>
                <w:sz w:val="18"/>
                <w:szCs w:val="18"/>
              </w:rPr>
            </w:pPr>
            <w:r>
              <w:rPr>
                <w:b/>
                <w:bCs/>
                <w:noProof/>
                <w:sz w:val="18"/>
                <w:szCs w:val="18"/>
              </w:rPr>
              <w:t>2014</w:t>
            </w:r>
          </w:p>
        </w:tc>
        <w:tc>
          <w:tcPr>
            <w:tcW w:w="851" w:type="dxa"/>
            <w:tcBorders>
              <w:top w:val="single" w:sz="8" w:space="0" w:color="auto"/>
              <w:left w:val="single" w:sz="8" w:space="0" w:color="000000"/>
              <w:bottom w:val="single" w:sz="8" w:space="0" w:color="auto"/>
              <w:right w:val="single" w:sz="4" w:space="0" w:color="000000"/>
            </w:tcBorders>
            <w:shd w:val="clear" w:color="auto" w:fill="auto"/>
            <w:vAlign w:val="center"/>
            <w:hideMark/>
          </w:tcPr>
          <w:p>
            <w:pPr>
              <w:spacing w:before="0" w:after="0"/>
              <w:jc w:val="center"/>
              <w:rPr>
                <w:b/>
                <w:bCs/>
                <w:noProof/>
                <w:sz w:val="18"/>
                <w:szCs w:val="18"/>
              </w:rPr>
            </w:pPr>
            <w:r>
              <w:rPr>
                <w:b/>
                <w:bCs/>
                <w:noProof/>
                <w:sz w:val="18"/>
                <w:szCs w:val="18"/>
              </w:rPr>
              <w:t>2015</w:t>
            </w:r>
          </w:p>
        </w:tc>
        <w:tc>
          <w:tcPr>
            <w:tcW w:w="850" w:type="dxa"/>
            <w:tcBorders>
              <w:top w:val="single" w:sz="8" w:space="0" w:color="auto"/>
              <w:left w:val="single" w:sz="8" w:space="0" w:color="000000"/>
              <w:bottom w:val="single" w:sz="8" w:space="0" w:color="auto"/>
              <w:right w:val="single" w:sz="4" w:space="0" w:color="000000"/>
            </w:tcBorders>
            <w:shd w:val="clear" w:color="auto" w:fill="auto"/>
            <w:vAlign w:val="center"/>
            <w:hideMark/>
          </w:tcPr>
          <w:p>
            <w:pPr>
              <w:spacing w:before="0" w:after="0"/>
              <w:jc w:val="center"/>
              <w:rPr>
                <w:b/>
                <w:bCs/>
                <w:noProof/>
                <w:sz w:val="18"/>
                <w:szCs w:val="18"/>
              </w:rPr>
            </w:pPr>
            <w:r>
              <w:rPr>
                <w:b/>
                <w:bCs/>
                <w:noProof/>
                <w:sz w:val="18"/>
                <w:szCs w:val="18"/>
              </w:rPr>
              <w:t>2016</w:t>
            </w:r>
          </w:p>
        </w:tc>
        <w:tc>
          <w:tcPr>
            <w:tcW w:w="851" w:type="dxa"/>
            <w:tcBorders>
              <w:top w:val="single" w:sz="8" w:space="0" w:color="auto"/>
              <w:left w:val="single" w:sz="8" w:space="0" w:color="000000"/>
              <w:bottom w:val="single" w:sz="8" w:space="0" w:color="auto"/>
              <w:right w:val="single" w:sz="4" w:space="0" w:color="000000"/>
            </w:tcBorders>
            <w:shd w:val="clear" w:color="auto" w:fill="auto"/>
            <w:vAlign w:val="center"/>
            <w:hideMark/>
          </w:tcPr>
          <w:p>
            <w:pPr>
              <w:spacing w:before="0" w:after="0"/>
              <w:jc w:val="center"/>
              <w:rPr>
                <w:b/>
                <w:bCs/>
                <w:noProof/>
                <w:sz w:val="18"/>
                <w:szCs w:val="18"/>
              </w:rPr>
            </w:pPr>
            <w:r>
              <w:rPr>
                <w:b/>
                <w:bCs/>
                <w:noProof/>
                <w:sz w:val="18"/>
                <w:szCs w:val="18"/>
              </w:rPr>
              <w:t>2017</w:t>
            </w:r>
          </w:p>
        </w:tc>
        <w:tc>
          <w:tcPr>
            <w:tcW w:w="850" w:type="dxa"/>
            <w:tcBorders>
              <w:top w:val="single" w:sz="8" w:space="0" w:color="auto"/>
              <w:left w:val="single" w:sz="8" w:space="0" w:color="000000"/>
              <w:bottom w:val="single" w:sz="8" w:space="0" w:color="auto"/>
              <w:right w:val="nil"/>
            </w:tcBorders>
            <w:shd w:val="clear" w:color="auto" w:fill="auto"/>
            <w:vAlign w:val="center"/>
            <w:hideMark/>
          </w:tcPr>
          <w:p>
            <w:pPr>
              <w:spacing w:before="0" w:after="0"/>
              <w:jc w:val="center"/>
              <w:rPr>
                <w:b/>
                <w:bCs/>
                <w:noProof/>
                <w:sz w:val="18"/>
                <w:szCs w:val="18"/>
              </w:rPr>
            </w:pPr>
            <w:r>
              <w:rPr>
                <w:b/>
                <w:bCs/>
                <w:noProof/>
                <w:sz w:val="18"/>
                <w:szCs w:val="18"/>
              </w:rPr>
              <w:t>2018</w:t>
            </w:r>
          </w:p>
        </w:tc>
        <w:tc>
          <w:tcPr>
            <w:tcW w:w="851" w:type="dxa"/>
            <w:tcBorders>
              <w:top w:val="single" w:sz="8" w:space="0" w:color="auto"/>
              <w:left w:val="single" w:sz="8" w:space="0" w:color="auto"/>
              <w:bottom w:val="single" w:sz="8" w:space="0" w:color="auto"/>
              <w:right w:val="nil"/>
            </w:tcBorders>
            <w:shd w:val="clear" w:color="auto" w:fill="auto"/>
            <w:vAlign w:val="center"/>
            <w:hideMark/>
          </w:tcPr>
          <w:p>
            <w:pPr>
              <w:spacing w:before="0" w:after="0"/>
              <w:jc w:val="center"/>
              <w:rPr>
                <w:b/>
                <w:bCs/>
                <w:noProof/>
                <w:sz w:val="18"/>
                <w:szCs w:val="18"/>
              </w:rPr>
            </w:pPr>
            <w:r>
              <w:rPr>
                <w:b/>
                <w:bCs/>
                <w:noProof/>
                <w:sz w:val="18"/>
                <w:szCs w:val="18"/>
              </w:rPr>
              <w:t>2019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b/>
                <w:bCs/>
                <w:noProof/>
                <w:sz w:val="18"/>
                <w:szCs w:val="18"/>
              </w:rPr>
            </w:pPr>
            <w:r>
              <w:rPr>
                <w:b/>
                <w:bCs/>
                <w:noProof/>
                <w:sz w:val="18"/>
                <w:szCs w:val="18"/>
              </w:rPr>
              <w:t>2020</w:t>
            </w:r>
          </w:p>
        </w:tc>
      </w:tr>
      <w:tr>
        <w:trPr>
          <w:trHeight w:val="270"/>
        </w:trPr>
        <w:tc>
          <w:tcPr>
            <w:tcW w:w="354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pPr>
              <w:spacing w:before="0" w:after="0"/>
              <w:jc w:val="center"/>
              <w:rPr>
                <w:noProof/>
                <w:color w:val="000000"/>
                <w:sz w:val="18"/>
                <w:szCs w:val="18"/>
              </w:rPr>
            </w:pPr>
            <w:r>
              <w:rPr>
                <w:noProof/>
                <w:sz w:val="18"/>
                <w:szCs w:val="18"/>
              </w:rPr>
              <w:t>Marja pentru angajamente disponibilă la încheierea exercițiului (confirmată de ajustarea tehnică anuală)</w:t>
            </w:r>
          </w:p>
        </w:tc>
        <w:tc>
          <w:tcPr>
            <w:tcW w:w="850" w:type="dxa"/>
            <w:tcBorders>
              <w:top w:val="nil"/>
              <w:left w:val="nil"/>
              <w:bottom w:val="single" w:sz="8" w:space="0" w:color="auto"/>
              <w:right w:val="single" w:sz="4" w:space="0" w:color="000000"/>
            </w:tcBorders>
            <w:shd w:val="clear" w:color="auto" w:fill="auto"/>
            <w:vAlign w:val="center"/>
            <w:hideMark/>
          </w:tcPr>
          <w:p>
            <w:pPr>
              <w:spacing w:before="0" w:after="0"/>
              <w:jc w:val="right"/>
              <w:rPr>
                <w:noProof/>
                <w:sz w:val="18"/>
                <w:szCs w:val="18"/>
              </w:rPr>
            </w:pPr>
            <w:r>
              <w:rPr>
                <w:noProof/>
                <w:sz w:val="18"/>
                <w:szCs w:val="18"/>
              </w:rPr>
              <w:t>521,9</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noProof/>
                <w:sz w:val="18"/>
                <w:szCs w:val="18"/>
              </w:rPr>
            </w:pPr>
            <w:r>
              <w:rPr>
                <w:noProof/>
                <w:sz w:val="18"/>
                <w:szCs w:val="18"/>
              </w:rPr>
              <w:t>1 383,2</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noProof/>
                <w:sz w:val="18"/>
                <w:szCs w:val="18"/>
              </w:rPr>
            </w:pPr>
            <w:r>
              <w:rPr>
                <w:noProof/>
                <w:sz w:val="18"/>
                <w:szCs w:val="18"/>
              </w:rPr>
              <w:t>2 090,2</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noProof/>
                <w:sz w:val="18"/>
                <w:szCs w:val="18"/>
              </w:rPr>
            </w:pPr>
            <w:r>
              <w:rPr>
                <w:noProof/>
                <w:sz w:val="18"/>
                <w:szCs w:val="18"/>
              </w:rPr>
              <w:t>1 115,5</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noProof/>
                <w:sz w:val="18"/>
                <w:szCs w:val="18"/>
              </w:rPr>
            </w:pPr>
            <w:r>
              <w:rPr>
                <w:noProof/>
                <w:sz w:val="18"/>
                <w:szCs w:val="18"/>
              </w:rPr>
              <w:t>1 390,9</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noProof/>
                <w:sz w:val="18"/>
                <w:szCs w:val="18"/>
              </w:rPr>
            </w:pPr>
            <w:r>
              <w:rPr>
                <w:noProof/>
                <w:sz w:val="18"/>
                <w:szCs w:val="18"/>
              </w:rPr>
              <w:t>1 291,1</w:t>
            </w:r>
          </w:p>
        </w:tc>
        <w:tc>
          <w:tcPr>
            <w:tcW w:w="85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noProof/>
                <w:sz w:val="18"/>
                <w:szCs w:val="18"/>
              </w:rPr>
            </w:pPr>
            <w:r>
              <w:rPr>
                <w:noProof/>
                <w:sz w:val="18"/>
                <w:szCs w:val="18"/>
              </w:rPr>
              <w:t> </w:t>
            </w:r>
          </w:p>
        </w:tc>
      </w:tr>
      <w:tr>
        <w:trPr>
          <w:trHeight w:val="270"/>
        </w:trPr>
        <w:tc>
          <w:tcPr>
            <w:tcW w:w="354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pPr>
              <w:spacing w:before="0" w:after="0"/>
              <w:jc w:val="center"/>
              <w:rPr>
                <w:b/>
                <w:bCs/>
                <w:noProof/>
                <w:color w:val="000000"/>
                <w:sz w:val="18"/>
                <w:szCs w:val="18"/>
              </w:rPr>
            </w:pPr>
            <w:r>
              <w:rPr>
                <w:b/>
                <w:bCs/>
                <w:noProof/>
                <w:sz w:val="18"/>
                <w:szCs w:val="18"/>
              </w:rPr>
              <w:t>MGA anuală disponibilă</w:t>
            </w:r>
          </w:p>
        </w:tc>
        <w:tc>
          <w:tcPr>
            <w:tcW w:w="850" w:type="dxa"/>
            <w:tcBorders>
              <w:top w:val="nil"/>
              <w:left w:val="nil"/>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0,0</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0,0</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1 953,9</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3 571,1</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2 802,4</w:t>
            </w:r>
          </w:p>
        </w:tc>
        <w:tc>
          <w:tcPr>
            <w:tcW w:w="851" w:type="dxa"/>
            <w:tcBorders>
              <w:top w:val="nil"/>
              <w:left w:val="single" w:sz="8" w:space="0" w:color="auto"/>
              <w:bottom w:val="single" w:sz="8" w:space="0" w:color="auto"/>
              <w:right w:val="nil"/>
            </w:tcBorders>
            <w:shd w:val="clear" w:color="auto" w:fill="auto"/>
            <w:vAlign w:val="center"/>
            <w:hideMark/>
          </w:tcPr>
          <w:p>
            <w:pPr>
              <w:spacing w:before="0" w:after="0"/>
              <w:jc w:val="right"/>
              <w:rPr>
                <w:b/>
                <w:bCs/>
                <w:noProof/>
                <w:sz w:val="18"/>
                <w:szCs w:val="18"/>
              </w:rPr>
            </w:pPr>
            <w:r>
              <w:rPr>
                <w:b/>
                <w:bCs/>
                <w:noProof/>
                <w:sz w:val="18"/>
                <w:szCs w:val="18"/>
              </w:rPr>
              <w:t>2 894,7</w:t>
            </w:r>
          </w:p>
        </w:tc>
        <w:tc>
          <w:tcPr>
            <w:tcW w:w="85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b/>
                <w:bCs/>
                <w:noProof/>
                <w:sz w:val="18"/>
                <w:szCs w:val="18"/>
              </w:rPr>
            </w:pPr>
            <w:r>
              <w:rPr>
                <w:b/>
                <w:bCs/>
                <w:noProof/>
                <w:sz w:val="18"/>
                <w:szCs w:val="18"/>
              </w:rPr>
              <w:t>2 662,0</w:t>
            </w:r>
          </w:p>
        </w:tc>
      </w:tr>
      <w:tr>
        <w:trPr>
          <w:trHeight w:val="255"/>
        </w:trPr>
        <w:tc>
          <w:tcPr>
            <w:tcW w:w="3544"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2014</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543,0</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2015</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1 410,9</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1 439,1</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2016</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2 132,0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1 664,6</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315,4</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2017</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1 137,8</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1 160,6</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2018</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1 418,7</w:t>
            </w:r>
          </w:p>
        </w:tc>
        <w:tc>
          <w:tcPr>
            <w:tcW w:w="850" w:type="dxa"/>
            <w:tcBorders>
              <w:top w:val="single" w:sz="4" w:space="0" w:color="auto"/>
              <w:left w:val="single" w:sz="8" w:space="0" w:color="000000"/>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1 345,1</w:t>
            </w:r>
          </w:p>
        </w:tc>
      </w:tr>
      <w:tr>
        <w:trPr>
          <w:trHeight w:val="270"/>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2019</w:t>
            </w:r>
          </w:p>
        </w:tc>
        <w:tc>
          <w:tcPr>
            <w:tcW w:w="850" w:type="dxa"/>
            <w:tcBorders>
              <w:top w:val="nil"/>
              <w:left w:val="nil"/>
              <w:bottom w:val="single" w:sz="8"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8"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8"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8"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8"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8" w:space="0" w:color="auto"/>
              <w:right w:val="nil"/>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single" w:sz="4" w:space="0" w:color="auto"/>
              <w:left w:val="single" w:sz="8" w:space="0" w:color="auto"/>
              <w:bottom w:val="single" w:sz="8"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1 316,9</w:t>
            </w:r>
          </w:p>
        </w:tc>
      </w:tr>
      <w:tr>
        <w:trPr>
          <w:trHeight w:val="270"/>
        </w:trPr>
        <w:tc>
          <w:tcPr>
            <w:tcW w:w="354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pPr>
              <w:spacing w:before="0" w:after="0"/>
              <w:jc w:val="center"/>
              <w:rPr>
                <w:b/>
                <w:bCs/>
                <w:noProof/>
                <w:color w:val="000000"/>
                <w:sz w:val="18"/>
                <w:szCs w:val="18"/>
              </w:rPr>
            </w:pPr>
            <w:r>
              <w:rPr>
                <w:b/>
                <w:bCs/>
                <w:noProof/>
                <w:sz w:val="18"/>
                <w:szCs w:val="18"/>
              </w:rPr>
              <w:t>Utilizarea anuală a MGA</w:t>
            </w:r>
          </w:p>
        </w:tc>
        <w:tc>
          <w:tcPr>
            <w:tcW w:w="850" w:type="dxa"/>
            <w:tcBorders>
              <w:top w:val="nil"/>
              <w:left w:val="nil"/>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0,0</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0,0</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-543,0</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-1 939,1</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-1 355,6</w:t>
            </w:r>
          </w:p>
        </w:tc>
        <w:tc>
          <w:tcPr>
            <w:tcW w:w="851" w:type="dxa"/>
            <w:tcBorders>
              <w:top w:val="nil"/>
              <w:left w:val="single" w:sz="8" w:space="0" w:color="auto"/>
              <w:bottom w:val="single" w:sz="8" w:space="0" w:color="auto"/>
              <w:right w:val="nil"/>
            </w:tcBorders>
            <w:shd w:val="clear" w:color="auto" w:fill="auto"/>
            <w:vAlign w:val="center"/>
            <w:hideMark/>
          </w:tcPr>
          <w:p>
            <w:pPr>
              <w:spacing w:before="0" w:after="0"/>
              <w:jc w:val="right"/>
              <w:rPr>
                <w:b/>
                <w:bCs/>
                <w:noProof/>
                <w:sz w:val="18"/>
                <w:szCs w:val="18"/>
              </w:rPr>
            </w:pPr>
            <w:r>
              <w:rPr>
                <w:b/>
                <w:bCs/>
                <w:noProof/>
                <w:sz w:val="18"/>
                <w:szCs w:val="18"/>
              </w:rPr>
              <w:t>-1 576,0</w:t>
            </w:r>
          </w:p>
        </w:tc>
        <w:tc>
          <w:tcPr>
            <w:tcW w:w="85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b/>
                <w:bCs/>
                <w:noProof/>
                <w:sz w:val="18"/>
                <w:szCs w:val="18"/>
              </w:rPr>
            </w:pPr>
            <w:r>
              <w:rPr>
                <w:b/>
                <w:bCs/>
                <w:noProof/>
                <w:sz w:val="18"/>
                <w:szCs w:val="18"/>
              </w:rPr>
              <w:t>-269,6</w:t>
            </w:r>
          </w:p>
        </w:tc>
      </w:tr>
      <w:tr>
        <w:trPr>
          <w:trHeight w:val="255"/>
        </w:trPr>
        <w:tc>
          <w:tcPr>
            <w:tcW w:w="3544" w:type="dxa"/>
            <w:tcBorders>
              <w:top w:val="nil"/>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2014</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-543,0</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2015</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-1 439,1</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2016</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-500,0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-1 355,6</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-315,4</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2017</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-1 160,6</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2018</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-100,0</w:t>
            </w:r>
          </w:p>
        </w:tc>
        <w:tc>
          <w:tcPr>
            <w:tcW w:w="850" w:type="dxa"/>
            <w:tcBorders>
              <w:top w:val="single" w:sz="4" w:space="0" w:color="auto"/>
              <w:left w:val="single" w:sz="8" w:space="0" w:color="000000"/>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-269,6</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2019</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p>
        </w:tc>
      </w:tr>
      <w:tr>
        <w:trPr>
          <w:trHeight w:val="270"/>
        </w:trPr>
        <w:tc>
          <w:tcPr>
            <w:tcW w:w="354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pPr>
              <w:spacing w:before="0" w:after="0"/>
              <w:jc w:val="center"/>
              <w:rPr>
                <w:b/>
                <w:bCs/>
                <w:noProof/>
                <w:color w:val="000000"/>
                <w:sz w:val="18"/>
                <w:szCs w:val="18"/>
              </w:rPr>
            </w:pPr>
            <w:r>
              <w:rPr>
                <w:b/>
                <w:bCs/>
                <w:noProof/>
                <w:sz w:val="18"/>
                <w:szCs w:val="18"/>
              </w:rPr>
              <w:t>MGA rămasă la încheierea exercițiului</w:t>
            </w:r>
          </w:p>
        </w:tc>
        <w:tc>
          <w:tcPr>
            <w:tcW w:w="850" w:type="dxa"/>
            <w:tcBorders>
              <w:top w:val="nil"/>
              <w:left w:val="nil"/>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0,0</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0,0</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1 410,9</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1 632,0</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1 446,8</w:t>
            </w:r>
          </w:p>
        </w:tc>
        <w:tc>
          <w:tcPr>
            <w:tcW w:w="851" w:type="dxa"/>
            <w:tcBorders>
              <w:top w:val="nil"/>
              <w:left w:val="single" w:sz="8" w:space="0" w:color="auto"/>
              <w:bottom w:val="single" w:sz="8" w:space="0" w:color="auto"/>
              <w:right w:val="nil"/>
            </w:tcBorders>
            <w:shd w:val="clear" w:color="auto" w:fill="auto"/>
            <w:vAlign w:val="center"/>
            <w:hideMark/>
          </w:tcPr>
          <w:p>
            <w:pPr>
              <w:spacing w:before="0" w:after="0"/>
              <w:jc w:val="right"/>
              <w:rPr>
                <w:b/>
                <w:bCs/>
                <w:noProof/>
                <w:sz w:val="18"/>
                <w:szCs w:val="18"/>
              </w:rPr>
            </w:pPr>
            <w:r>
              <w:rPr>
                <w:b/>
                <w:bCs/>
                <w:noProof/>
                <w:sz w:val="18"/>
                <w:szCs w:val="18"/>
              </w:rPr>
              <w:t>1 318,7</w:t>
            </w:r>
          </w:p>
        </w:tc>
        <w:tc>
          <w:tcPr>
            <w:tcW w:w="85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b/>
                <w:bCs/>
                <w:noProof/>
                <w:sz w:val="18"/>
                <w:szCs w:val="18"/>
              </w:rPr>
            </w:pPr>
            <w:r>
              <w:rPr>
                <w:b/>
                <w:bCs/>
                <w:noProof/>
                <w:sz w:val="18"/>
                <w:szCs w:val="18"/>
              </w:rPr>
              <w:t>2 392,4</w:t>
            </w:r>
          </w:p>
        </w:tc>
      </w:tr>
      <w:tr>
        <w:trPr>
          <w:trHeight w:val="255"/>
        </w:trPr>
        <w:tc>
          <w:tcPr>
            <w:tcW w:w="3544"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2014</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2015</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1 410,9</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2016</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1 632,0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309,0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2017</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1 137,8</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2018</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1 318,7</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1 075,5</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MGA 2019</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1 316,9</w:t>
            </w:r>
          </w:p>
        </w:tc>
      </w:tr>
    </w:tbl>
    <w:p>
      <w:pPr>
        <w:pStyle w:val="Text1"/>
        <w:ind w:left="0"/>
        <w:rPr>
          <w:noProof/>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714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L 163, 24.6.2017, p. 1.</w:t>
      </w:r>
    </w:p>
  </w:footnote>
  <w:footnote w:id="3">
    <w:p>
      <w:pPr>
        <w:pStyle w:val="FootnoteText"/>
      </w:pPr>
      <w:r>
        <w:rPr>
          <w:rStyle w:val="FootnoteReference"/>
        </w:rPr>
        <w:footnoteRef/>
      </w:r>
      <w:r>
        <w:t xml:space="preserve"> </w:t>
      </w:r>
      <w:r>
        <w:tab/>
        <w:t>COM(2019) 310 final din 15.5.2019.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5B8B29F9"/>
    <w:multiLevelType w:val="hybridMultilevel"/>
    <w:tmpl w:val="32229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45D46EB-7B29-4A14-B8CE-0C077DB9447A"/>
    <w:docVar w:name="LW_COVERPAGE_TYPE" w:val="1"/>
    <w:docVar w:name="LW_CROSSREFERENCE" w:val="&lt;UNUSED&gt;"/>
    <w:docVar w:name="LW_DocType" w:val="NORMAL"/>
    <w:docVar w:name="LW_EMISSION" w:val="2.4.2020"/>
    <w:docVar w:name="LW_EMISSION_ISODATE" w:val="2020-04-02"/>
    <w:docVar w:name="LW_EMISSION_LOCATION" w:val="BRX"/>
    <w:docVar w:name="LW_EMISSION_PREFIX" w:val="Bruxelles, "/>
    <w:docVar w:name="LW_EMISSION_SUFFIX" w:val=" "/>
    <w:docVar w:name="LW_ID_DOCTYPE_NONLW" w:val="CP-011"/>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justare tehnic\u259? în ceea ce prive\u537?te instrumentele speciale pentru 2020_x000b_[articolul 6 alineatul (1) literele (e) \u537?i (f) din Regulamentul nr. 1311/2011 de stabilire a cadrului financiar multianual pentru perioada 2014-2020]_x000d__x000d__x000b_"/>
    <w:docVar w:name="LW_TYPE.DOC.CP" w:val="COMUNICARE A COMISIEI C\u258?TRE CONSILIU \u536?I PARLAMENTUL EUROPEA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customStyle="1" w:styleId="Pagedecouverture">
    <w:name w:val="Page de couverture"/>
    <w:basedOn w:val="Normal"/>
    <w:next w:val="Normal"/>
    <w:pPr>
      <w:spacing w:before="0" w:after="0"/>
    </w:pPr>
    <w:rPr>
      <w:rFonts w:eastAsiaTheme="minorHAnsi"/>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en-GB"/>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SecurityMarking">
    <w:name w:val="SecurityMarking"/>
    <w:basedOn w:val="Normal"/>
    <w:pPr>
      <w:spacing w:before="0" w:after="0" w:line="276" w:lineRule="auto"/>
      <w:ind w:left="5103"/>
      <w:jc w:val="left"/>
    </w:pPr>
    <w:rPr>
      <w:rFonts w:eastAsiaTheme="minorHAnsi"/>
      <w:sz w:val="28"/>
      <w:lang w:eastAsia="en-US"/>
    </w:rPr>
  </w:style>
  <w:style w:type="paragraph" w:customStyle="1" w:styleId="DateMarking">
    <w:name w:val="DateMarking"/>
    <w:basedOn w:val="Normal"/>
    <w:pPr>
      <w:spacing w:before="0" w:after="0" w:line="276" w:lineRule="auto"/>
      <w:ind w:left="5103"/>
      <w:jc w:val="left"/>
    </w:pPr>
    <w:rPr>
      <w:rFonts w:eastAsiaTheme="minorHAnsi"/>
      <w:i/>
      <w:sz w:val="28"/>
      <w:lang w:eastAsia="en-US"/>
    </w:rPr>
  </w:style>
  <w:style w:type="paragraph" w:customStyle="1" w:styleId="ReleasableTo">
    <w:name w:val="ReleasableTo"/>
    <w:basedOn w:val="Normal"/>
    <w:pPr>
      <w:spacing w:before="0" w:after="0" w:line="276" w:lineRule="auto"/>
      <w:ind w:left="5103"/>
      <w:jc w:val="left"/>
    </w:pPr>
    <w:rPr>
      <w:rFonts w:eastAsiaTheme="minorHAnsi"/>
      <w:i/>
      <w:sz w:val="28"/>
      <w:lang w:eastAsia="en-US"/>
    </w:rPr>
  </w:style>
  <w:style w:type="paragraph" w:customStyle="1" w:styleId="HeaderSensitivityRight">
    <w:name w:val="Header Sensitivity Right"/>
    <w:basedOn w:val="Normal"/>
    <w:pPr>
      <w:spacing w:before="0"/>
      <w:jc w:val="right"/>
    </w:pPr>
    <w:rPr>
      <w:sz w:val="28"/>
    </w:rPr>
  </w:style>
  <w:style w:type="paragraph" w:customStyle="1" w:styleId="LegalNumPar">
    <w:name w:val="LegalNumPar"/>
    <w:basedOn w:val="Normal"/>
    <w:pPr>
      <w:numPr>
        <w:numId w:val="4"/>
      </w:numPr>
      <w:spacing w:line="360" w:lineRule="auto"/>
    </w:pPr>
  </w:style>
  <w:style w:type="paragraph" w:customStyle="1" w:styleId="LegalNumPar2">
    <w:name w:val="LegalNumPar2"/>
    <w:basedOn w:val="Normal"/>
    <w:pPr>
      <w:numPr>
        <w:ilvl w:val="1"/>
        <w:numId w:val="4"/>
      </w:numPr>
      <w:spacing w:line="360" w:lineRule="auto"/>
    </w:pPr>
  </w:style>
  <w:style w:type="paragraph" w:customStyle="1" w:styleId="LegalNumPar3">
    <w:name w:val="LegalNumPar3"/>
    <w:basedOn w:val="Normal"/>
    <w:pPr>
      <w:numPr>
        <w:ilvl w:val="2"/>
        <w:numId w:val="4"/>
      </w:numPr>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customStyle="1" w:styleId="Pagedecouverture">
    <w:name w:val="Page de couverture"/>
    <w:basedOn w:val="Normal"/>
    <w:next w:val="Normal"/>
    <w:pPr>
      <w:spacing w:before="0" w:after="0"/>
    </w:pPr>
    <w:rPr>
      <w:rFonts w:eastAsiaTheme="minorHAnsi"/>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en-GB"/>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SecurityMarking">
    <w:name w:val="SecurityMarking"/>
    <w:basedOn w:val="Normal"/>
    <w:pPr>
      <w:spacing w:before="0" w:after="0" w:line="276" w:lineRule="auto"/>
      <w:ind w:left="5103"/>
      <w:jc w:val="left"/>
    </w:pPr>
    <w:rPr>
      <w:rFonts w:eastAsiaTheme="minorHAnsi"/>
      <w:sz w:val="28"/>
      <w:lang w:eastAsia="en-US"/>
    </w:rPr>
  </w:style>
  <w:style w:type="paragraph" w:customStyle="1" w:styleId="DateMarking">
    <w:name w:val="DateMarking"/>
    <w:basedOn w:val="Normal"/>
    <w:pPr>
      <w:spacing w:before="0" w:after="0" w:line="276" w:lineRule="auto"/>
      <w:ind w:left="5103"/>
      <w:jc w:val="left"/>
    </w:pPr>
    <w:rPr>
      <w:rFonts w:eastAsiaTheme="minorHAnsi"/>
      <w:i/>
      <w:sz w:val="28"/>
      <w:lang w:eastAsia="en-US"/>
    </w:rPr>
  </w:style>
  <w:style w:type="paragraph" w:customStyle="1" w:styleId="ReleasableTo">
    <w:name w:val="ReleasableTo"/>
    <w:basedOn w:val="Normal"/>
    <w:pPr>
      <w:spacing w:before="0" w:after="0" w:line="276" w:lineRule="auto"/>
      <w:ind w:left="5103"/>
      <w:jc w:val="left"/>
    </w:pPr>
    <w:rPr>
      <w:rFonts w:eastAsiaTheme="minorHAnsi"/>
      <w:i/>
      <w:sz w:val="28"/>
      <w:lang w:eastAsia="en-US"/>
    </w:rPr>
  </w:style>
  <w:style w:type="paragraph" w:customStyle="1" w:styleId="HeaderSensitivityRight">
    <w:name w:val="Header Sensitivity Right"/>
    <w:basedOn w:val="Normal"/>
    <w:pPr>
      <w:spacing w:before="0"/>
      <w:jc w:val="right"/>
    </w:pPr>
    <w:rPr>
      <w:sz w:val="28"/>
    </w:rPr>
  </w:style>
  <w:style w:type="paragraph" w:customStyle="1" w:styleId="LegalNumPar">
    <w:name w:val="LegalNumPar"/>
    <w:basedOn w:val="Normal"/>
    <w:pPr>
      <w:numPr>
        <w:numId w:val="4"/>
      </w:numPr>
      <w:spacing w:line="360" w:lineRule="auto"/>
    </w:pPr>
  </w:style>
  <w:style w:type="paragraph" w:customStyle="1" w:styleId="LegalNumPar2">
    <w:name w:val="LegalNumPar2"/>
    <w:basedOn w:val="Normal"/>
    <w:pPr>
      <w:numPr>
        <w:ilvl w:val="1"/>
        <w:numId w:val="4"/>
      </w:numPr>
      <w:spacing w:line="360" w:lineRule="auto"/>
    </w:pPr>
  </w:style>
  <w:style w:type="paragraph" w:customStyle="1" w:styleId="LegalNumPar3">
    <w:name w:val="LegalNumPar3"/>
    <w:basedOn w:val="Normal"/>
    <w:pPr>
      <w:numPr>
        <w:ilvl w:val="2"/>
        <w:numId w:val="4"/>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7D29ED-EFDA-4B58-A9CF-1A519319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2080</Words>
  <Characters>10613</Characters>
  <Application>Microsoft Office Word</Application>
  <DocSecurity>0</DocSecurity>
  <Lines>707</Lines>
  <Paragraphs>668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21</cp:revision>
  <cp:lastPrinted>2019-04-11T08:28:00Z</cp:lastPrinted>
  <dcterms:created xsi:type="dcterms:W3CDTF">2020-03-30T14:53:00Z</dcterms:created>
  <dcterms:modified xsi:type="dcterms:W3CDTF">2020-04-06T16:28:00Z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CP-011</vt:lpwstr>
  </property>
</Properties>
</file>