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DC7C921-D5D0-4464-912F-00224B6E84F3" style="width:450.7pt;height:365.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u w:color="000000"/>
          <w:bdr w:val="nil"/>
        </w:rPr>
        <w:t>•</w:t>
      </w:r>
      <w:r>
        <w:rPr>
          <w:noProof/>
          <w:u w:color="000000"/>
          <w:bdr w:val="nil"/>
        </w:rPr>
        <w:tab/>
      </w:r>
      <w:r>
        <w:rPr>
          <w:noProof/>
        </w:rPr>
        <w:t>Motivering en doel van het voorstel</w:t>
      </w:r>
    </w:p>
    <w:p>
      <w:pPr>
        <w:rPr>
          <w:rFonts w:eastAsia="Calibri"/>
          <w:noProof/>
        </w:rPr>
      </w:pPr>
      <w:r>
        <w:rPr>
          <w:noProof/>
        </w:rPr>
        <w:t xml:space="preserve">Bij Beschikking 2003/17/EG van de Raad wordt gelijkwaardigheid toegekend aan veldkeuringen en de productie van zaaizaad van bepaalde soorten die in bepaalde landen buiten de EU overeenkomstig de Richtlijnen 66/401/EEG, 66/402/EEG, 2002/54/EG en 2002/57/EG plaatsvinden. De nationale bepalingen waaraan het in die landen geoogste en gecontroleerde zaaizaad wordt onderworpen, bieden ten aanzien van de eigenschappen van het zaad en van de regelingen voor het onderzoek van het zaad, het waarborgen van de rasechtheid, de merking en de controle, dezelfde garanties als de bepalingen die gelden voor in de Europese Unie geoogst en gecontroleerd zaad. Oekraïne is niet in de lijst met landen buiten de EU van die beschikking opgenomen, met als gevolg dat de invoer in de Europese Unie van in dat land geoogste zaaigranen momenteel niet mogelijk is. </w:t>
      </w:r>
    </w:p>
    <w:p>
      <w:pPr>
        <w:rPr>
          <w:rFonts w:eastAsia="Calibri"/>
          <w:noProof/>
        </w:rPr>
      </w:pPr>
      <w:r>
        <w:rPr>
          <w:noProof/>
        </w:rPr>
        <w:t>Oekraïne heeft de Commissie verzocht zijn zaaigranen onder Beschikking 2003/17/EG</w:t>
      </w:r>
      <w:r>
        <w:rPr>
          <w:noProof/>
          <w:color w:val="FF0000"/>
        </w:rPr>
        <w:t xml:space="preserve"> </w:t>
      </w:r>
      <w:r>
        <w:rPr>
          <w:noProof/>
        </w:rPr>
        <w:t xml:space="preserve"> van de Raad te laten vallen als gelijkwaardig. </w:t>
      </w:r>
    </w:p>
    <w:p>
      <w:pPr>
        <w:rPr>
          <w:rFonts w:eastAsia="Calibri"/>
          <w:noProof/>
        </w:rPr>
      </w:pPr>
      <w:r>
        <w:rPr>
          <w:noProof/>
        </w:rPr>
        <w:t xml:space="preserve">Naar aanleiding van dat verzoek heeft de Commissie de toepasselijke wetgeving van Oekraïne onderzocht en de veldkeuringen en het certificeringssysteem voor zaaigranen in Oekraïne aan een audit onderworpen. Daarbij werd geconcludeerd dat die bestaande voorschriften en dat bestaande systeem gelijkwaardig zijn aan die van de EU en dezelfde garanties bieden als het systeem van de Unie. </w:t>
      </w:r>
    </w:p>
    <w:p>
      <w:pPr>
        <w:rPr>
          <w:rFonts w:eastAsia="Calibri"/>
          <w:noProof/>
        </w:rPr>
      </w:pPr>
      <w:r>
        <w:rPr>
          <w:noProof/>
        </w:rPr>
        <w:t xml:space="preserve">Daarom is het passend de zaaigranen uit Oekraïne door middel van vaststelling van een besluit door het Europees Parlement en de Raad aan te merken als gelijkwaardig aan zaaigranen die in de Europese Unie geoogst, geproduceerd en gecontroleerd worden. </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Verenigbaarheid met bestaande bepalingen op het beleidsterrein</w:t>
      </w:r>
    </w:p>
    <w:p>
      <w:pPr>
        <w:pBdr>
          <w:top w:val="nil"/>
          <w:left w:val="nil"/>
          <w:bottom w:val="nil"/>
          <w:right w:val="nil"/>
          <w:between w:val="nil"/>
          <w:bar w:val="nil"/>
        </w:pBdr>
        <w:spacing w:before="0" w:after="240"/>
        <w:rPr>
          <w:rFonts w:eastAsia="Arial Unicode MS"/>
          <w:noProof/>
        </w:rPr>
      </w:pPr>
      <w:r>
        <w:rPr>
          <w:noProof/>
        </w:rPr>
        <w:t>Dit voorstel betreft de technische uitvoering van bestaande voorschriften en is dus verenigbaar met bestaande bepalingen op het beleidsterrein betreffende het in de handel brengen van zaden.</w:t>
      </w:r>
    </w:p>
    <w:p>
      <w:pPr>
        <w:pStyle w:val="ManualHeading2"/>
        <w:rPr>
          <w:rFonts w:eastAsia="Arial Unicode MS"/>
          <w:noProof/>
        </w:rPr>
      </w:pPr>
      <w:r>
        <w:rPr>
          <w:noProof/>
          <w:u w:color="000000"/>
          <w:bdr w:val="nil"/>
        </w:rPr>
        <w:t>•</w:t>
      </w:r>
      <w:r>
        <w:rPr>
          <w:noProof/>
          <w:u w:color="000000"/>
          <w:bdr w:val="nil"/>
        </w:rPr>
        <w:tab/>
      </w:r>
      <w:r>
        <w:rPr>
          <w:noProof/>
        </w:rPr>
        <w:t>Verenigbaarheid met andere beleidsterreinen van de Unie</w:t>
      </w:r>
    </w:p>
    <w:p>
      <w:pPr>
        <w:pBdr>
          <w:top w:val="nil"/>
          <w:left w:val="nil"/>
          <w:bottom w:val="nil"/>
          <w:right w:val="nil"/>
          <w:between w:val="nil"/>
          <w:bar w:val="nil"/>
        </w:pBdr>
        <w:spacing w:before="0" w:after="240"/>
        <w:rPr>
          <w:rFonts w:eastAsia="Arial Unicode MS"/>
          <w:noProof/>
        </w:rPr>
      </w:pPr>
      <w:r>
        <w:rPr>
          <w:noProof/>
        </w:rPr>
        <w:t>Dit voorstel is in overeenstemming met de doelstellingen van de Associatieovereenkomst EU-Oekraïne, omdat het de handel in zaaizaad dat aan de regels van de Unie voldoet, zal stimuleren.</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u w:color="000000"/>
          <w:bdr w:val="nil"/>
        </w:rPr>
        <w:t>•</w:t>
      </w:r>
      <w:r>
        <w:rPr>
          <w:noProof/>
          <w:u w:color="000000"/>
          <w:bdr w:val="nil"/>
        </w:rPr>
        <w:tab/>
        <w:t>Rechtsgrondslag</w:t>
      </w:r>
    </w:p>
    <w:p>
      <w:pPr>
        <w:pBdr>
          <w:top w:val="nil"/>
          <w:left w:val="nil"/>
          <w:bottom w:val="nil"/>
          <w:right w:val="nil"/>
          <w:between w:val="nil"/>
          <w:bar w:val="nil"/>
        </w:pBdr>
        <w:spacing w:before="0" w:after="240"/>
        <w:rPr>
          <w:rFonts w:eastAsia="Arial Unicode MS"/>
          <w:noProof/>
        </w:rPr>
      </w:pPr>
      <w:r>
        <w:rPr>
          <w:noProof/>
        </w:rPr>
        <w:t>De rechtsgrondslag van deze handeling is artikel 43, lid 2, VWEU, dat het Europees Parlement en de Raad de bevoegdheid verleent om bepalingen vast te stellen die nodig zijn om de doelstellingen van het gemeenschappelijk landbouwbeleid na te streven.</w:t>
      </w:r>
    </w:p>
    <w:p>
      <w:pPr>
        <w:pStyle w:val="ManualHeading2"/>
        <w:rPr>
          <w:rFonts w:eastAsia="Arial Unicode MS"/>
          <w:noProof/>
          <w:u w:color="000000"/>
          <w:bdr w:val="nil"/>
        </w:rPr>
      </w:pPr>
      <w:r>
        <w:rPr>
          <w:noProof/>
          <w:u w:color="000000"/>
          <w:bdr w:val="nil"/>
        </w:rPr>
        <w:t>•</w:t>
      </w:r>
      <w:r>
        <w:rPr>
          <w:noProof/>
          <w:u w:color="000000"/>
          <w:bdr w:val="nil"/>
        </w:rPr>
        <w:tab/>
        <w:t xml:space="preserve">Subsidiariteit (bij niet-exclusieve bevoegdheid) </w:t>
      </w:r>
    </w:p>
    <w:p>
      <w:pPr>
        <w:pBdr>
          <w:top w:val="nil"/>
          <w:left w:val="nil"/>
          <w:bottom w:val="nil"/>
          <w:right w:val="nil"/>
          <w:between w:val="nil"/>
          <w:bar w:val="nil"/>
        </w:pBdr>
        <w:spacing w:before="0" w:after="240"/>
        <w:rPr>
          <w:rFonts w:eastAsia="Arial Unicode MS"/>
          <w:noProof/>
        </w:rPr>
      </w:pPr>
      <w:r>
        <w:rPr>
          <w:noProof/>
        </w:rPr>
        <w:t>Voorschriften voor zaaizaad worden op het niveau van de Unie geregeld. Om te garanderen dat ingevoerd zaaizaad vrij kan circuleren in de eengemaakte markt, is actie op het niveau van de Unie noodzakelijk.</w:t>
      </w:r>
    </w:p>
    <w:p>
      <w:pPr>
        <w:pStyle w:val="ManualHeading2"/>
        <w:rPr>
          <w:rFonts w:eastAsia="Arial Unicode MS"/>
          <w:noProof/>
          <w:u w:color="000000"/>
          <w:bdr w:val="nil"/>
        </w:rPr>
      </w:pPr>
      <w:r>
        <w:rPr>
          <w:noProof/>
          <w:u w:color="000000"/>
          <w:bdr w:val="nil"/>
        </w:rPr>
        <w:lastRenderedPageBreak/>
        <w:t>•</w:t>
      </w:r>
      <w:r>
        <w:rPr>
          <w:noProof/>
          <w:u w:color="000000"/>
          <w:bdr w:val="nil"/>
        </w:rPr>
        <w:tab/>
        <w:t>Evenredigheid</w:t>
      </w:r>
    </w:p>
    <w:p>
      <w:pPr>
        <w:pBdr>
          <w:top w:val="nil"/>
          <w:left w:val="nil"/>
          <w:bottom w:val="nil"/>
          <w:right w:val="nil"/>
          <w:between w:val="nil"/>
          <w:bar w:val="nil"/>
        </w:pBdr>
        <w:spacing w:before="0" w:after="240"/>
        <w:rPr>
          <w:rFonts w:eastAsia="Arial Unicode MS"/>
          <w:noProof/>
        </w:rPr>
      </w:pPr>
      <w:r>
        <w:rPr>
          <w:noProof/>
        </w:rPr>
        <w:t>Dit is de enige mogelijke vorm van optreden van de Unie om het nagestreefde doel te bereiken.</w:t>
      </w:r>
    </w:p>
    <w:p>
      <w:pPr>
        <w:pStyle w:val="ManualHeading2"/>
        <w:rPr>
          <w:rFonts w:eastAsia="Arial Unicode MS"/>
          <w:noProof/>
          <w:u w:color="000000"/>
          <w:bdr w:val="nil"/>
        </w:rPr>
      </w:pPr>
      <w:r>
        <w:rPr>
          <w:noProof/>
          <w:u w:color="000000"/>
          <w:bdr w:val="nil"/>
        </w:rPr>
        <w:t>•</w:t>
      </w:r>
      <w:r>
        <w:rPr>
          <w:noProof/>
          <w:u w:color="000000"/>
          <w:bdr w:val="nil"/>
        </w:rPr>
        <w:tab/>
        <w:t>Keuze van het instrument</w:t>
      </w:r>
    </w:p>
    <w:p>
      <w:pPr>
        <w:pBdr>
          <w:top w:val="nil"/>
          <w:left w:val="nil"/>
          <w:bottom w:val="nil"/>
          <w:right w:val="nil"/>
          <w:between w:val="nil"/>
          <w:bar w:val="nil"/>
        </w:pBdr>
        <w:spacing w:before="0" w:after="240"/>
        <w:rPr>
          <w:rFonts w:eastAsia="Arial Unicode MS"/>
          <w:noProof/>
        </w:rPr>
      </w:pPr>
      <w:r>
        <w:rPr>
          <w:noProof/>
        </w:rPr>
        <w:t>Het rechtsinstrument volgt uit de rechtsgrondslag, namelijk artikel 43, lid 2, VWEU.</w:t>
      </w:r>
    </w:p>
    <w:p>
      <w:pPr>
        <w:pStyle w:val="ManualHeading1"/>
        <w:rPr>
          <w:noProof/>
        </w:rPr>
      </w:pPr>
      <w:r>
        <w:rPr>
          <w:noProof/>
        </w:rPr>
        <w:t>3.</w:t>
      </w:r>
      <w:r>
        <w:rPr>
          <w:noProof/>
        </w:rPr>
        <w:tab/>
        <w:t>EVALUATIE, RAADPLEGING VAN BELANGHEBBENDEN EN EFFECTBEOORDELING</w:t>
      </w:r>
    </w:p>
    <w:p>
      <w:pPr>
        <w:pStyle w:val="ManualHeading2"/>
        <w:rPr>
          <w:rFonts w:eastAsia="Arial Unicode MS"/>
          <w:noProof/>
          <w:u w:color="000000"/>
          <w:bdr w:val="nil"/>
        </w:rPr>
      </w:pPr>
      <w:r>
        <w:rPr>
          <w:noProof/>
          <w:u w:color="000000"/>
          <w:bdr w:val="nil"/>
        </w:rPr>
        <w:t>•</w:t>
      </w:r>
      <w:r>
        <w:rPr>
          <w:noProof/>
          <w:u w:color="000000"/>
          <w:bdr w:val="nil"/>
        </w:rPr>
        <w:tab/>
        <w:t>Evaluatie van bestaande wetgeving en controle van de resultaatgerichtheid ervan</w:t>
      </w:r>
    </w:p>
    <w:p>
      <w:pPr>
        <w:pBdr>
          <w:top w:val="nil"/>
          <w:left w:val="nil"/>
          <w:bottom w:val="nil"/>
          <w:right w:val="nil"/>
          <w:between w:val="nil"/>
          <w:bar w:val="nil"/>
        </w:pBdr>
        <w:spacing w:before="0" w:after="240"/>
        <w:rPr>
          <w:rFonts w:eastAsia="Arial Unicode MS"/>
          <w:noProof/>
        </w:rPr>
      </w:pPr>
      <w:r>
        <w:rPr>
          <w:noProof/>
        </w:rPr>
        <w:t>N.v.t.</w:t>
      </w:r>
    </w:p>
    <w:p>
      <w:pPr>
        <w:pStyle w:val="ManualHeading2"/>
        <w:rPr>
          <w:rFonts w:eastAsia="Arial Unicode MS"/>
          <w:noProof/>
          <w:u w:color="000000"/>
          <w:bdr w:val="nil"/>
        </w:rPr>
      </w:pPr>
      <w:r>
        <w:rPr>
          <w:noProof/>
          <w:u w:color="000000"/>
          <w:bdr w:val="nil"/>
        </w:rPr>
        <w:t>•</w:t>
      </w:r>
      <w:r>
        <w:rPr>
          <w:noProof/>
          <w:u w:color="000000"/>
          <w:bdr w:val="nil"/>
        </w:rPr>
        <w:tab/>
        <w:t>Raadpleging van belanghebbenden</w:t>
      </w:r>
    </w:p>
    <w:p>
      <w:pPr>
        <w:pBdr>
          <w:top w:val="nil"/>
          <w:left w:val="nil"/>
          <w:bottom w:val="nil"/>
          <w:right w:val="nil"/>
          <w:between w:val="nil"/>
          <w:bar w:val="nil"/>
        </w:pBdr>
        <w:spacing w:before="0" w:after="240"/>
        <w:rPr>
          <w:rFonts w:eastAsia="Arial Unicode MS"/>
          <w:noProof/>
        </w:rPr>
      </w:pPr>
      <w:r>
        <w:rPr>
          <w:noProof/>
        </w:rPr>
        <w:t>De lidstaten zijn in het Permanent Comité voor planten, dieren, levensmiddelen en diervoeders geïnformeerd en geraadpleegd. Een afzonderlijke raadpleging werd niet vereist, aangezien het initiatief alleen betrekking heeft op de technische uitvoering van bestaande regels en er in het verleden geen afzonderlijke raadpleging heeft plaatsgevonden in het kader van soortgelijke initiatieven. Oekraïne heeft zelf opmerkingen gemaakt over het ontwerp-auditverslag, waarbij geen wezenlijke punten van onenigheid zijn geconstateerd.</w:t>
      </w:r>
    </w:p>
    <w:p>
      <w:pPr>
        <w:pStyle w:val="ManualHeading2"/>
        <w:rPr>
          <w:rFonts w:eastAsia="Arial Unicode MS"/>
          <w:noProof/>
          <w:u w:color="000000"/>
          <w:bdr w:val="nil"/>
        </w:rPr>
      </w:pPr>
      <w:r>
        <w:rPr>
          <w:noProof/>
          <w:u w:color="000000"/>
          <w:bdr w:val="nil"/>
        </w:rPr>
        <w:t>•</w:t>
      </w:r>
      <w:r>
        <w:rPr>
          <w:noProof/>
          <w:u w:color="000000"/>
          <w:bdr w:val="nil"/>
        </w:rPr>
        <w:tab/>
        <w:t>Bijeenbrengen en gebruik van expertise</w:t>
      </w:r>
    </w:p>
    <w:p>
      <w:pPr>
        <w:pBdr>
          <w:top w:val="nil"/>
          <w:left w:val="nil"/>
          <w:bottom w:val="nil"/>
          <w:right w:val="nil"/>
          <w:between w:val="nil"/>
          <w:bar w:val="nil"/>
        </w:pBdr>
        <w:spacing w:before="0" w:after="240"/>
        <w:rPr>
          <w:rFonts w:eastAsia="Arial Unicode MS"/>
          <w:noProof/>
        </w:rPr>
      </w:pPr>
      <w:r>
        <w:rPr>
          <w:noProof/>
        </w:rPr>
        <w:t>De Commissie heeft in uitwisseling met Oekraïne een wetgevingsanalyse uitgevoerd en haar diensten hebben in Oekraïne een inspectie uitgevoerd. Zij heeft een verslag opgesteld met de nodige gegevens die het initiatief rechtvaardigen.</w:t>
      </w:r>
    </w:p>
    <w:p>
      <w:pPr>
        <w:pStyle w:val="ManualHeading2"/>
        <w:rPr>
          <w:rFonts w:eastAsia="Arial Unicode MS"/>
          <w:noProof/>
          <w:u w:color="000000"/>
          <w:bdr w:val="nil"/>
        </w:rPr>
      </w:pPr>
      <w:r>
        <w:rPr>
          <w:noProof/>
          <w:u w:color="000000"/>
          <w:bdr w:val="nil"/>
        </w:rPr>
        <w:t>•</w:t>
      </w:r>
      <w:r>
        <w:rPr>
          <w:noProof/>
          <w:u w:color="000000"/>
          <w:bdr w:val="nil"/>
        </w:rPr>
        <w:tab/>
        <w:t>Effectbeoordeling</w:t>
      </w:r>
    </w:p>
    <w:p>
      <w:pPr>
        <w:pBdr>
          <w:top w:val="nil"/>
          <w:left w:val="nil"/>
          <w:bottom w:val="nil"/>
          <w:right w:val="nil"/>
          <w:between w:val="nil"/>
          <w:bar w:val="nil"/>
        </w:pBdr>
        <w:spacing w:before="0" w:after="240"/>
        <w:rPr>
          <w:rFonts w:eastAsia="Arial Unicode MS"/>
          <w:noProof/>
        </w:rPr>
      </w:pPr>
      <w:r>
        <w:rPr>
          <w:noProof/>
        </w:rPr>
        <w:t>Dit is een besluit van louter technische aard ter uitvoering van bestaande regels. Derhalve is een effectbeoordeling niet vereist.</w:t>
      </w:r>
    </w:p>
    <w:p>
      <w:pPr>
        <w:pStyle w:val="ManualHeading2"/>
        <w:rPr>
          <w:rFonts w:eastAsia="Arial Unicode MS"/>
          <w:noProof/>
          <w:u w:color="000000"/>
          <w:bdr w:val="nil"/>
        </w:rPr>
      </w:pPr>
      <w:r>
        <w:rPr>
          <w:noProof/>
          <w:u w:color="000000"/>
          <w:bdr w:val="nil"/>
        </w:rPr>
        <w:t>•</w:t>
      </w:r>
      <w:r>
        <w:rPr>
          <w:noProof/>
          <w:u w:color="000000"/>
          <w:bdr w:val="nil"/>
        </w:rPr>
        <w:tab/>
        <w:t>Resultaatgerichtheid en vereenvoudiging</w:t>
      </w:r>
    </w:p>
    <w:p>
      <w:pPr>
        <w:pBdr>
          <w:top w:val="nil"/>
          <w:left w:val="nil"/>
          <w:bottom w:val="nil"/>
          <w:right w:val="nil"/>
          <w:between w:val="nil"/>
          <w:bar w:val="nil"/>
        </w:pBdr>
        <w:spacing w:before="0" w:after="240"/>
        <w:rPr>
          <w:rFonts w:eastAsia="Arial Unicode MS"/>
          <w:noProof/>
        </w:rPr>
      </w:pPr>
      <w:r>
        <w:rPr>
          <w:noProof/>
        </w:rPr>
        <w:t>Dit voorstel houdt geen verband met Refit. Het voorstel zal de handel tussen Oekraïne en de EU stimuleren. Door te investeren in de productiecapaciteit ten aanzien van zaaizaad in Oekraïne proberen in de EU gevestigde bedrijven hun productiegebieden voor zaaizaad in heel Europa te diversifiëren om de risico’s van productie in slechts één klimaatzone te beperken. Gelijkwaardigheid zou dus bijdragen tot de instandhouding van het continue aanbod van zaad van zeer goede kwaliteit in de EU. Bovendien zijn de Europese zaadbedrijven op zoek naar nieuwe kansen, waarin de EU-gelijkwaardigheid zou voorzien. Het voorstel heeft geen gevolgen voor de nalevingskosten voor de exploitanten. De “digitale controle” is niet van toepassing op dit voorstel.</w:t>
      </w:r>
    </w:p>
    <w:p>
      <w:pPr>
        <w:pStyle w:val="ManualHeading2"/>
        <w:rPr>
          <w:rFonts w:eastAsia="Arial Unicode MS"/>
          <w:noProof/>
          <w:u w:color="000000"/>
          <w:bdr w:val="nil"/>
        </w:rPr>
      </w:pPr>
      <w:r>
        <w:rPr>
          <w:noProof/>
          <w:u w:color="000000"/>
          <w:bdr w:val="nil"/>
        </w:rPr>
        <w:t>•</w:t>
      </w:r>
      <w:r>
        <w:rPr>
          <w:noProof/>
          <w:u w:color="000000"/>
          <w:bdr w:val="nil"/>
        </w:rPr>
        <w:tab/>
        <w:t>Grondrechten</w:t>
      </w:r>
    </w:p>
    <w:p>
      <w:pPr>
        <w:pBdr>
          <w:top w:val="nil"/>
          <w:left w:val="nil"/>
          <w:bottom w:val="nil"/>
          <w:right w:val="nil"/>
          <w:between w:val="nil"/>
          <w:bar w:val="nil"/>
        </w:pBdr>
        <w:spacing w:before="0" w:after="240"/>
        <w:rPr>
          <w:rFonts w:eastAsia="Arial Unicode MS"/>
          <w:noProof/>
        </w:rPr>
      </w:pPr>
      <w:r>
        <w:rPr>
          <w:noProof/>
        </w:rPr>
        <w:t>N.v.t.</w:t>
      </w:r>
    </w:p>
    <w:p>
      <w:pPr>
        <w:pStyle w:val="ManualHeading1"/>
        <w:rPr>
          <w:noProof/>
        </w:rPr>
      </w:pPr>
      <w:r>
        <w:rPr>
          <w:noProof/>
        </w:rPr>
        <w:t>4.</w:t>
      </w:r>
      <w:r>
        <w:rPr>
          <w:noProof/>
        </w:rPr>
        <w:tab/>
        <w:t>GEVOLGEN VOOR DE BEGROTING</w:t>
      </w:r>
    </w:p>
    <w:p>
      <w:pPr>
        <w:pBdr>
          <w:top w:val="nil"/>
          <w:left w:val="nil"/>
          <w:bottom w:val="nil"/>
          <w:right w:val="nil"/>
          <w:between w:val="nil"/>
          <w:bar w:val="nil"/>
        </w:pBdr>
        <w:spacing w:before="0" w:after="240"/>
        <w:rPr>
          <w:rFonts w:eastAsia="Arial Unicode MS"/>
          <w:noProof/>
        </w:rPr>
      </w:pPr>
      <w:r>
        <w:rPr>
          <w:noProof/>
        </w:rPr>
        <w:t>Geen</w:t>
      </w:r>
    </w:p>
    <w:p>
      <w:pPr>
        <w:pStyle w:val="ManualHeading1"/>
        <w:rPr>
          <w:noProof/>
        </w:rPr>
      </w:pPr>
      <w:r>
        <w:rPr>
          <w:noProof/>
        </w:rPr>
        <w:lastRenderedPageBreak/>
        <w:t>5.</w:t>
      </w:r>
      <w:r>
        <w:rPr>
          <w:noProof/>
        </w:rPr>
        <w:tab/>
        <w:t>OVERIGE ELEMENTEN</w:t>
      </w:r>
    </w:p>
    <w:p>
      <w:pPr>
        <w:pStyle w:val="ManualHeading2"/>
        <w:rPr>
          <w:rFonts w:eastAsia="Arial Unicode MS"/>
          <w:noProof/>
          <w:u w:color="000000"/>
          <w:bdr w:val="nil"/>
        </w:rPr>
      </w:pPr>
      <w:r>
        <w:rPr>
          <w:noProof/>
          <w:u w:color="000000"/>
          <w:bdr w:val="nil"/>
        </w:rPr>
        <w:t>•</w:t>
      </w:r>
      <w:r>
        <w:rPr>
          <w:noProof/>
          <w:u w:color="000000"/>
          <w:bdr w:val="nil"/>
        </w:rPr>
        <w:tab/>
        <w:t>Uitvoeringsplanning en regelingen betreffende controle, evaluatie en rapportage</w:t>
      </w:r>
    </w:p>
    <w:p>
      <w:pPr>
        <w:pBdr>
          <w:top w:val="nil"/>
          <w:left w:val="nil"/>
          <w:bottom w:val="nil"/>
          <w:right w:val="nil"/>
          <w:between w:val="nil"/>
          <w:bar w:val="nil"/>
        </w:pBdr>
        <w:spacing w:before="0" w:after="240"/>
        <w:rPr>
          <w:rFonts w:eastAsia="Arial Unicode MS"/>
          <w:noProof/>
        </w:rPr>
      </w:pPr>
      <w:r>
        <w:rPr>
          <w:noProof/>
        </w:rPr>
        <w:t>N.v.t.</w:t>
      </w:r>
    </w:p>
    <w:p>
      <w:pPr>
        <w:pStyle w:val="ManualHeading2"/>
        <w:rPr>
          <w:rFonts w:eastAsia="Arial Unicode MS"/>
          <w:noProof/>
          <w:u w:color="000000"/>
          <w:bdr w:val="nil"/>
        </w:rPr>
      </w:pPr>
      <w:r>
        <w:rPr>
          <w:noProof/>
          <w:u w:color="000000"/>
          <w:bdr w:val="nil"/>
        </w:rPr>
        <w:t>•</w:t>
      </w:r>
      <w:r>
        <w:rPr>
          <w:noProof/>
          <w:u w:color="000000"/>
          <w:bdr w:val="nil"/>
        </w:rPr>
        <w:tab/>
        <w:t>Toelichtende stukken (bij richtlijnen)</w:t>
      </w:r>
    </w:p>
    <w:p>
      <w:pPr>
        <w:pBdr>
          <w:top w:val="nil"/>
          <w:left w:val="nil"/>
          <w:bottom w:val="nil"/>
          <w:right w:val="nil"/>
          <w:between w:val="nil"/>
          <w:bar w:val="nil"/>
        </w:pBdr>
        <w:spacing w:before="0" w:after="240"/>
        <w:rPr>
          <w:rFonts w:eastAsia="Arial Unicode MS"/>
          <w:noProof/>
        </w:rPr>
      </w:pPr>
      <w:r>
        <w:rPr>
          <w:noProof/>
        </w:rPr>
        <w:t>N.v.t.</w:t>
      </w:r>
    </w:p>
    <w:p>
      <w:pPr>
        <w:pStyle w:val="ManualHeading2"/>
        <w:rPr>
          <w:rFonts w:eastAsia="Arial Unicode MS"/>
          <w:noProof/>
          <w:u w:color="000000"/>
          <w:bdr w:val="nil"/>
        </w:rPr>
      </w:pPr>
      <w:r>
        <w:rPr>
          <w:noProof/>
          <w:u w:color="000000"/>
          <w:bdr w:val="nil"/>
        </w:rPr>
        <w:t>•</w:t>
      </w:r>
      <w:r>
        <w:rPr>
          <w:noProof/>
          <w:u w:color="000000"/>
          <w:bdr w:val="nil"/>
        </w:rPr>
        <w:tab/>
        <w:t>Artikelsgewijze toelichting</w:t>
      </w:r>
    </w:p>
    <w:p>
      <w:pPr>
        <w:pBdr>
          <w:top w:val="nil"/>
          <w:left w:val="nil"/>
          <w:bottom w:val="nil"/>
          <w:right w:val="nil"/>
          <w:between w:val="nil"/>
          <w:bar w:val="nil"/>
        </w:pBdr>
        <w:spacing w:before="0" w:after="240"/>
      </w:pPr>
      <w:r>
        <w:rPr>
          <w:noProof/>
        </w:rPr>
        <w:t>De enige materiële bepaling in het voorstel voegt Oekraïne toe aan de lijst van landen waarvoor gelijkwaardigheid van de veldkeuringen van gewassen voor de teelt van zaaizaad van graansoorten en de gelijkwaardigheid van het geproduceerde zaaizaad, is erkend.</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2020/0053 (COD)</w:t>
      </w:r>
    </w:p>
    <w:p>
      <w:pPr>
        <w:pStyle w:val="Statut"/>
        <w:rPr>
          <w:noProof/>
        </w:rPr>
      </w:pPr>
      <w:r>
        <w:rPr>
          <w:noProof/>
        </w:rPr>
        <w:t>Voorstel voor een</w:t>
      </w:r>
    </w:p>
    <w:p>
      <w:pPr>
        <w:pStyle w:val="Typedudocument"/>
        <w:rPr>
          <w:noProof/>
        </w:rPr>
      </w:pPr>
      <w:r>
        <w:rPr>
          <w:noProof/>
        </w:rPr>
        <w:t>BESLUIT VAN HET EUROPEES PARLEMENT EN DE RAAD</w:t>
      </w:r>
    </w:p>
    <w:p>
      <w:pPr>
        <w:pStyle w:val="Titreobjet"/>
        <w:rPr>
          <w:noProof/>
        </w:rPr>
      </w:pPr>
      <w:r>
        <w:rPr>
          <w:noProof/>
        </w:rPr>
        <w:t>tot wijziging van Beschikking 2003/17/EG van de Raad wat betreft de gelijkwaardigheid van in Oekraïne verrichte veldkeuringen van gewassen voor de teelt van zaaigranen en de gelijkwaardigheid van in Oekraïne voortgebrachte zaaigranen</w:t>
      </w:r>
    </w:p>
    <w:p>
      <w:pPr>
        <w:pStyle w:val="Institutionquiagit"/>
        <w:rPr>
          <w:noProof/>
        </w:rPr>
      </w:pPr>
      <w:r>
        <w:rPr>
          <w:noProof/>
        </w:rPr>
        <w:t>HET EUROPEES PARLEMENT EN DE RAAD VAN DE EUROPESE UNIE,</w:t>
      </w:r>
    </w:p>
    <w:p>
      <w:pPr>
        <w:rPr>
          <w:noProof/>
          <w:szCs w:val="24"/>
        </w:rPr>
      </w:pPr>
      <w:r>
        <w:rPr>
          <w:noProof/>
        </w:rPr>
        <w:t>Gezien het Verdrag betreffende de werking van de Europese Unie, en met name artikel 43, lid 2,</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Gezien het advies van het Europees Economisch en Sociaal Comité</w:t>
      </w:r>
      <w:r>
        <w:rPr>
          <w:rStyle w:val="FootnoteReference"/>
          <w:noProof/>
        </w:rPr>
        <w:footnoteReference w:id="1"/>
      </w:r>
      <w:r>
        <w:rPr>
          <w:noProof/>
        </w:rPr>
        <w:t>,</w:t>
      </w:r>
    </w:p>
    <w:p>
      <w:pPr>
        <w:rPr>
          <w:noProof/>
        </w:rPr>
      </w:pPr>
      <w:r>
        <w:rPr>
          <w:noProof/>
        </w:rPr>
        <w:t>Handelend volgens de gewone wetgevingsprocedure,</w:t>
      </w:r>
    </w:p>
    <w:p>
      <w:pPr>
        <w:rPr>
          <w:noProof/>
        </w:rPr>
      </w:pPr>
      <w:r>
        <w:rPr>
          <w:noProof/>
        </w:rPr>
        <w:t>Overwegende hetgeen volgt:</w:t>
      </w:r>
    </w:p>
    <w:p>
      <w:pPr>
        <w:pStyle w:val="ManualConsidrant"/>
        <w:rPr>
          <w:noProof/>
        </w:rPr>
      </w:pPr>
      <w:r>
        <w:t>(1)</w:t>
      </w:r>
      <w:r>
        <w:tab/>
      </w:r>
      <w:r>
        <w:rPr>
          <w:noProof/>
        </w:rPr>
        <w:t>Bij Beschikking 2003/17/EG van de Raad</w:t>
      </w:r>
      <w:r>
        <w:rPr>
          <w:rStyle w:val="FootnoteReference"/>
          <w:noProof/>
        </w:rPr>
        <w:footnoteReference w:id="2"/>
      </w:r>
      <w:r>
        <w:rPr>
          <w:noProof/>
        </w:rPr>
        <w:t xml:space="preserve"> is bepaald dat veldkeuringen van bepaalde gewassen voor de teelt van zaaizaad die in de daarin vermelde derde landen worden verricht, onder bepaalde voorwaarden moeten worden beschouwd als gelijkwaardig aan overeenkomstig het recht van de Unie verrichte veldkeuringen en dat zaaizaad van bepaalde soorten graan dat in die landen is voortgebracht, onder bepaalde voorwaarden moet worden beschouwd als gelijkwaardig aan zaad dat overeenkomstig het recht van de Unie is voortgebracht.</w:t>
      </w:r>
    </w:p>
    <w:p>
      <w:pPr>
        <w:pStyle w:val="ManualConsidrant"/>
        <w:rPr>
          <w:noProof/>
        </w:rPr>
      </w:pPr>
      <w:r>
        <w:t>(2)</w:t>
      </w:r>
      <w:r>
        <w:tab/>
      </w:r>
      <w:r>
        <w:rPr>
          <w:noProof/>
        </w:rPr>
        <w:t>Oekraïne heeft de Commissie verzocht de gelijkwaardigheid te erkennen van zijn systeem van veldkeuringen van zaaigranen, alsook van de in Oekraïne voortgebrachte en gecertificeerde zaaigranen.</w:t>
      </w:r>
    </w:p>
    <w:p>
      <w:pPr>
        <w:pStyle w:val="ManualConsidrant"/>
        <w:rPr>
          <w:noProof/>
        </w:rPr>
      </w:pPr>
      <w:r>
        <w:t>(3)</w:t>
      </w:r>
      <w:r>
        <w:tab/>
      </w:r>
      <w:r>
        <w:rPr>
          <w:noProof/>
        </w:rPr>
        <w:t xml:space="preserve">De Commissie heeft de wetgeving van Oekraïne ter zake onderzocht en, op basis van een in 2015 verrichte audit betreffende het systeem van officiële controles en van de certificering van zaaigranen in Oekraïne en de gelijkwaardigheid daarvan met de Unievoorschriften, een verslag met haar bevindingen gepubliceerd, getiteld: “Eindverslag van een van 26 mei 2015 tot 4 juni 2015 in Oekraïne verrichte audit teneinde het systeem van officiële controles en certificering van zaaigranen en de gelijkwaardigheid daarvan met de voorschriften van de Europese Unie te evalueren”. </w:t>
      </w:r>
    </w:p>
    <w:p>
      <w:pPr>
        <w:pStyle w:val="ManualConsidrant"/>
        <w:rPr>
          <w:noProof/>
        </w:rPr>
      </w:pPr>
      <w:r>
        <w:t>(4)</w:t>
      </w:r>
      <w:r>
        <w:tab/>
      </w:r>
      <w:r>
        <w:rPr>
          <w:noProof/>
        </w:rPr>
        <w:t xml:space="preserve">Naar aanleiding van die audit is geconcludeerd dat de veldkeuringen van gewassen voor de teelt van zaaizaad, de bemonstering, de tests en de officiële controles achteraf van zaaigranen naar behoren worden verricht en voldoen aan de voorwaarden van bijlage II bij Beschikking 2003/17/EG en de desbetreffende voorschriften van Richtlijn 66/402/EEG. Voorts werd geconcludeerd dat de nationale autoriteiten die in </w:t>
      </w:r>
      <w:r>
        <w:rPr>
          <w:noProof/>
        </w:rPr>
        <w:lastRenderedPageBreak/>
        <w:t>Oekraïne belast zijn met de uitvoering van de certificering voor zaaizaad, bekwaam zijn en naar behoren functioneren.</w:t>
      </w:r>
    </w:p>
    <w:p>
      <w:pPr>
        <w:pStyle w:val="ManualConsidrant"/>
        <w:rPr>
          <w:noProof/>
        </w:rPr>
      </w:pPr>
      <w:r>
        <w:t>(5)</w:t>
      </w:r>
      <w:r>
        <w:tab/>
      </w:r>
      <w:r>
        <w:rPr>
          <w:noProof/>
        </w:rPr>
        <w:t>Derhalve is het passend de gelijkwaardigheid te erkennen van de veldkeuringen die in Oekraïne voor zaaigranen worden uitgevoerd, alsook van de in Oekraïne voortgebrachte en door de autoriteiten van Oekraïne officieel gecertificeerde zaaigranen.</w:t>
      </w:r>
    </w:p>
    <w:p>
      <w:pPr>
        <w:pStyle w:val="ManualConsidrant"/>
        <w:rPr>
          <w:noProof/>
        </w:rPr>
      </w:pPr>
      <w:r>
        <w:t>(6)</w:t>
      </w:r>
      <w:r>
        <w:tab/>
      </w:r>
      <w:r>
        <w:rPr>
          <w:noProof/>
        </w:rPr>
        <w:t>Beschikking 2003/17/EG moet daarom dienovereenkomstig worden gewijzigd,</w:t>
      </w:r>
    </w:p>
    <w:p>
      <w:pPr>
        <w:pStyle w:val="Formuledadoption"/>
        <w:rPr>
          <w:noProof/>
        </w:rPr>
      </w:pPr>
      <w:r>
        <w:rPr>
          <w:noProof/>
        </w:rPr>
        <w:t>HEBBEN HET VOLGENDE BESLUIT VASTGESTELD:</w:t>
      </w:r>
    </w:p>
    <w:p>
      <w:pPr>
        <w:pStyle w:val="Titrearticle"/>
        <w:rPr>
          <w:b/>
          <w:i w:val="0"/>
          <w:noProof/>
        </w:rPr>
      </w:pPr>
      <w:r>
        <w:rPr>
          <w:noProof/>
        </w:rPr>
        <w:t>Artikel 1</w:t>
      </w:r>
      <w:r>
        <w:rPr>
          <w:noProof/>
        </w:rPr>
        <w:br/>
      </w:r>
      <w:r>
        <w:rPr>
          <w:b/>
          <w:i w:val="0"/>
          <w:noProof/>
        </w:rPr>
        <w:t>Wijzigingen van Beschikking 2003/17/EG</w:t>
      </w:r>
    </w:p>
    <w:p>
      <w:pPr>
        <w:rPr>
          <w:noProof/>
        </w:rPr>
      </w:pPr>
      <w:r>
        <w:rPr>
          <w:noProof/>
        </w:rPr>
        <w:t>Bijlage I bij Beschikking 2003/17/EG wordt als volgt gewijzigd:</w:t>
      </w:r>
    </w:p>
    <w:p>
      <w:pPr>
        <w:pStyle w:val="Point0"/>
        <w:spacing w:after="360"/>
        <w:ind w:left="851" w:hanging="851"/>
        <w:rPr>
          <w:noProof/>
        </w:rPr>
      </w:pPr>
      <w:r>
        <w:rPr>
          <w:noProof/>
        </w:rPr>
        <w:t>a)</w:t>
      </w:r>
      <w:r>
        <w:rPr>
          <w:noProof/>
        </w:rPr>
        <w:tab/>
        <w:t>in de tabel wordt de volgende vermelding ingevoegd tussen “TR” en “US”:</w:t>
      </w:r>
    </w:p>
    <w:tbl>
      <w:tblPr>
        <w:tblW w:w="0" w:type="auto"/>
        <w:tblInd w:w="95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510"/>
        <w:gridCol w:w="2529"/>
        <w:gridCol w:w="1751"/>
      </w:tblGrid>
      <w:tr>
        <w:tc>
          <w:tcPr>
            <w:tcW w:w="3510" w:type="dxa"/>
            <w:shd w:val="clear" w:color="auto" w:fill="auto"/>
          </w:tcPr>
          <w:p>
            <w:pPr>
              <w:spacing w:before="40" w:after="40"/>
              <w:jc w:val="left"/>
              <w:rPr>
                <w:rFonts w:eastAsia="Calibri"/>
                <w:noProof/>
              </w:rPr>
            </w:pPr>
            <w:r>
              <w:rPr>
                <w:noProof/>
                <w:sz w:val="22"/>
              </w:rPr>
              <w:t>“UA</w:t>
            </w:r>
          </w:p>
        </w:tc>
        <w:tc>
          <w:tcPr>
            <w:tcW w:w="2529" w:type="dxa"/>
            <w:shd w:val="clear" w:color="auto" w:fill="auto"/>
          </w:tcPr>
          <w:p>
            <w:pPr>
              <w:spacing w:before="40" w:after="40"/>
              <w:jc w:val="left"/>
              <w:rPr>
                <w:rFonts w:eastAsia="Calibri"/>
                <w:noProof/>
              </w:rPr>
            </w:pPr>
            <w:r>
              <w:rPr>
                <w:noProof/>
                <w:sz w:val="22"/>
              </w:rPr>
              <w:t>Ministry of Agrarian Policy and Food of Ukraine</w:t>
            </w:r>
          </w:p>
          <w:p>
            <w:pPr>
              <w:spacing w:before="40" w:after="40"/>
              <w:jc w:val="left"/>
              <w:rPr>
                <w:rFonts w:eastAsia="Calibri"/>
                <w:noProof/>
              </w:rPr>
            </w:pPr>
            <w:r>
              <w:rPr>
                <w:noProof/>
                <w:sz w:val="22"/>
              </w:rPr>
              <w:t>Khreshchatyk str., 24, 01001, KYIV</w:t>
            </w:r>
          </w:p>
        </w:tc>
        <w:tc>
          <w:tcPr>
            <w:tcW w:w="1751" w:type="dxa"/>
          </w:tcPr>
          <w:p>
            <w:pPr>
              <w:spacing w:before="40" w:after="40"/>
              <w:jc w:val="center"/>
              <w:rPr>
                <w:rFonts w:eastAsia="Calibri"/>
                <w:noProof/>
              </w:rPr>
            </w:pPr>
            <w:r>
              <w:rPr>
                <w:noProof/>
                <w:sz w:val="22"/>
              </w:rPr>
              <w:t>66/402/EEG”;</w:t>
            </w:r>
          </w:p>
        </w:tc>
      </w:tr>
    </w:tbl>
    <w:p>
      <w:pPr>
        <w:pStyle w:val="Point0"/>
        <w:rPr>
          <w:noProof/>
        </w:rPr>
      </w:pPr>
      <w:r>
        <w:rPr>
          <w:noProof/>
        </w:rPr>
        <w:t>b)</w:t>
      </w:r>
      <w:r>
        <w:rPr>
          <w:noProof/>
        </w:rPr>
        <w:tab/>
        <w:t>in de voetnoot bij die tabel wordt de volgende verklaring ingevoegd tussen “TR — Turkije,” en “US — Verenigde Staten”:</w:t>
      </w:r>
    </w:p>
    <w:p>
      <w:pPr>
        <w:pStyle w:val="Text1"/>
        <w:rPr>
          <w:noProof/>
        </w:rPr>
      </w:pPr>
      <w:r>
        <w:rPr>
          <w:noProof/>
        </w:rPr>
        <w:t>“UA — Oekraïne,”.</w:t>
      </w:r>
    </w:p>
    <w:p>
      <w:pPr>
        <w:rPr>
          <w:noProof/>
        </w:rPr>
      </w:pPr>
    </w:p>
    <w:p>
      <w:pPr>
        <w:pStyle w:val="Titrearticle"/>
        <w:rPr>
          <w:noProof/>
          <w:szCs w:val="24"/>
        </w:rPr>
      </w:pPr>
      <w:r>
        <w:rPr>
          <w:noProof/>
        </w:rPr>
        <w:t>Artikel 2</w:t>
      </w:r>
      <w:r>
        <w:rPr>
          <w:noProof/>
        </w:rPr>
        <w:br/>
      </w:r>
      <w:r>
        <w:rPr>
          <w:b/>
          <w:i w:val="0"/>
          <w:noProof/>
        </w:rPr>
        <w:t>Inwerkingtreding</w:t>
      </w:r>
    </w:p>
    <w:p>
      <w:pPr>
        <w:rPr>
          <w:noProof/>
        </w:rPr>
      </w:pPr>
      <w:r>
        <w:rPr>
          <w:noProof/>
        </w:rPr>
        <w:t xml:space="preserve">Dit besluit treedt in werking op de twintigste dag na die van de bekendmaking ervan in het </w:t>
      </w:r>
      <w:r>
        <w:rPr>
          <w:i/>
          <w:iCs/>
          <w:noProof/>
        </w:rPr>
        <w:t>Publicatieblad van de Europese Unie</w:t>
      </w:r>
      <w:r>
        <w:rPr>
          <w:noProof/>
        </w:rPr>
        <w:t>.</w:t>
      </w:r>
    </w:p>
    <w:p>
      <w:pPr>
        <w:pStyle w:val="Titrearticle"/>
        <w:rPr>
          <w:noProof/>
        </w:rPr>
      </w:pPr>
      <w:r>
        <w:rPr>
          <w:noProof/>
        </w:rPr>
        <w:t>Artikel 3</w:t>
      </w:r>
      <w:r>
        <w:rPr>
          <w:noProof/>
        </w:rPr>
        <w:br/>
      </w:r>
      <w:r>
        <w:rPr>
          <w:b/>
          <w:i w:val="0"/>
          <w:noProof/>
        </w:rPr>
        <w:t>Adressaten</w:t>
      </w:r>
    </w:p>
    <w:p>
      <w:pPr>
        <w:rPr>
          <w:noProof/>
        </w:rPr>
      </w:pPr>
      <w:r>
        <w:rPr>
          <w:noProof/>
        </w:rPr>
        <w:t>Dit besluit is gericht tot de lidstaten.</w:t>
      </w:r>
    </w:p>
    <w:p>
      <w:pPr>
        <w:pStyle w:val="Fait"/>
        <w:rPr>
          <w:noProof/>
        </w:rPr>
      </w:pPr>
      <w:r>
        <w:t>Gedaan te Brussel,</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PB C  van , blz. .</w:t>
      </w:r>
    </w:p>
  </w:footnote>
  <w:footnote w:id="2">
    <w:p>
      <w:pPr>
        <w:pStyle w:val="FootnoteText"/>
      </w:pPr>
      <w:r>
        <w:rPr>
          <w:rStyle w:val="FootnoteReference"/>
        </w:rPr>
        <w:footnoteRef/>
      </w:r>
      <w:r>
        <w:tab/>
        <w:t>Beschikking 2003/17/EG van de Raad van 16 december 2002 betreffende de gelijkwaardigheid van in derde landen verrichte veldkeuringen van gewassen voor de teelt van zaaizaad en de gelijkwaardigheid van in derde landen voortgebracht zaaizaad (PB L 8 van 14.1.2003, blz. 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C121FF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084D126"/>
    <w:lvl w:ilvl="0">
      <w:start w:val="1"/>
      <w:numFmt w:val="decimal"/>
      <w:pStyle w:val="ListNumber3"/>
      <w:lvlText w:val="%1."/>
      <w:lvlJc w:val="left"/>
      <w:pPr>
        <w:tabs>
          <w:tab w:val="num" w:pos="926"/>
        </w:tabs>
        <w:ind w:left="926" w:hanging="360"/>
      </w:pPr>
    </w:lvl>
  </w:abstractNum>
  <w:abstractNum w:abstractNumId="2">
    <w:nsid w:val="FFFFFF7F"/>
    <w:multiLevelType w:val="singleLevel"/>
    <w:tmpl w:val="8F6A3BA0"/>
    <w:lvl w:ilvl="0">
      <w:start w:val="1"/>
      <w:numFmt w:val="decimal"/>
      <w:pStyle w:val="ListNumber2"/>
      <w:lvlText w:val="%1."/>
      <w:lvlJc w:val="left"/>
      <w:pPr>
        <w:tabs>
          <w:tab w:val="num" w:pos="643"/>
        </w:tabs>
        <w:ind w:left="643" w:hanging="360"/>
      </w:pPr>
    </w:lvl>
  </w:abstractNum>
  <w:abstractNum w:abstractNumId="3">
    <w:nsid w:val="FFFFFF81"/>
    <w:multiLevelType w:val="singleLevel"/>
    <w:tmpl w:val="12C2169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E448AA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FF6A09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6BA07A2"/>
    <w:lvl w:ilvl="0">
      <w:start w:val="1"/>
      <w:numFmt w:val="decimal"/>
      <w:pStyle w:val="ListNumber"/>
      <w:lvlText w:val="%1."/>
      <w:lvlJc w:val="left"/>
      <w:pPr>
        <w:tabs>
          <w:tab w:val="num" w:pos="360"/>
        </w:tabs>
        <w:ind w:left="360" w:hanging="360"/>
      </w:pPr>
    </w:lvl>
  </w:abstractNum>
  <w:abstractNum w:abstractNumId="7">
    <w:nsid w:val="FFFFFF89"/>
    <w:multiLevelType w:val="singleLevel"/>
    <w:tmpl w:val="7A0C7E7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3-30 14:12:2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DC7C921-D5D0-4464-912F-00224B6E84F3"/>
    <w:docVar w:name="LW_COVERPAGE_TYPE" w:val="1"/>
    <w:docVar w:name="LW_CROSSREFERENCE" w:val="&lt;UNUSED&gt;"/>
    <w:docVar w:name="LW_DocType" w:val="COM"/>
    <w:docVar w:name="LW_EMISSION" w:val="7.4.2020"/>
    <w:docVar w:name="LW_EMISSION_ISODATE" w:val="2020-04-07"/>
    <w:docVar w:name="LW_EMISSION_LOCATION" w:val="BRX"/>
    <w:docVar w:name="LW_EMISSION_PREFIX" w:val="Brussel, "/>
    <w:docVar w:name="LW_EMISSION_SUFFIX" w:val=" "/>
    <w:docVar w:name="LW_ID_DOCMODEL" w:val="SJ-025"/>
    <w:docVar w:name="LW_ID_DOCSIGNATURE" w:val="SJ-025"/>
    <w:docVar w:name="LW_ID_DOCSTRUCTURE" w:val="COM/PL/ORG"/>
    <w:docVar w:name="LW_ID_DOCTYPE" w:val="SJ-025"/>
    <w:docVar w:name="LW_ID_EXP.MOTIFS.NEW" w:val="EM_PL_"/>
    <w:docVar w:name="LW_ID_STATUT" w:val="SJ-025"/>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OD"/>
    <w:docVar w:name="LW_REF.II.NEW.CP_NUMBER" w:val="0053"/>
    <w:docVar w:name="LW_REF.II.NEW.CP_YEAR" w:val="2020"/>
    <w:docVar w:name="LW_REF.INST.NEW" w:val="COM"/>
    <w:docVar w:name="LW_REF.INST.NEW_ADOPTED" w:val="final"/>
    <w:docVar w:name="LW_REF.INST.NEW_TEXT" w:val="(2020) 1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orstel voor een"/>
    <w:docVar w:name="LW_SUPERTITRE" w:val="&lt;UNUSED&gt;"/>
    <w:docVar w:name="LW_TITRE.OBJ.CP" w:val="tot wijziging van Beschikking 2003/17/EG van de Raad wat betreft de gelijkwaardigheid van in Oekraïne verrichte veldkeuringen van gewassen voor de teelt van zaaigranen en de gelijkwaardigheid van in Oekraïne voortgebrachte zaaigranen"/>
    <w:docVar w:name="LW_TYPE.DOC.CP" w:val="BESLUIT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5DD92-F444-4567-9CA8-C3EE78E7B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1304</Words>
  <Characters>7801</Characters>
  <Application>Microsoft Office Word</Application>
  <DocSecurity>0</DocSecurity>
  <Lines>162</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2020-03-13T14:49:00Z</dcterms:created>
  <dcterms:modified xsi:type="dcterms:W3CDTF">2020-03-30T12:12:00Z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SJ-025</vt:lpwstr>
  </property>
  <property fmtid="{D5CDD505-2E9C-101B-9397-08002B2CF9AE}" pid="10" name="DQCStatus">
    <vt:lpwstr>Green (DQC version 03)</vt:lpwstr>
  </property>
</Properties>
</file>