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B80885C2-261B-4985-A286-99E0E542EE33" style="width:450.45pt;height:352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u w:color="000000"/>
          <w:bdr w:val="nil"/>
        </w:rPr>
        <w:t>•</w:t>
      </w:r>
      <w:r>
        <w:rPr>
          <w:noProof/>
          <w:u w:color="000000"/>
          <w:bdr w:val="nil"/>
        </w:rPr>
        <w:tab/>
      </w:r>
      <w:r>
        <w:rPr>
          <w:noProof/>
        </w:rPr>
        <w:t>Motiv och syfte med förslaget</w:t>
      </w:r>
    </w:p>
    <w:p>
      <w:pPr>
        <w:rPr>
          <w:rFonts w:eastAsia="Calibri"/>
          <w:noProof/>
        </w:rPr>
      </w:pPr>
      <w:r>
        <w:rPr>
          <w:noProof/>
        </w:rPr>
        <w:t xml:space="preserve">Genom rådets beslut 2003/17/EG beviljas vissa länder utanför EU likvärdighet för fältbesiktningar och produktion av utsäde av vissa arter, vilka utförs i enlighet med direktiven 66/401/EEG, 66/402/EEG, 2002/54/EG och 2002/57/EG. De nationella bestämmelserna för utsäde som skördas och kontrolleras i dessa länder ger, när det gäller utsädets egenskaper och möjligheterna till undersökning av utsädet, samma garantier för säkerställande av utsädets identitet samt för märkning och kontroll som de bestämmelser som tillämpas på utsäde som skördas och kontrolleras inom unionen. Ukraina hör inte till dessa länder utanför EU och därför är det för närvarande inte möjligt att importera stråsäd som skördats i landet till Europeiska unionen. </w:t>
      </w:r>
    </w:p>
    <w:p>
      <w:pPr>
        <w:rPr>
          <w:rFonts w:eastAsia="Calibri"/>
          <w:noProof/>
        </w:rPr>
      </w:pPr>
      <w:r>
        <w:rPr>
          <w:noProof/>
        </w:rPr>
        <w:t xml:space="preserve">Ukraina har lämnat in en begäran till kommissionen om att stråsäd från landet ska omfattas av rådets beslut 2003/17/EG vad gäller likvärdighet. </w:t>
      </w:r>
    </w:p>
    <w:p>
      <w:pPr>
        <w:rPr>
          <w:rFonts w:eastAsia="Calibri"/>
          <w:noProof/>
        </w:rPr>
      </w:pPr>
      <w:r>
        <w:rPr>
          <w:noProof/>
        </w:rPr>
        <w:t xml:space="preserve">Till följd av begäran har kommissionen granskat den tillämpliga lagstiftningen i Ukraina samt landets system för fältbesiktning och certifiering av utsäde av stråsäd. Det konstaterades att landets krav och system är likvärdiga med unionens och ger samma garantier som unionens system. </w:t>
      </w:r>
    </w:p>
    <w:p>
      <w:pPr>
        <w:rPr>
          <w:rFonts w:eastAsia="Calibri"/>
          <w:noProof/>
        </w:rPr>
      </w:pPr>
      <w:r>
        <w:rPr>
          <w:noProof/>
        </w:rPr>
        <w:t xml:space="preserve">Det är därför lämpligt att erkänna det ukrainska utsädet som likvärdigt med utsäde av stråsäd som skördas, produceras och kontrolleras i Europeiska unionen genom ett beslut av Europaparlamentet och rådet.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Det är här fråga om ett tekniskt genomförande av befintliga krav, och förslaget är sålunda förenligt med befintliga bestämmelser på policyområdet eller för saluföring av utsäde.</w:t>
      </w:r>
    </w:p>
    <w:p>
      <w:pPr>
        <w:pStyle w:val="ManualHeading2"/>
        <w:rPr>
          <w:rFonts w:eastAsia="Arial Unicode MS"/>
          <w:noProof/>
        </w:rPr>
      </w:pPr>
      <w:r>
        <w:rPr>
          <w:noProof/>
          <w:u w:color="000000"/>
          <w:bdr w:val="nil"/>
        </w:rPr>
        <w:t>•</w:t>
      </w:r>
      <w:r>
        <w:rPr>
          <w:noProof/>
          <w:u w:color="000000"/>
          <w:bdr w:val="nil"/>
        </w:rPr>
        <w:tab/>
      </w:r>
      <w:r>
        <w:rPr>
          <w:noProof/>
        </w:rPr>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Detta förslag är i linje med målen i associeringsavtalet EU-Ukraina, eftersom det kommer att främja handel med utsäde som uppfyller unionens regler.</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u w:color="000000"/>
          <w:bdr w:val="nil"/>
        </w:rPr>
        <w:tab/>
        <w:t>Rättslig grund</w:t>
      </w:r>
    </w:p>
    <w:p>
      <w:pPr>
        <w:pBdr>
          <w:top w:val="nil"/>
          <w:left w:val="nil"/>
          <w:bottom w:val="nil"/>
          <w:right w:val="nil"/>
          <w:between w:val="nil"/>
          <w:bar w:val="nil"/>
        </w:pBdr>
        <w:spacing w:before="0" w:after="240"/>
        <w:rPr>
          <w:rFonts w:eastAsia="Arial Unicode MS"/>
          <w:noProof/>
        </w:rPr>
      </w:pPr>
      <w:r>
        <w:rPr>
          <w:noProof/>
        </w:rPr>
        <w:t>Den rättsliga grunden för denna rättsakt är artikel 43.2 i EUF-fördraget som ger Europaparlamentet och rådet befogenhet att fastställa de bestämmelser som behövs för att uppnå målen för den gemensamma jordbrukspolitiken.</w:t>
      </w:r>
    </w:p>
    <w:p>
      <w:pPr>
        <w:pStyle w:val="ManualHeading2"/>
        <w:rPr>
          <w:rFonts w:eastAsia="Arial Unicode MS"/>
          <w:noProof/>
          <w:u w:color="000000"/>
          <w:bdr w:val="nil"/>
        </w:rPr>
      </w:pPr>
      <w:r>
        <w:rPr>
          <w:noProof/>
          <w:u w:color="000000"/>
          <w:bdr w:val="nil"/>
        </w:rPr>
        <w:t>•</w:t>
      </w:r>
      <w:r>
        <w:rPr>
          <w:noProof/>
          <w:u w:color="000000"/>
          <w:bdr w:val="nil"/>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De krav som ställs på utsäde regleras på unionsnivå. För att säkerställa fri rörlighet för importerat utsäde på den inre marknaden krävs åtgärder på unionsnivå.</w:t>
      </w:r>
    </w:p>
    <w:p>
      <w:pPr>
        <w:pStyle w:val="ManualHeading2"/>
        <w:rPr>
          <w:rFonts w:eastAsia="Arial Unicode MS"/>
          <w:noProof/>
          <w:u w:color="000000"/>
          <w:bdr w:val="nil"/>
        </w:rPr>
      </w:pPr>
      <w:r>
        <w:rPr>
          <w:noProof/>
          <w:u w:color="000000"/>
          <w:bdr w:val="nil"/>
        </w:rPr>
        <w:t>•</w:t>
      </w:r>
      <w:r>
        <w:rPr>
          <w:noProof/>
          <w:u w:color="000000"/>
          <w:bdr w:val="nil"/>
        </w:rPr>
        <w:tab/>
        <w:t>Proportionalitetsprincipen</w:t>
      </w:r>
    </w:p>
    <w:p>
      <w:pPr>
        <w:pBdr>
          <w:top w:val="nil"/>
          <w:left w:val="nil"/>
          <w:bottom w:val="nil"/>
          <w:right w:val="nil"/>
          <w:between w:val="nil"/>
          <w:bar w:val="nil"/>
        </w:pBdr>
        <w:spacing w:before="0" w:after="240"/>
        <w:rPr>
          <w:rFonts w:eastAsia="Arial Unicode MS"/>
          <w:noProof/>
        </w:rPr>
      </w:pPr>
      <w:r>
        <w:rPr>
          <w:noProof/>
        </w:rPr>
        <w:t>Det eftersträvade målet kan endast uppnås genom denna unionsåtgärd.</w:t>
      </w:r>
    </w:p>
    <w:p>
      <w:pPr>
        <w:pStyle w:val="ManualHeading2"/>
        <w:rPr>
          <w:rFonts w:eastAsia="Arial Unicode MS"/>
          <w:noProof/>
          <w:u w:color="000000"/>
          <w:bdr w:val="nil"/>
        </w:rPr>
      </w:pPr>
      <w:r>
        <w:rPr>
          <w:noProof/>
          <w:u w:color="000000"/>
          <w:bdr w:val="nil"/>
        </w:rPr>
        <w:lastRenderedPageBreak/>
        <w:t>•</w:t>
      </w:r>
      <w:r>
        <w:rPr>
          <w:noProof/>
          <w:u w:color="000000"/>
          <w:bdr w:val="nil"/>
        </w:rPr>
        <w:tab/>
        <w:t>Val av instrument</w:t>
      </w:r>
    </w:p>
    <w:p>
      <w:pPr>
        <w:pBdr>
          <w:top w:val="nil"/>
          <w:left w:val="nil"/>
          <w:bottom w:val="nil"/>
          <w:right w:val="nil"/>
          <w:between w:val="nil"/>
          <w:bar w:val="nil"/>
        </w:pBdr>
        <w:spacing w:before="0" w:after="240"/>
        <w:rPr>
          <w:rFonts w:eastAsia="Arial Unicode MS"/>
          <w:noProof/>
        </w:rPr>
      </w:pPr>
      <w:r>
        <w:rPr>
          <w:noProof/>
        </w:rPr>
        <w:t>Det rättsliga instrumentet fastställs i den rättsliga grunden, artikel 43.2 i EUF-fördraget.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u w:color="000000"/>
          <w:bdr w:val="nil"/>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Samråd med berörda parter</w:t>
      </w:r>
    </w:p>
    <w:p>
      <w:pPr>
        <w:pBdr>
          <w:top w:val="nil"/>
          <w:left w:val="nil"/>
          <w:bottom w:val="nil"/>
          <w:right w:val="nil"/>
          <w:between w:val="nil"/>
          <w:bar w:val="nil"/>
        </w:pBdr>
        <w:spacing w:before="0" w:after="240"/>
        <w:rPr>
          <w:rFonts w:eastAsia="Arial Unicode MS"/>
          <w:noProof/>
        </w:rPr>
      </w:pPr>
      <w:r>
        <w:rPr>
          <w:noProof/>
        </w:rPr>
        <w:t>Medlemsstaterna har informerats och rådfrågats i ständiga kommittén för växter, djur, livsmedel och foder. Inget separat samråd har behövts, eftersom initiativet endast gäller ett tekniskt genomförande av befintliga bestämmelser, och inga separata samråd har heller tidigare anordnats i samband med liknande initiativ. Ukraina har kommenterat utkastet till granskningsrapport. Inga allvarliga motsättningar kunde konstateras.</w:t>
      </w:r>
    </w:p>
    <w:p>
      <w:pPr>
        <w:pStyle w:val="ManualHeading2"/>
        <w:rPr>
          <w:rFonts w:eastAsia="Arial Unicode MS"/>
          <w:noProof/>
          <w:u w:color="000000"/>
          <w:bdr w:val="nil"/>
        </w:rPr>
      </w:pPr>
      <w:r>
        <w:rPr>
          <w:noProof/>
          <w:u w:color="000000"/>
          <w:bdr w:val="nil"/>
        </w:rPr>
        <w:t>•</w:t>
      </w:r>
      <w:r>
        <w:rPr>
          <w:noProof/>
          <w:u w:color="000000"/>
          <w:bdr w:val="nil"/>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Kommissionen har gjort en rättslig analys genom utbyte av information med Ukraina samt en inspektionsresa i landet. Kommissionen har utarbetat en rapport med nödvändiga uppgifter som motiverar initiativet.</w:t>
      </w:r>
    </w:p>
    <w:p>
      <w:pPr>
        <w:pStyle w:val="ManualHeading2"/>
        <w:rPr>
          <w:rFonts w:eastAsia="Arial Unicode MS"/>
          <w:noProof/>
          <w:u w:color="000000"/>
          <w:bdr w:val="nil"/>
        </w:rPr>
      </w:pPr>
      <w:r>
        <w:rPr>
          <w:noProof/>
          <w:u w:color="000000"/>
          <w:bdr w:val="nil"/>
        </w:rPr>
        <w:t>•</w:t>
      </w:r>
      <w:r>
        <w:rPr>
          <w:noProof/>
          <w:u w:color="000000"/>
          <w:bdr w:val="nil"/>
        </w:rPr>
        <w:tab/>
        <w:t>Konsekvensbedömning</w:t>
      </w:r>
    </w:p>
    <w:p>
      <w:pPr>
        <w:pBdr>
          <w:top w:val="nil"/>
          <w:left w:val="nil"/>
          <w:bottom w:val="nil"/>
          <w:right w:val="nil"/>
          <w:between w:val="nil"/>
          <w:bar w:val="nil"/>
        </w:pBdr>
        <w:spacing w:before="0" w:after="240"/>
        <w:rPr>
          <w:rFonts w:eastAsia="Arial Unicode MS"/>
          <w:noProof/>
        </w:rPr>
      </w:pPr>
      <w:r>
        <w:rPr>
          <w:noProof/>
        </w:rPr>
        <w:t>Det här är en rent tekniskt beslut för att genomföra befintliga bestämmelser. En konsekvensbedömning är därför inte nödvändig.</w:t>
      </w:r>
    </w:p>
    <w:p>
      <w:pPr>
        <w:pStyle w:val="ManualHeading2"/>
        <w:rPr>
          <w:rFonts w:eastAsia="Arial Unicode MS"/>
          <w:noProof/>
          <w:u w:color="000000"/>
          <w:bdr w:val="nil"/>
        </w:rPr>
      </w:pPr>
      <w:r>
        <w:rPr>
          <w:noProof/>
          <w:u w:color="000000"/>
          <w:bdr w:val="nil"/>
        </w:rPr>
        <w:t>•</w:t>
      </w:r>
      <w:r>
        <w:rPr>
          <w:noProof/>
          <w:u w:color="000000"/>
          <w:bdr w:val="nil"/>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Förslaget är inte kopplat till Refit-programmet. Förslaget kommer att främja handeln mellan Ukraina och EU. Genom att investera i anläggningar för produktion av utsäde i Ukraina försöker EU-baserade företag att diversifiera sin produktion av utsäde över hela Europa för att minska riskerna med att producera i endast en klimatzon. Likvärdigheten skulle därför bidra till att det finns en ständig tillgång till utsäde av hög kvalitet inom EU. Dessutom söker europeiska utsädesföretag nya möjligheter, vilket erkännande av EU-likvärdighet skulle öppna för. Förslaget påverkar inte operatörernas efterlevnadskostnader. Den s.k. digitala kontrollen är inte tillämplig på förslaget.</w:t>
      </w:r>
    </w:p>
    <w:p>
      <w:pPr>
        <w:pStyle w:val="ManualHeading2"/>
        <w:rPr>
          <w:rFonts w:eastAsia="Arial Unicode MS"/>
          <w:noProof/>
          <w:u w:color="000000"/>
          <w:bdr w:val="nil"/>
        </w:rPr>
      </w:pPr>
      <w:r>
        <w:rPr>
          <w:noProof/>
          <w:u w:color="000000"/>
          <w:bdr w:val="nil"/>
        </w:rPr>
        <w:t>•</w:t>
      </w:r>
      <w:r>
        <w:rPr>
          <w:noProof/>
          <w:u w:color="000000"/>
          <w:bdr w:val="nil"/>
        </w:rPr>
        <w:tab/>
        <w:t>Grundläggande rättigheter</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Inga</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u w:color="000000"/>
          <w:bdr w:val="nil"/>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lastRenderedPageBreak/>
        <w:t>•</w:t>
      </w:r>
      <w:r>
        <w:rPr>
          <w:noProof/>
          <w:u w:color="000000"/>
          <w:bdr w:val="nil"/>
        </w:rPr>
        <w:tab/>
        <w:t>Förklarande dokument (för direktiv)</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u w:color="000000"/>
          <w:bdr w:val="nil"/>
        </w:rPr>
        <w:t>•</w:t>
      </w:r>
      <w:r>
        <w:rPr>
          <w:noProof/>
          <w:u w:color="000000"/>
          <w:bdr w:val="nil"/>
        </w:rPr>
        <w:tab/>
        <w:t>Ingående redogörelse för de specifika bestämmelserna i förslaget</w:t>
      </w:r>
    </w:p>
    <w:p>
      <w:pPr>
        <w:pBdr>
          <w:top w:val="nil"/>
          <w:left w:val="nil"/>
          <w:bottom w:val="nil"/>
          <w:right w:val="nil"/>
          <w:between w:val="nil"/>
          <w:bar w:val="nil"/>
        </w:pBdr>
        <w:spacing w:before="0" w:after="240"/>
      </w:pPr>
      <w:r>
        <w:rPr>
          <w:noProof/>
        </w:rPr>
        <w:t>Genom den enda materiella bestämmelsen i förslaget läggs Ukraina i förteckningen över länder vars fältbesiktningar av utsädesodlingar av arter av stråsäd och producerat utsäde har godkänts som likvärdiga.</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2020/0053 (COD)</w:t>
      </w:r>
    </w:p>
    <w:p>
      <w:pPr>
        <w:pStyle w:val="Statut"/>
        <w:rPr>
          <w:noProof/>
        </w:rPr>
      </w:pPr>
      <w:r>
        <w:rPr>
          <w:noProof/>
        </w:rPr>
        <w:t>Förslag till</w:t>
      </w:r>
    </w:p>
    <w:p>
      <w:pPr>
        <w:pStyle w:val="Typedudocument"/>
        <w:rPr>
          <w:noProof/>
        </w:rPr>
      </w:pPr>
      <w:r>
        <w:rPr>
          <w:noProof/>
        </w:rPr>
        <w:t>EUROPAPARLAMENTETS OCH RÅDETS BESLUT</w:t>
      </w:r>
    </w:p>
    <w:p>
      <w:pPr>
        <w:pStyle w:val="Titreobjet"/>
        <w:rPr>
          <w:noProof/>
        </w:rPr>
      </w:pPr>
      <w:r>
        <w:rPr>
          <w:noProof/>
        </w:rPr>
        <w:t>om ändring av rådets beslut 2003/17/EG vad gäller likvärdighet av fältbesiktningar i Ukraina av utsäde av stråsäd och om likvärdighet av stråsäd som produceras i Ukraina</w:t>
      </w:r>
    </w:p>
    <w:p>
      <w:pPr>
        <w:pStyle w:val="Institutionquiagit"/>
        <w:rPr>
          <w:noProof/>
        </w:rPr>
      </w:pPr>
      <w:r>
        <w:rPr>
          <w:noProof/>
        </w:rPr>
        <w:t>EUROPAPARLAMENTET OCH EUROPEISKA UNIONENS RÅD HAR ANTAGIT DETTA BESLUT</w:t>
      </w:r>
    </w:p>
    <w:p>
      <w:pPr>
        <w:rPr>
          <w:noProof/>
          <w:szCs w:val="24"/>
        </w:rPr>
      </w:pPr>
      <w:r>
        <w:rPr>
          <w:noProof/>
        </w:rPr>
        <w:t>med beaktande av fördraget om Europeiska unionens funktionssätt, särskilt artikel 43.2,</w:t>
      </w:r>
    </w:p>
    <w:p>
      <w:pPr>
        <w:rPr>
          <w:noProof/>
        </w:rPr>
      </w:pPr>
      <w:r>
        <w:rPr>
          <w:noProof/>
        </w:rPr>
        <w:t>med beaktande av Europeiska kommissionens förslag, och</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I rådets beslut 2003/17/EG</w:t>
      </w:r>
      <w:r>
        <w:rPr>
          <w:rStyle w:val="FootnoteReference"/>
          <w:noProof/>
        </w:rPr>
        <w:footnoteReference w:id="2"/>
      </w:r>
      <w:r>
        <w:rPr>
          <w:noProof/>
        </w:rPr>
        <w:t xml:space="preserve"> föreskrivs att fältbesiktningar av vissa utsädesodlingar i förtecknade tredjeländer på vissa villkor ska betraktas som likvärdiga med fältbesiktningar som utförs enligt unionslagstiftningen, och att utsäde av vissa arter av stråsäd som produceras i dessa länder på vissa villkor ska betraktas som likvärdigt med utsäde som produceras enligt unionslagstiftningen.</w:t>
      </w:r>
    </w:p>
    <w:p>
      <w:pPr>
        <w:pStyle w:val="ManualConsidrant"/>
        <w:rPr>
          <w:noProof/>
        </w:rPr>
      </w:pPr>
      <w:r>
        <w:t>(2)</w:t>
      </w:r>
      <w:r>
        <w:tab/>
      </w:r>
      <w:r>
        <w:rPr>
          <w:noProof/>
        </w:rPr>
        <w:t>Ukraina har lämnat in en begäran till kommissionen om att dess system för fältbesiktningar av utsäde av stråsäd samt utsäde av stråsäd som produceras och certifieras i Ukraina ska erkännas som likvärdiga.</w:t>
      </w:r>
    </w:p>
    <w:p>
      <w:pPr>
        <w:pStyle w:val="ManualConsidrant"/>
        <w:rPr>
          <w:noProof/>
        </w:rPr>
      </w:pPr>
      <w:r>
        <w:t>(3)</w:t>
      </w:r>
      <w:r>
        <w:tab/>
      </w:r>
      <w:r>
        <w:rPr>
          <w:noProof/>
        </w:rPr>
        <w:t xml:space="preserve">Kommissionen har granskat den relevanta ukrainska lagstiftningen och har, på grundval av en revision 2015 av systemet för offentlig kontroll och certifiering av utsäde av stråsäd i Ukraina och dess likvärdighet med unionens krav, offentliggjort sina resultat i en rapport med titeln </w:t>
      </w:r>
      <w:r>
        <w:rPr>
          <w:i/>
          <w:noProof/>
        </w:rPr>
        <w:t>Final report of an audit carried in Ukraine from 26 May 2015 to 04 June 2015 in order to evaluate the system of official controls and certification of cereal seed and their equivalence with European Union requirements</w:t>
      </w:r>
      <w:r>
        <w:rPr>
          <w:noProof/>
        </w:rPr>
        <w:t xml:space="preserve">. </w:t>
      </w:r>
    </w:p>
    <w:p>
      <w:pPr>
        <w:pStyle w:val="ManualConsidrant"/>
        <w:rPr>
          <w:noProof/>
        </w:rPr>
      </w:pPr>
      <w:r>
        <w:t>(4)</w:t>
      </w:r>
      <w:r>
        <w:tab/>
      </w:r>
      <w:r>
        <w:rPr>
          <w:noProof/>
        </w:rPr>
        <w:t>Efter denna granskning har det konstaterats att fältbesiktningar av utsädesodlingar, provtagning, tester och offentliga efterhandskontroller av utsäde av stråsäd genomförs på lämpligt sätt och uppfyller villkoren i bilaga II till beslut 2003/17/EG och tillämpliga krav i direktiv 66/402/EEG. Det har dessutom konstaterats att de nationella myndigheter som ansvarar för certifiering av utsäde i Ukraina är sakkunniga och fungerar på lämpligt sätt.</w:t>
      </w:r>
    </w:p>
    <w:p>
      <w:pPr>
        <w:pStyle w:val="ManualConsidrant"/>
        <w:rPr>
          <w:noProof/>
        </w:rPr>
      </w:pPr>
      <w:r>
        <w:lastRenderedPageBreak/>
        <w:t>(5)</w:t>
      </w:r>
      <w:r>
        <w:tab/>
      </w:r>
      <w:r>
        <w:rPr>
          <w:noProof/>
        </w:rPr>
        <w:t>Det är därför lämpligt att erkänna fältbesiktningar av utsäde av stråsäd i Ukraina och utsäde av stråsäd som produceras i Ukraina och officiellt certifieras av de ukrainska myndigheterna som likvärdiga.</w:t>
      </w:r>
    </w:p>
    <w:p>
      <w:pPr>
        <w:pStyle w:val="ManualConsidrant"/>
        <w:rPr>
          <w:noProof/>
        </w:rPr>
      </w:pPr>
      <w:r>
        <w:t>(6)</w:t>
      </w:r>
      <w:r>
        <w:tab/>
      </w:r>
      <w:r>
        <w:rPr>
          <w:noProof/>
        </w:rPr>
        <w:t>Beslut 2003/17/EG bör därför ändras i enlighet med detta.</w:t>
      </w:r>
    </w:p>
    <w:p>
      <w:pPr>
        <w:pStyle w:val="Formuledadoption"/>
        <w:rPr>
          <w:noProof/>
        </w:rPr>
      </w:pPr>
      <w:r>
        <w:rPr>
          <w:noProof/>
        </w:rPr>
        <w:t>HÄRIGENOM FÖRESKRIVS FÖLJANDE.</w:t>
      </w:r>
    </w:p>
    <w:p>
      <w:pPr>
        <w:pStyle w:val="Titrearticle"/>
        <w:rPr>
          <w:b/>
          <w:i w:val="0"/>
          <w:noProof/>
        </w:rPr>
      </w:pPr>
      <w:r>
        <w:rPr>
          <w:noProof/>
        </w:rPr>
        <w:t>Artikel 1</w:t>
      </w:r>
      <w:r>
        <w:rPr>
          <w:noProof/>
        </w:rPr>
        <w:br/>
      </w:r>
      <w:r>
        <w:rPr>
          <w:b/>
          <w:i w:val="0"/>
          <w:noProof/>
        </w:rPr>
        <w:t>Ändringar till beslut 2003/17/EG</w:t>
      </w:r>
    </w:p>
    <w:p>
      <w:pPr>
        <w:rPr>
          <w:noProof/>
        </w:rPr>
      </w:pPr>
      <w:r>
        <w:rPr>
          <w:noProof/>
        </w:rPr>
        <w:t>Bilaga I till beslut 2003/17/EG ska ändras på följande sätt:</w:t>
      </w:r>
    </w:p>
    <w:p>
      <w:pPr>
        <w:pStyle w:val="Point0"/>
        <w:spacing w:after="360"/>
        <w:ind w:left="851" w:hanging="851"/>
        <w:rPr>
          <w:noProof/>
        </w:rPr>
      </w:pPr>
      <w:r>
        <w:rPr>
          <w:noProof/>
        </w:rPr>
        <w:t>a)</w:t>
      </w:r>
      <w:r>
        <w:rPr>
          <w:noProof/>
        </w:rPr>
        <w:tab/>
        <w:t>I tabellen ska följande införas mellan TR och US:</w:t>
      </w:r>
    </w:p>
    <w:tbl>
      <w:tblPr>
        <w:tblW w:w="0" w:type="auto"/>
        <w:tblInd w:w="9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10"/>
        <w:gridCol w:w="2529"/>
        <w:gridCol w:w="1751"/>
      </w:tblGrid>
      <w:tr>
        <w:tc>
          <w:tcPr>
            <w:tcW w:w="3510" w:type="dxa"/>
            <w:shd w:val="clear" w:color="auto" w:fill="auto"/>
          </w:tcPr>
          <w:p>
            <w:pPr>
              <w:spacing w:before="40" w:after="40"/>
              <w:jc w:val="left"/>
              <w:rPr>
                <w:rFonts w:eastAsia="Calibri"/>
                <w:noProof/>
              </w:rPr>
            </w:pPr>
            <w:r>
              <w:rPr>
                <w:noProof/>
                <w:sz w:val="22"/>
              </w:rPr>
              <w:t>”UA</w:t>
            </w:r>
          </w:p>
        </w:tc>
        <w:tc>
          <w:tcPr>
            <w:tcW w:w="2529" w:type="dxa"/>
            <w:shd w:val="clear" w:color="auto" w:fill="auto"/>
          </w:tcPr>
          <w:p>
            <w:pPr>
              <w:spacing w:before="40" w:after="40"/>
              <w:jc w:val="left"/>
              <w:rPr>
                <w:rFonts w:eastAsia="Calibri"/>
                <w:noProof/>
              </w:rPr>
            </w:pPr>
            <w:r>
              <w:rPr>
                <w:noProof/>
                <w:sz w:val="22"/>
              </w:rPr>
              <w:t>Ministry of Agrarian Policy and Food of Ukraine</w:t>
            </w:r>
          </w:p>
          <w:p>
            <w:pPr>
              <w:spacing w:before="40" w:after="40"/>
              <w:jc w:val="left"/>
              <w:rPr>
                <w:rFonts w:eastAsia="Calibri"/>
                <w:noProof/>
              </w:rPr>
            </w:pPr>
            <w:r>
              <w:rPr>
                <w:noProof/>
                <w:sz w:val="22"/>
              </w:rPr>
              <w:t>Khreshchatyk str., 24, 01001, Kiev</w:t>
            </w:r>
          </w:p>
        </w:tc>
        <w:tc>
          <w:tcPr>
            <w:tcW w:w="1751" w:type="dxa"/>
          </w:tcPr>
          <w:p>
            <w:pPr>
              <w:spacing w:before="40" w:after="40"/>
              <w:jc w:val="center"/>
              <w:rPr>
                <w:rFonts w:eastAsia="Calibri"/>
                <w:noProof/>
              </w:rPr>
            </w:pPr>
            <w:r>
              <w:rPr>
                <w:noProof/>
                <w:sz w:val="22"/>
              </w:rPr>
              <w:t>66/402/EEC”</w:t>
            </w:r>
          </w:p>
        </w:tc>
      </w:tr>
    </w:tbl>
    <w:p>
      <w:pPr>
        <w:pStyle w:val="Point0"/>
        <w:rPr>
          <w:noProof/>
        </w:rPr>
      </w:pPr>
      <w:r>
        <w:rPr>
          <w:noProof/>
        </w:rPr>
        <w:t>b)</w:t>
      </w:r>
      <w:r>
        <w:rPr>
          <w:noProof/>
        </w:rPr>
        <w:tab/>
        <w:t xml:space="preserve">I fotnoten till tabellen ska följande term införas mellan ”TR – Turkiet” och ”US – Förenta staterna”: </w:t>
      </w:r>
    </w:p>
    <w:p>
      <w:pPr>
        <w:pStyle w:val="Text1"/>
        <w:rPr>
          <w:noProof/>
        </w:rPr>
      </w:pPr>
      <w:r>
        <w:rPr>
          <w:noProof/>
        </w:rPr>
        <w:t>”UA – Ukraina,”</w:t>
      </w:r>
    </w:p>
    <w:p>
      <w:pPr>
        <w:rPr>
          <w:noProof/>
        </w:rPr>
      </w:pPr>
    </w:p>
    <w:p>
      <w:pPr>
        <w:pStyle w:val="Titrearticle"/>
        <w:rPr>
          <w:noProof/>
          <w:szCs w:val="24"/>
        </w:rPr>
      </w:pPr>
      <w:r>
        <w:rPr>
          <w:noProof/>
        </w:rPr>
        <w:t>Artikel 2</w:t>
      </w:r>
      <w:r>
        <w:rPr>
          <w:noProof/>
        </w:rPr>
        <w:br/>
      </w:r>
      <w:r>
        <w:rPr>
          <w:b/>
          <w:i w:val="0"/>
          <w:noProof/>
        </w:rPr>
        <w:t>Ikraftträdande</w:t>
      </w:r>
    </w:p>
    <w:p>
      <w:pPr>
        <w:rPr>
          <w:noProof/>
        </w:rPr>
      </w:pPr>
      <w:r>
        <w:rPr>
          <w:noProof/>
        </w:rPr>
        <w:t xml:space="preserve">Detta beslut träder i kraft den tjugonde dagen efter det att det har offentliggjorts i </w:t>
      </w:r>
      <w:r>
        <w:rPr>
          <w:i/>
          <w:noProof/>
        </w:rPr>
        <w:t>Europeiska unionens officiella tidning</w:t>
      </w:r>
      <w:r>
        <w:rPr>
          <w:noProof/>
        </w:rPr>
        <w:t>.</w:t>
      </w:r>
    </w:p>
    <w:p>
      <w:pPr>
        <w:pStyle w:val="Titrearticle"/>
        <w:rPr>
          <w:noProof/>
        </w:rPr>
      </w:pPr>
      <w:r>
        <w:rPr>
          <w:noProof/>
        </w:rPr>
        <w:t>Artikel 3</w:t>
      </w:r>
      <w:r>
        <w:rPr>
          <w:noProof/>
        </w:rPr>
        <w:br/>
      </w:r>
      <w:r>
        <w:rPr>
          <w:b/>
          <w:i w:val="0"/>
          <w:noProof/>
        </w:rPr>
        <w:t>Adressater</w:t>
      </w:r>
    </w:p>
    <w:p>
      <w:pPr>
        <w:rPr>
          <w:noProof/>
        </w:rPr>
      </w:pPr>
      <w:r>
        <w:rPr>
          <w:noProof/>
        </w:rPr>
        <w:t>Detta beslut riktar sig till medlemsstaterna.</w:t>
      </w: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C , , s. .</w:t>
      </w:r>
    </w:p>
  </w:footnote>
  <w:footnote w:id="2">
    <w:p>
      <w:pPr>
        <w:pStyle w:val="FootnoteText"/>
      </w:pPr>
      <w:r>
        <w:rPr>
          <w:rStyle w:val="FootnoteReference"/>
        </w:rPr>
        <w:footnoteRef/>
      </w:r>
      <w:r>
        <w:tab/>
        <w:t>Rådets beslut 2003/17/EG av den 16 december 2002 om likvärdighet av fältbesiktningar av utsädesodlingar i tredje land och om likvärdighet av utsäde producerat i tredje land (EGT L 8, 14.1.2003, s.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C121F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084D1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6A3B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2C216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448A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FF6A0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BA07A2"/>
    <w:lvl w:ilvl="0">
      <w:start w:val="1"/>
      <w:numFmt w:val="decimal"/>
      <w:pStyle w:val="ListNumber"/>
      <w:lvlText w:val="%1."/>
      <w:lvlJc w:val="left"/>
      <w:pPr>
        <w:tabs>
          <w:tab w:val="num" w:pos="360"/>
        </w:tabs>
        <w:ind w:left="360" w:hanging="360"/>
      </w:pPr>
    </w:lvl>
  </w:abstractNum>
  <w:abstractNum w:abstractNumId="7">
    <w:nsid w:val="FFFFFF89"/>
    <w:multiLevelType w:val="singleLevel"/>
    <w:tmpl w:val="7A0C7E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3-30 14:12:5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80885C2-261B-4985-A286-99E0E542EE33"/>
    <w:docVar w:name="LW_COVERPAGE_TYPE" w:val="1"/>
    <w:docVar w:name="LW_CROSSREFERENCE" w:val="&lt;UNUSED&gt;"/>
    <w:docVar w:name="LW_DocType" w:val="COM"/>
    <w:docVar w:name="LW_EMISSION" w:val="7.4.2020"/>
    <w:docVar w:name="LW_EMISSION_ISODATE" w:val="2020-04-07"/>
    <w:docVar w:name="LW_EMISSION_LOCATION" w:val="BRX"/>
    <w:docVar w:name="LW_EMISSION_PREFIX" w:val="Bryssel den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53"/>
    <w:docVar w:name="LW_REF.II.NEW.CP_YEAR" w:val="2020"/>
    <w:docVar w:name="LW_REF.INST.NEW" w:val="COM"/>
    <w:docVar w:name="LW_REF.INST.NEW_ADOPTED" w:val="final"/>
    <w:docVar w:name="LW_REF.INST.NEW_TEXT" w:val="(2020) 1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ändring av rådets beslut 2003/17/EG vad gäller likvärdighet av fältbesiktningar i Ukraina av utsäde av stråsäd och om likvärdighet av stråsäd som produceras i Ukraina"/>
    <w:docVar w:name="LW_TYPE.DOC.CP" w:val="EUROPAPARLAMENTETS OCH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1119</Words>
  <Characters>7032</Characters>
  <Application>Microsoft Office Word</Application>
  <DocSecurity>0</DocSecurity>
  <Lines>149</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2020-03-12T09:01:00Z</dcterms:created>
  <dcterms:modified xsi:type="dcterms:W3CDTF">2020-03-30T12:12:00Z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