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33" w:rsidRDefault="00CA1B0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969D22A-1022-4590-AF83-A1E29634F131" style="width:450.6pt;height:320.4pt">
            <v:imagedata r:id="rId11" o:title=""/>
          </v:shape>
        </w:pict>
      </w:r>
    </w:p>
    <w:bookmarkEnd w:id="0"/>
    <w:p w:rsidR="001F2F33" w:rsidRDefault="001F2F33">
      <w:pPr>
        <w:rPr>
          <w:noProof/>
        </w:rPr>
        <w:sectPr w:rsidR="001F2F33">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1F2F33" w:rsidRDefault="00CA1B09">
      <w:pPr>
        <w:rPr>
          <w:b/>
          <w:noProof/>
          <w:szCs w:val="24"/>
        </w:rPr>
      </w:pPr>
      <w:r>
        <w:rPr>
          <w:b/>
          <w:noProof/>
        </w:rPr>
        <w:lastRenderedPageBreak/>
        <w:t>I</w:t>
      </w:r>
      <w:r>
        <w:rPr>
          <w:b/>
          <w:noProof/>
        </w:rPr>
        <w:tab/>
        <w:t xml:space="preserve">Johdanto </w:t>
      </w:r>
    </w:p>
    <w:p w:rsidR="001F2F33" w:rsidRDefault="00CA1B09">
      <w:pPr>
        <w:rPr>
          <w:noProof/>
          <w:szCs w:val="24"/>
        </w:rPr>
      </w:pPr>
      <w:r>
        <w:rPr>
          <w:noProof/>
        </w:rPr>
        <w:t xml:space="preserve">Euroopan unionin valtion- ja hallitusten päämiehet korostivat 10. maaliskuuta 2020, että EU:n on omaksuttava yhteinen lähestymistapa </w:t>
      </w:r>
      <w:r>
        <w:rPr>
          <w:noProof/>
        </w:rPr>
        <w:t>covid-19-tautiin ja koordinoitava toimia tiiviisti Euroopan komission kanssa.</w:t>
      </w:r>
    </w:p>
    <w:p w:rsidR="001F2F33" w:rsidRDefault="00CA1B09">
      <w:pPr>
        <w:rPr>
          <w:noProof/>
          <w:szCs w:val="24"/>
        </w:rPr>
      </w:pPr>
      <w:r>
        <w:rPr>
          <w:noProof/>
        </w:rPr>
        <w:t>Komissio antoi 16. maaliskuuta 2020 Euroopan parlamentille, Eurooppa-neuvostolle ja neuvostolle tiedonannon ”EU:hun suuntautuvaa muuta kuin välttämätöntä matkustamista koskeva vä</w:t>
      </w:r>
      <w:r>
        <w:rPr>
          <w:noProof/>
        </w:rPr>
        <w:t>liaikainen matkustusrajoitus”</w:t>
      </w:r>
      <w:r>
        <w:rPr>
          <w:rStyle w:val="FootnoteReference"/>
          <w:noProof/>
        </w:rPr>
        <w:footnoteReference w:id="1"/>
      </w:r>
      <w:r>
        <w:rPr>
          <w:noProof/>
        </w:rPr>
        <w:t>. Tiedonannossa komissio suositti, että Eurooppa-neuvosto pyrkii siihen, että Schengen-valtioiden valtion- tai hallitusten päämiehet hyväksyvät viipymättä yhdessä Schengenin säännöstöön osallistuvien valtioiden valtion- tai ha</w:t>
      </w:r>
      <w:r>
        <w:rPr>
          <w:noProof/>
        </w:rPr>
        <w:t>llitusten päämiesten kanssa kolmansista maista EU+ -alueelle</w:t>
      </w:r>
      <w:r>
        <w:rPr>
          <w:rStyle w:val="FootnoteReference"/>
          <w:noProof/>
        </w:rPr>
        <w:footnoteReference w:id="2"/>
      </w:r>
      <w:r>
        <w:rPr>
          <w:noProof/>
        </w:rPr>
        <w:t xml:space="preserve"> suuntautuvaa muuta kuin välttämätöntä matkustamista koskevan väliaikaisen matkustusrajoituksen.</w:t>
      </w:r>
    </w:p>
    <w:p w:rsidR="001F2F33" w:rsidRDefault="00CA1B09">
      <w:pPr>
        <w:rPr>
          <w:noProof/>
          <w:szCs w:val="24"/>
        </w:rPr>
      </w:pPr>
      <w:r>
        <w:rPr>
          <w:noProof/>
        </w:rPr>
        <w:t>Kyseiset valtiot sopivat 17. maaliskuuta 2020 koordinoiduista toimista ulkorajoilla komission suos</w:t>
      </w:r>
      <w:r>
        <w:rPr>
          <w:noProof/>
        </w:rPr>
        <w:t>ituksen pohjalta. Kaikki EU:n jäsenvaltiot (Irlantia lukuun ottamatta) ja Schengenin säännöstöön osallistuvat maat</w:t>
      </w:r>
      <w:r>
        <w:rPr>
          <w:rStyle w:val="FootnoteReference"/>
          <w:noProof/>
        </w:rPr>
        <w:footnoteReference w:id="3"/>
      </w:r>
      <w:r>
        <w:rPr>
          <w:noProof/>
        </w:rPr>
        <w:t xml:space="preserve"> ovat sittemmin tehneet kansallisia päätöksiä matkustusrajoitusten soveltamisesta.</w:t>
      </w:r>
    </w:p>
    <w:p w:rsidR="001F2F33" w:rsidRDefault="00CA1B09">
      <w:pPr>
        <w:rPr>
          <w:noProof/>
          <w:szCs w:val="24"/>
        </w:rPr>
      </w:pPr>
      <w:r>
        <w:rPr>
          <w:noProof/>
        </w:rPr>
        <w:t>Väliaikaista matkustusrajoitusta sovelletaan kaikkeen muuh</w:t>
      </w:r>
      <w:r>
        <w:rPr>
          <w:noProof/>
        </w:rPr>
        <w:t xml:space="preserve">un kuin välttämättömään matkustamiseen kolmansista maista EU+ -alueelle. Jotta kuitenkin varmistetaan EU:n kansalaisten ja Schengenin säännöstöön osallistuvien maiden kansalaisten, heidän perheenjäsentensä sekä EU:ssa laillisesti asuvien kolmansien maiden </w:t>
      </w:r>
      <w:r>
        <w:rPr>
          <w:noProof/>
        </w:rPr>
        <w:t>kansalaisten oikeudet, matkustusrajoituksia ei sovelleta näihin ryhmiin heidän palatessaan kotiinsa.  Jotta matkustusrajoitus vaikuttaisi yhteiskuntien toimintaan vain sen verran kuin on välttämätöntä, tiedonannossa todettiin, että jäsenvaltioiden ei pitäi</w:t>
      </w:r>
      <w:r>
        <w:rPr>
          <w:noProof/>
        </w:rPr>
        <w:t>si soveltaa rajoituksia tiettyihin matkustajaryhmiin, joilla on välttämätön tehtävä tai tarve.</w:t>
      </w:r>
    </w:p>
    <w:p w:rsidR="001F2F33" w:rsidRDefault="00CA1B09">
      <w:pPr>
        <w:rPr>
          <w:noProof/>
          <w:szCs w:val="24"/>
        </w:rPr>
      </w:pPr>
      <w:r>
        <w:rPr>
          <w:noProof/>
        </w:rPr>
        <w:t>Auttaakseen jäsenvaltioita matkustusrajoitusten täytäntöönpanossa komissio antoi 30. maaliskuuta 2020 ohjeet</w:t>
      </w:r>
      <w:r>
        <w:rPr>
          <w:rStyle w:val="FootnoteReference"/>
          <w:noProof/>
        </w:rPr>
        <w:footnoteReference w:id="4"/>
      </w:r>
      <w:r>
        <w:rPr>
          <w:noProof/>
        </w:rPr>
        <w:t xml:space="preserve"> siitä, miten tilapäiset matkustusrajoitukset pannaa</w:t>
      </w:r>
      <w:r>
        <w:rPr>
          <w:noProof/>
        </w:rPr>
        <w:t>n täytäntöön, miten helpotetaan kansalaisten kotiuttamista eri puolilta maailmaa ja miten suhtaudutaan matkustusrajoituksista johtuviin oleskeluajan ylityksiin. Ohjeet laadittiin yhdessä Euroopan raja- ja merivartioviraston (Frontex), Euroopan tautienehkäi</w:t>
      </w:r>
      <w:r>
        <w:rPr>
          <w:noProof/>
        </w:rPr>
        <w:t>sy- ja -valvontakeskuksen (ECDC) ja Europolin kanssa.</w:t>
      </w:r>
    </w:p>
    <w:p w:rsidR="001F2F33" w:rsidRDefault="00CA1B09">
      <w:pPr>
        <w:rPr>
          <w:noProof/>
          <w:szCs w:val="24"/>
        </w:rPr>
      </w:pPr>
      <w:r>
        <w:rPr>
          <w:noProof/>
        </w:rPr>
        <w:t xml:space="preserve">Komission 16. maaliskuuta 2020 antamassa tiedonannossa suositeltiin, että tilapäistä matkustusrajoitusta sovelletaan aluksi 30 päivän ajan, ja soveltamisajan mahdollista jatkamista arvioidaan tilanteen </w:t>
      </w:r>
      <w:r>
        <w:rPr>
          <w:noProof/>
        </w:rPr>
        <w:t>kehityksen perusteella.  Jäsenvaltiot antoivat päätöksensä eri päivinä, mutta useimmat rajoitukset olivat voimassa viimeistään 20. maaliskuuta 2020, mikä merkitsee sitä, että alkuperäinen 30 päivän soveltamisaika päättyy pian.</w:t>
      </w:r>
    </w:p>
    <w:p w:rsidR="001F2F33" w:rsidRDefault="00CA1B09">
      <w:pPr>
        <w:rPr>
          <w:noProof/>
          <w:szCs w:val="24"/>
        </w:rPr>
      </w:pPr>
      <w:r>
        <w:rPr>
          <w:noProof/>
        </w:rPr>
        <w:t xml:space="preserve">Tällä ulkorajatoimenpiteellä </w:t>
      </w:r>
      <w:r>
        <w:rPr>
          <w:noProof/>
        </w:rPr>
        <w:t>täydennettiin jäsenvaltioiden toteuttamia muita tärkeitä toimia covid-19-taudin leviämisen hidastamiseksi ja terveydenhuollon tarpeisiin vastaamiseksi, kuten erilaisia liikkumisrajoituksia, sosiaalisen kanssakäymisen rajoituksia ja sisärajoilla toteutettav</w:t>
      </w:r>
      <w:r>
        <w:rPr>
          <w:noProof/>
        </w:rPr>
        <w:t>ia toimenpiteitä.</w:t>
      </w:r>
    </w:p>
    <w:p w:rsidR="001F2F33" w:rsidRDefault="00CA1B09" w:rsidP="00CA1B09">
      <w:pPr>
        <w:rPr>
          <w:b/>
          <w:noProof/>
          <w:szCs w:val="24"/>
        </w:rPr>
      </w:pPr>
      <w:r>
        <w:rPr>
          <w:noProof/>
        </w:rPr>
        <w:t>Tässä tiedonannossa arvioidaan tilanteen kehitystä sen jälkeen kun tiedonanto annettiin 16. maaliskuuta, sekä toimenpiteen jatkamisen tarvetta ja perusteltavuutta.</w:t>
      </w:r>
      <w:bookmarkStart w:id="1" w:name="_GoBack"/>
      <w:bookmarkEnd w:id="1"/>
      <w:r>
        <w:rPr>
          <w:noProof/>
        </w:rPr>
        <w:br w:type="page"/>
      </w:r>
    </w:p>
    <w:p w:rsidR="001F2F33" w:rsidRDefault="00CA1B09">
      <w:pPr>
        <w:rPr>
          <w:b/>
          <w:noProof/>
          <w:szCs w:val="24"/>
        </w:rPr>
      </w:pPr>
      <w:r>
        <w:rPr>
          <w:b/>
          <w:noProof/>
        </w:rPr>
        <w:t>II</w:t>
      </w:r>
      <w:r>
        <w:rPr>
          <w:b/>
          <w:noProof/>
        </w:rPr>
        <w:tab/>
        <w:t>Tilanteen kehitys tiedonannon antamisen jälkeen</w:t>
      </w:r>
    </w:p>
    <w:p w:rsidR="001F2F33" w:rsidRDefault="00CA1B09">
      <w:pPr>
        <w:rPr>
          <w:noProof/>
          <w:szCs w:val="24"/>
        </w:rPr>
      </w:pPr>
      <w:r>
        <w:rPr>
          <w:noProof/>
        </w:rPr>
        <w:t xml:space="preserve">Ulkorajoja koskevien </w:t>
      </w:r>
      <w:r>
        <w:rPr>
          <w:noProof/>
        </w:rPr>
        <w:t>rajoitusten tavoitteena on vähentää riskiä, että tauti leviää EU:hun suuntautuvan matkustamisen vuoksi. Matkailu väheni maailmanlaajuisesti, EU:hun ja EU:sta muualle sekä EU:n sisällä maaliskuussa rajusti.</w:t>
      </w:r>
    </w:p>
    <w:p w:rsidR="001F2F33" w:rsidRDefault="00CA1B09">
      <w:pPr>
        <w:rPr>
          <w:noProof/>
          <w:szCs w:val="24"/>
        </w:rPr>
      </w:pPr>
      <w:r>
        <w:rPr>
          <w:noProof/>
        </w:rPr>
        <w:t>Eurocontrol</w:t>
      </w:r>
      <w:r>
        <w:rPr>
          <w:rStyle w:val="FootnoteReference"/>
          <w:noProof/>
        </w:rPr>
        <w:footnoteReference w:id="5"/>
      </w:r>
      <w:r>
        <w:rPr>
          <w:noProof/>
        </w:rPr>
        <w:t xml:space="preserve"> raportoi 31. maaliskuuta 2020 lentoje</w:t>
      </w:r>
      <w:r>
        <w:rPr>
          <w:noProof/>
        </w:rPr>
        <w:t>n määrän vähentyneen 86,1 prosenttia eli lentoja oli 25 948 vähemmän verrattuna tilanteeseen 31. maaliskuuta 2019.</w:t>
      </w:r>
      <w:r>
        <w:rPr>
          <w:rStyle w:val="FootnoteReference"/>
          <w:bCs/>
          <w:noProof/>
        </w:rPr>
        <w:footnoteReference w:id="6"/>
      </w:r>
      <w:r>
        <w:rPr>
          <w:noProof/>
        </w:rPr>
        <w:t xml:space="preserve">  Matkustajaliikenne on loppunut lähes kokonaan. Jäljellä on enää pääasiassa rahtilentoja ja kotiutuslentoja.</w:t>
      </w:r>
    </w:p>
    <w:p w:rsidR="001F2F33" w:rsidRDefault="00CA1B09">
      <w:pPr>
        <w:rPr>
          <w:noProof/>
          <w:szCs w:val="24"/>
        </w:rPr>
      </w:pPr>
      <w:r>
        <w:rPr>
          <w:noProof/>
          <w:lang w:val="fr-BE" w:eastAsia="fr-BE"/>
        </w:rPr>
        <w:drawing>
          <wp:inline distT="0" distB="0" distL="0" distR="0">
            <wp:extent cx="5759450" cy="2756003"/>
            <wp:effectExtent l="0" t="0" r="0" b="6350"/>
            <wp:docPr id="2" name="Picture 2" descr="cid:image001.png@01D60801.F463D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801.F463D0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59450" cy="2756003"/>
                    </a:xfrm>
                    <a:prstGeom prst="rect">
                      <a:avLst/>
                    </a:prstGeom>
                    <a:noFill/>
                    <a:ln>
                      <a:noFill/>
                    </a:ln>
                  </pic:spPr>
                </pic:pic>
              </a:graphicData>
            </a:graphic>
          </wp:inline>
        </w:drawing>
      </w:r>
    </w:p>
    <w:p w:rsidR="001F2F33" w:rsidRDefault="00CA1B09">
      <w:pPr>
        <w:rPr>
          <w:noProof/>
        </w:rPr>
      </w:pPr>
      <w:r>
        <w:rPr>
          <w:noProof/>
        </w:rPr>
        <w:t>Vastaava muutos matkustajalii</w:t>
      </w:r>
      <w:r>
        <w:rPr>
          <w:noProof/>
        </w:rPr>
        <w:t>kenteessä on tapahtunut muillakin liikenteen aloilla, kuten lautta-, linja-auto- ja junaliikenteessä. Esimerkiksi risteilyvarustamot ovat käytännössä lopettaneet uudet risteilymatkat maaliskuun alkupuolelta alkaen, joten vähennys on 100 prosenttia verrattu</w:t>
      </w:r>
      <w:r>
        <w:rPr>
          <w:noProof/>
        </w:rPr>
        <w:t xml:space="preserve">na vuoden takaiseen tilanteeseen, sillä risteilytoimintaa on nyt ainoastaan laivojen palaamiseksi satamiin. </w:t>
      </w:r>
    </w:p>
    <w:p w:rsidR="001F2F33" w:rsidRDefault="00CA1B09">
      <w:pPr>
        <w:rPr>
          <w:noProof/>
          <w:szCs w:val="24"/>
        </w:rPr>
      </w:pPr>
      <w:r>
        <w:rPr>
          <w:noProof/>
        </w:rPr>
        <w:t>Sen lisäksi, että matkustaminen ulkorajojen yli on tällä tavalla vähentynyt, kaikki EU:n jäsenvaltiot ja Schengenin säännöstöön osallistuvat maat o</w:t>
      </w:r>
      <w:r>
        <w:rPr>
          <w:noProof/>
        </w:rPr>
        <w:t>vat toteuttaneet omalla alueellaan toimenpiteitä viruksen leviämisen hillitsemiseksi, ja jotkin valtiot ovat jopa ottaneet käyttöön tarkastuksia sisärajoilla.  Liikkumisrajoitusten tiukkuus vaihtelee kunkin maan terveystilanteen mukaan, mutta toteutetuilla</w:t>
      </w:r>
      <w:r>
        <w:rPr>
          <w:noProof/>
        </w:rPr>
        <w:t xml:space="preserve"> toimilla pyritään yleisesti ottaen rajoittamaan viruksen leviämistä vähentämällä sosiaalinen kanssakäyminen minimiin. </w:t>
      </w:r>
    </w:p>
    <w:p w:rsidR="001F2F33" w:rsidRDefault="00CA1B09">
      <w:pPr>
        <w:rPr>
          <w:noProof/>
          <w:szCs w:val="24"/>
        </w:rPr>
      </w:pPr>
      <w:r>
        <w:rPr>
          <w:noProof/>
        </w:rPr>
        <w:t>Sisärajatarkastusten palauttamisella sekä teollisuuden ja palvelualan tavanomaiseen toimintaan vaikuttavilla, eri puolilla EU:ta toteute</w:t>
      </w:r>
      <w:r>
        <w:rPr>
          <w:noProof/>
        </w:rPr>
        <w:t>tuilla erilaisilla toimenpiteillä on ollut merkittävä vaikutus sisämarkkinoiden toimintaan. Tällaiset toimet vaikuttavat toimitusketjuun, jolloin elintärkeät tuotteet, kuten elintarvikkeet, lääkkeet ja suojavarusteet, eivät saavuta määränpäätään lainkaan t</w:t>
      </w:r>
      <w:r>
        <w:rPr>
          <w:noProof/>
        </w:rPr>
        <w:t>ai saapuvat huomattavasti myöhässä. Tämän ongelman ratkaisemiseksi ja kaikkien sisämarkkinoiden toimintaan kohdistuvien vaikutusten minimoimiseksi komissio on tehnyt jäsenvaltioiden kanssa väsymättä työtä kaikkien tarvittavien resurssien ottamiseksi käyttö</w:t>
      </w:r>
      <w:r>
        <w:rPr>
          <w:noProof/>
        </w:rPr>
        <w:t>ön ja EU-tason koordinoinnin varmistamiseksi. Se on myös antanut käytännön ohjeita, jotta voitaisiin varmistaa tällaisten elintärkeiden tuotteiden kuljetusten jatkuvuus EU:ssa vihreitä kaistoja pitkin</w:t>
      </w:r>
      <w:r>
        <w:rPr>
          <w:rStyle w:val="FootnoteReference"/>
          <w:noProof/>
        </w:rPr>
        <w:footnoteReference w:id="7"/>
      </w:r>
      <w:r>
        <w:rPr>
          <w:noProof/>
        </w:rPr>
        <w:t>, helpottaa lentorahtikuljetuksia</w:t>
      </w:r>
      <w:r>
        <w:rPr>
          <w:rStyle w:val="FootnoteReference"/>
          <w:noProof/>
        </w:rPr>
        <w:footnoteReference w:id="8"/>
      </w:r>
      <w:r>
        <w:rPr>
          <w:noProof/>
        </w:rPr>
        <w:t xml:space="preserve"> ja taata työntekijöi</w:t>
      </w:r>
      <w:r>
        <w:rPr>
          <w:noProof/>
        </w:rPr>
        <w:t>den vapaa liikkuvuus</w:t>
      </w:r>
      <w:r>
        <w:rPr>
          <w:rStyle w:val="FootnoteReference"/>
          <w:noProof/>
        </w:rPr>
        <w:footnoteReference w:id="9"/>
      </w:r>
      <w:r>
        <w:rPr>
          <w:noProof/>
        </w:rPr>
        <w:t>.</w:t>
      </w:r>
    </w:p>
    <w:p w:rsidR="001F2F33" w:rsidRDefault="001F2F33">
      <w:pPr>
        <w:rPr>
          <w:noProof/>
          <w:szCs w:val="24"/>
        </w:rPr>
      </w:pPr>
    </w:p>
    <w:p w:rsidR="001F2F33" w:rsidRDefault="00CA1B09">
      <w:pPr>
        <w:rPr>
          <w:b/>
          <w:noProof/>
          <w:szCs w:val="24"/>
        </w:rPr>
      </w:pPr>
      <w:r>
        <w:rPr>
          <w:b/>
          <w:noProof/>
        </w:rPr>
        <w:t>III</w:t>
      </w:r>
      <w:r>
        <w:rPr>
          <w:b/>
          <w:noProof/>
        </w:rPr>
        <w:tab/>
        <w:t xml:space="preserve">EU+ -alueelle suuntautuvaa matkustamista koskevan väliaikaisen rajoituksen jatkaminen  </w:t>
      </w:r>
    </w:p>
    <w:p w:rsidR="001F2F33" w:rsidRDefault="00CA1B09">
      <w:pPr>
        <w:rPr>
          <w:noProof/>
          <w:szCs w:val="24"/>
        </w:rPr>
      </w:pPr>
      <w:r>
        <w:rPr>
          <w:noProof/>
        </w:rPr>
        <w:t xml:space="preserve">Komission 16. maaliskuuta 2020 antaman suosituksen mukaan toimenpiteitä oli määrä soveltaa 30 päivää, mutta suositus sisälsi mahdollisuuden jatkaa soveltamisaikaa. </w:t>
      </w:r>
    </w:p>
    <w:p w:rsidR="001F2F33" w:rsidRDefault="00CA1B09">
      <w:pPr>
        <w:rPr>
          <w:b/>
          <w:noProof/>
          <w:szCs w:val="24"/>
        </w:rPr>
      </w:pPr>
      <w:r>
        <w:rPr>
          <w:noProof/>
        </w:rPr>
        <w:t>Jäsenvaltioiden ja muiden pandemiasta kärsivien maiden kokemus osoittaa, että pandemian lev</w:t>
      </w:r>
      <w:r>
        <w:rPr>
          <w:noProof/>
        </w:rPr>
        <w:t>iämistä ehkäiseviä toimia on sovellettava pitempään kuin 30 päivää, jotta ne olisivat tehokkaita ja tuottaisivat haluttuja tuloksia. Tilanne EU:ssa on nyt vahvistanut tämän. Epidemiologinen tilanne EU:ssa on heikentynyt maaliskuun 16. päivän jälkeen.  Nyky</w:t>
      </w:r>
      <w:r>
        <w:rPr>
          <w:noProof/>
        </w:rPr>
        <w:t>tilanne viittaa siihen, että ilmoitettujen uusien tauti- ja kuolemantapausten määrä kasvaa edelleen eri puolilla EU+ -aluetta. Euroopan tautienehkäisy- ja -valvontakeskus arvioi, että riski taudin leviämiseen yhteisöjen sisällä on kohtalainen, jos hillitse</w:t>
      </w:r>
      <w:r>
        <w:rPr>
          <w:noProof/>
        </w:rPr>
        <w:t>mistoimenpiteet ovat käytössä, ja erittäin korkea, jos hillitsemistoimenpiteet ovat riittämättömiä; sen sijaan terveys- ja sosiaalipalvelujen kapasiteetin ylittymisen riski lähiviikkoina arvioidaan korkeaksi, vaikka hillitsemistoimenpiteet olisivat käytöss</w:t>
      </w:r>
      <w:r>
        <w:rPr>
          <w:noProof/>
        </w:rPr>
        <w:t>ä.</w:t>
      </w:r>
      <w:r>
        <w:rPr>
          <w:rStyle w:val="FootnoteReference"/>
          <w:noProof/>
        </w:rPr>
        <w:footnoteReference w:id="10"/>
      </w:r>
      <w:r>
        <w:rPr>
          <w:noProof/>
        </w:rPr>
        <w:t xml:space="preserve">  </w:t>
      </w:r>
      <w:r>
        <w:rPr>
          <w:noProof/>
          <w:highlight w:val="lightGray"/>
        </w:rPr>
        <w:t xml:space="preserve"> </w:t>
      </w:r>
    </w:p>
    <w:p w:rsidR="001F2F33" w:rsidRDefault="00CA1B09">
      <w:pPr>
        <w:rPr>
          <w:noProof/>
          <w:szCs w:val="24"/>
        </w:rPr>
      </w:pPr>
      <w:r>
        <w:rPr>
          <w:noProof/>
        </w:rPr>
        <w:t>Pandemia on myös edelleen vahvistunut EU:n ulkopuolella, myös maissa, joista tehdään tavallisesti vuosittain miljoonia matkoja EU:hun ja päinvastoin. Tilanne monissa kolmansissa maissa muuttuu edelleen lähiviikkoina riippuen toteutetuista toimenpite</w:t>
      </w:r>
      <w:r>
        <w:rPr>
          <w:noProof/>
        </w:rPr>
        <w:t xml:space="preserve">istä ja maiden kyvystä hillitä viruksen leviämistä. </w:t>
      </w:r>
    </w:p>
    <w:p w:rsidR="001F2F33" w:rsidRDefault="00CA1B09">
      <w:pPr>
        <w:rPr>
          <w:noProof/>
        </w:rPr>
      </w:pPr>
      <w:r>
        <w:rPr>
          <w:noProof/>
        </w:rPr>
        <w:t>EU+ -alueen ulkorajoilla tarvitaan edelleen samanaikaisia ja koordinoituja toimia, jotta voidaan täydentää EU:n jäsenvaltioiden ja Schengen-maiden toimia, joilla pyritään rajoittamaan viruksen leviämistä</w:t>
      </w:r>
      <w:r>
        <w:rPr>
          <w:noProof/>
        </w:rPr>
        <w:t xml:space="preserve"> EU+ -alueella ja ehkäisemään sen leviämistä EU:n ja muiden maiden välillä.  Tällaiset toimet ovat olennainen osa EU:n yhteensovitettua ulospääsystrategiaa sitten, kun rajoittavia toimenpiteitä aletaan vähitellen poistaa EU+ - alueella.  </w:t>
      </w:r>
    </w:p>
    <w:p w:rsidR="001F2F33" w:rsidRDefault="00CA1B09">
      <w:pPr>
        <w:rPr>
          <w:noProof/>
        </w:rPr>
      </w:pPr>
      <w:r>
        <w:rPr>
          <w:noProof/>
        </w:rPr>
        <w:t>Toimet ulkorajoil</w:t>
      </w:r>
      <w:r>
        <w:rPr>
          <w:noProof/>
        </w:rPr>
        <w:t xml:space="preserve">la tehoavat ainoastaan, jos niistä päättävät ja niitä toteuttavat kaikki EU:n jäsenvaltiot ja Schengen-maat kaikilla ulkorajoilla yhtenevällä tavalla samaan päivämäärään saakka. </w:t>
      </w:r>
    </w:p>
    <w:p w:rsidR="001F2F33" w:rsidRDefault="00CA1B09">
      <w:pPr>
        <w:rPr>
          <w:noProof/>
          <w:szCs w:val="24"/>
        </w:rPr>
      </w:pPr>
      <w:r>
        <w:rPr>
          <w:noProof/>
        </w:rPr>
        <w:t xml:space="preserve">Tämän vuoksi komissio </w:t>
      </w:r>
      <w:r>
        <w:rPr>
          <w:b/>
          <w:noProof/>
        </w:rPr>
        <w:t>kehottaa Schengen-valtioita ja Schengenin säännöstöön o</w:t>
      </w:r>
      <w:r>
        <w:rPr>
          <w:b/>
          <w:noProof/>
        </w:rPr>
        <w:t>sallistuvia valtioita jatkamaan kolmansista maista EU+ -alueelle suuntautuvaa muuta kuin välttämätöntä matkustamista koskevan matkustusrajoituksen soveltamista koordinoidusti 30 päivällä 15. toukokuuta 2020 saakka.</w:t>
      </w:r>
      <w:r>
        <w:rPr>
          <w:noProof/>
        </w:rPr>
        <w:t xml:space="preserve"> Tämän ajanjakson pidentämistä edelleen ol</w:t>
      </w:r>
      <w:r>
        <w:rPr>
          <w:noProof/>
        </w:rPr>
        <w:t>isi arvioitava myöhemmin uudelleen epidemiologisen tilanteen kehityksen perusteella.</w:t>
      </w:r>
    </w:p>
    <w:p w:rsidR="001F2F33" w:rsidRDefault="00CA1B09">
      <w:pPr>
        <w:rPr>
          <w:noProof/>
          <w:szCs w:val="24"/>
        </w:rPr>
      </w:pPr>
      <w:r>
        <w:rPr>
          <w:noProof/>
        </w:rPr>
        <w:t>Tilapäisen matkustusrajoituksen soveltamisalan olisi säilyttävä jatkamisaikana samana kuin komission 16. maaliskuuta 2020 antamassa tiedonannossa esitettiin. Jäsenvaltioid</w:t>
      </w:r>
      <w:r>
        <w:rPr>
          <w:noProof/>
        </w:rPr>
        <w:t>en olisi tilapäistä matkustusrajoitusta soveltaessaan noudatettava komission 30. maaliskuuta 2020 antamia ohjeita. Lisäksi komissio muistuttaa 23. maaliskuuta 2020 antamansa vihreiden kaistojen täytäntöönpanoa koskevan tiedonantonsa kohdasta 15 ja kehottaa</w:t>
      </w:r>
      <w:r>
        <w:rPr>
          <w:noProof/>
        </w:rPr>
        <w:t xml:space="preserve"> kaikkia siinä mainittuja maita ja toimijoita jatkamaan yhteistyötä ja soveltamaan vihreitä kaistoja koskevia täytäntöönpano-ohjeita mahdollisimman pitkälti. </w:t>
      </w:r>
    </w:p>
    <w:p w:rsidR="001F2F33" w:rsidRDefault="00CA1B09">
      <w:pPr>
        <w:rPr>
          <w:noProof/>
          <w:szCs w:val="24"/>
        </w:rPr>
      </w:pPr>
      <w:r>
        <w:rPr>
          <w:noProof/>
        </w:rPr>
        <w:t>Muuta kuin välttämätöntä matkustamista koskevilla rajoituksilla EU:n ulkorajoilla sekä EU:n jäsen</w:t>
      </w:r>
      <w:r>
        <w:rPr>
          <w:noProof/>
        </w:rPr>
        <w:t>valtioiden ja Schengenin säännöstöön osallistuvien maiden alueilla toteutetuilla toimilla on yhteisenä tavoitteena rajoittaa sosiaalista kanssakäymistä, jotta voidaan hidastaa viruksen leviämistä ja vastata terveydenhuollon tarpeisiin. Näiden toimien mahdo</w:t>
      </w:r>
      <w:r>
        <w:rPr>
          <w:noProof/>
        </w:rPr>
        <w:t xml:space="preserve">llisimman sujuva purkaminen edellyttää EU:lta koordinoitua ja asteittaista lähestymistapaa. </w:t>
      </w:r>
    </w:p>
    <w:sectPr w:rsidR="001F2F33">
      <w:headerReference w:type="even" r:id="rId20"/>
      <w:headerReference w:type="default" r:id="rId21"/>
      <w:footerReference w:type="even" r:id="rId22"/>
      <w:footerReference w:type="default" r:id="rId23"/>
      <w:headerReference w:type="first" r:id="rId24"/>
      <w:footerReference w:type="first" r:id="rId25"/>
      <w:pgSz w:w="11906" w:h="16838" w:code="9"/>
      <w:pgMar w:top="851" w:right="1418" w:bottom="851"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F33" w:rsidRDefault="00CA1B09">
      <w:pPr>
        <w:spacing w:after="0"/>
      </w:pPr>
      <w:r>
        <w:separator/>
      </w:r>
    </w:p>
  </w:endnote>
  <w:endnote w:type="continuationSeparator" w:id="0">
    <w:p w:rsidR="001F2F33" w:rsidRDefault="00CA1B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1F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CA1B09">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1F2F3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CA1B09">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CA1B09">
    <w:pPr>
      <w:pStyle w:val="FooterLine"/>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4</w:t>
    </w:r>
    <w:r>
      <w:rPr>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1F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F33" w:rsidRDefault="00CA1B09">
      <w:pPr>
        <w:spacing w:after="0"/>
      </w:pPr>
      <w:r>
        <w:separator/>
      </w:r>
    </w:p>
  </w:footnote>
  <w:footnote w:type="continuationSeparator" w:id="0">
    <w:p w:rsidR="001F2F33" w:rsidRDefault="00CA1B09">
      <w:pPr>
        <w:spacing w:after="0"/>
      </w:pPr>
      <w:r>
        <w:continuationSeparator/>
      </w:r>
    </w:p>
  </w:footnote>
  <w:footnote w:id="1">
    <w:p w:rsidR="001F2F33" w:rsidRDefault="00CA1B09">
      <w:pPr>
        <w:pStyle w:val="FootnoteText"/>
        <w:spacing w:after="0"/>
      </w:pPr>
      <w:r>
        <w:rPr>
          <w:rStyle w:val="FootnoteReference"/>
        </w:rPr>
        <w:footnoteRef/>
      </w:r>
      <w:r>
        <w:t xml:space="preserve"> </w:t>
      </w:r>
      <w:r>
        <w:tab/>
        <w:t>COM(2020) 115, 16.3.2020.</w:t>
      </w:r>
    </w:p>
  </w:footnote>
  <w:footnote w:id="2">
    <w:p w:rsidR="001F2F33" w:rsidRDefault="00CA1B09">
      <w:pPr>
        <w:pStyle w:val="FootnoteText"/>
        <w:spacing w:after="0"/>
      </w:pPr>
      <w:r>
        <w:rPr>
          <w:rStyle w:val="FootnoteReference"/>
        </w:rPr>
        <w:footnoteRef/>
      </w:r>
      <w:r>
        <w:t xml:space="preserve"> </w:t>
      </w:r>
      <w:r>
        <w:tab/>
        <w:t>EU+ -alueeseen olisi katsottava kuuluviksi kaikki EU:n Schengen-valtiot</w:t>
      </w:r>
      <w:r>
        <w:t xml:space="preserve"> (myös Bulgaria, Kroatia, Kypros ja Romania) sekä muut Schengenin säännöstöön osallistuvat neljä maata. Siihen kuuluisivat myös Irlanti ja Yhdistynyt kuningaskunta, jos ne päättävät soveltaa rajoituksia. </w:t>
      </w:r>
    </w:p>
  </w:footnote>
  <w:footnote w:id="3">
    <w:p w:rsidR="001F2F33" w:rsidRDefault="00CA1B09">
      <w:pPr>
        <w:pStyle w:val="FootnoteText"/>
        <w:spacing w:after="0"/>
      </w:pPr>
      <w:r>
        <w:rPr>
          <w:rStyle w:val="FootnoteReference"/>
        </w:rPr>
        <w:footnoteRef/>
      </w:r>
      <w:r>
        <w:tab/>
        <w:t>Islanti, Liechtenstein, Norja ja Sveitsi.</w:t>
      </w:r>
    </w:p>
  </w:footnote>
  <w:footnote w:id="4">
    <w:p w:rsidR="001F2F33" w:rsidRDefault="00CA1B09">
      <w:pPr>
        <w:pStyle w:val="FootnoteText"/>
        <w:spacing w:after="0"/>
      </w:pPr>
      <w:r>
        <w:rPr>
          <w:rStyle w:val="FootnoteReference"/>
        </w:rPr>
        <w:footnoteRef/>
      </w:r>
      <w:r>
        <w:t xml:space="preserve"> </w:t>
      </w:r>
      <w:r>
        <w:tab/>
      </w:r>
      <w:r>
        <w:t>C(2020) 2050, 30.3.2020.</w:t>
      </w:r>
    </w:p>
  </w:footnote>
  <w:footnote w:id="5">
    <w:p w:rsidR="001F2F33" w:rsidRDefault="00CA1B09">
      <w:pPr>
        <w:pStyle w:val="FootnoteText"/>
        <w:spacing w:after="0"/>
      </w:pPr>
      <w:r>
        <w:rPr>
          <w:rStyle w:val="FootnoteReference"/>
        </w:rPr>
        <w:footnoteRef/>
      </w:r>
      <w:r>
        <w:t xml:space="preserve"> </w:t>
      </w:r>
      <w:r>
        <w:tab/>
        <w:t>Eurocontroliin kuuluu 41 valtiota.</w:t>
      </w:r>
    </w:p>
  </w:footnote>
  <w:footnote w:id="6">
    <w:p w:rsidR="001F2F33" w:rsidRDefault="00CA1B09">
      <w:pPr>
        <w:pStyle w:val="FootnoteText"/>
        <w:spacing w:after="0"/>
      </w:pPr>
      <w:r>
        <w:rPr>
          <w:rStyle w:val="FootnoteReference"/>
        </w:rPr>
        <w:footnoteRef/>
      </w:r>
      <w:r>
        <w:t xml:space="preserve"> </w:t>
      </w:r>
      <w:r>
        <w:tab/>
      </w:r>
      <w:hyperlink r:id="rId1" w:history="1">
        <w:r>
          <w:rPr>
            <w:rStyle w:val="Hyperlink"/>
          </w:rPr>
          <w:t>www.eurocontrol.int</w:t>
        </w:r>
      </w:hyperlink>
      <w:r>
        <w:t xml:space="preserve"> </w:t>
      </w:r>
    </w:p>
  </w:footnote>
  <w:footnote w:id="7">
    <w:p w:rsidR="001F2F33" w:rsidRDefault="00CA1B09">
      <w:pPr>
        <w:pStyle w:val="FootnoteText"/>
        <w:spacing w:after="0"/>
      </w:pPr>
      <w:r>
        <w:rPr>
          <w:rStyle w:val="FootnoteReference"/>
        </w:rPr>
        <w:footnoteRef/>
      </w:r>
      <w:r>
        <w:t xml:space="preserve"> </w:t>
      </w:r>
      <w:r>
        <w:tab/>
        <w:t>C(2020) 1897.</w:t>
      </w:r>
    </w:p>
  </w:footnote>
  <w:footnote w:id="8">
    <w:p w:rsidR="001F2F33" w:rsidRDefault="00CA1B09">
      <w:pPr>
        <w:pStyle w:val="FootnoteText"/>
        <w:spacing w:after="0"/>
      </w:pPr>
      <w:r>
        <w:rPr>
          <w:rStyle w:val="FootnoteReference"/>
        </w:rPr>
        <w:footnoteRef/>
      </w:r>
      <w:r>
        <w:t xml:space="preserve"> </w:t>
      </w:r>
      <w:r>
        <w:tab/>
        <w:t>C(2020) 2010.</w:t>
      </w:r>
    </w:p>
  </w:footnote>
  <w:footnote w:id="9">
    <w:p w:rsidR="001F2F33" w:rsidRDefault="00CA1B09">
      <w:pPr>
        <w:pStyle w:val="FootnoteText"/>
        <w:spacing w:after="0"/>
      </w:pPr>
      <w:r>
        <w:rPr>
          <w:rStyle w:val="FootnoteReference"/>
        </w:rPr>
        <w:footnoteRef/>
      </w:r>
      <w:r>
        <w:t xml:space="preserve"> </w:t>
      </w:r>
      <w:r>
        <w:tab/>
        <w:t>C(2020) 2051.</w:t>
      </w:r>
    </w:p>
  </w:footnote>
  <w:footnote w:id="10">
    <w:p w:rsidR="001F2F33" w:rsidRDefault="00CA1B09">
      <w:pPr>
        <w:pStyle w:val="FootnoteText"/>
      </w:pPr>
      <w:r>
        <w:rPr>
          <w:rStyle w:val="FootnoteReference"/>
        </w:rPr>
        <w:footnoteRef/>
      </w:r>
      <w:r>
        <w:tab/>
      </w:r>
      <w:r>
        <w:t>https://www.ecdc.europa.eu/en/publications-data/rapid-risk-assessment-coronavirus-disease-2019-covid-19-pandemic-eighth-update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1F2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1F2F3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1F2F3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1F2F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1F2F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33" w:rsidRDefault="001F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894"/>
    <w:multiLevelType w:val="hybridMultilevel"/>
    <w:tmpl w:val="1C6E1240"/>
    <w:lvl w:ilvl="0" w:tplc="D08415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951"/>
    <w:multiLevelType w:val="hybridMultilevel"/>
    <w:tmpl w:val="8604E9A6"/>
    <w:lvl w:ilvl="0" w:tplc="DFB6F242">
      <w:start w:val="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A2900F7"/>
    <w:multiLevelType w:val="multilevel"/>
    <w:tmpl w:val="E570A57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FD7661F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06077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DE78553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3A00664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2B78164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B074C7F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EF5072A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2B5CEB6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5912BEB"/>
    <w:multiLevelType w:val="hybridMultilevel"/>
    <w:tmpl w:val="307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24F1E"/>
    <w:multiLevelType w:val="multilevel"/>
    <w:tmpl w:val="8522D78C"/>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40EC247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60F2824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F37C879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0BCED9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D09A603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6977472E"/>
    <w:multiLevelType w:val="multilevel"/>
    <w:tmpl w:val="5BC867F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71EA5E7E"/>
    <w:multiLevelType w:val="hybridMultilevel"/>
    <w:tmpl w:val="370C1932"/>
    <w:lvl w:ilvl="0" w:tplc="D0167F0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7C65145E"/>
    <w:multiLevelType w:val="multilevel"/>
    <w:tmpl w:val="C234EF1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2" w15:restartNumberingAfterBreak="0">
    <w:nsid w:val="7ED4607A"/>
    <w:multiLevelType w:val="hybridMultilevel"/>
    <w:tmpl w:val="FD9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3"/>
  </w:num>
  <w:num w:numId="5">
    <w:abstractNumId w:val="17"/>
  </w:num>
  <w:num w:numId="6">
    <w:abstractNumId w:val="18"/>
  </w:num>
  <w:num w:numId="7">
    <w:abstractNumId w:val="3"/>
  </w:num>
  <w:num w:numId="8">
    <w:abstractNumId w:val="7"/>
  </w:num>
  <w:num w:numId="9">
    <w:abstractNumId w:val="15"/>
  </w:num>
  <w:num w:numId="10">
    <w:abstractNumId w:val="4"/>
  </w:num>
  <w:num w:numId="11">
    <w:abstractNumId w:val="5"/>
  </w:num>
  <w:num w:numId="12">
    <w:abstractNumId w:val="6"/>
  </w:num>
  <w:num w:numId="13">
    <w:abstractNumId w:val="9"/>
  </w:num>
  <w:num w:numId="14">
    <w:abstractNumId w:val="14"/>
  </w:num>
  <w:num w:numId="15">
    <w:abstractNumId w:val="16"/>
  </w:num>
  <w:num w:numId="16">
    <w:abstractNumId w:val="20"/>
  </w:num>
  <w:num w:numId="17">
    <w:abstractNumId w:val="10"/>
  </w:num>
  <w:num w:numId="18">
    <w:abstractNumId w:val="21"/>
  </w:num>
  <w:num w:numId="19">
    <w:abstractNumId w:val="19"/>
  </w:num>
  <w:num w:numId="20">
    <w:abstractNumId w:val="22"/>
  </w:num>
  <w:num w:numId="21">
    <w:abstractNumId w:val="0"/>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de-DE" w:vendorID="64" w:dllVersion="131078" w:nlCheck="1" w:checkStyle="0"/>
  <w:activeWritingStyle w:appName="MSWord" w:lang="fi-FI"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969D22A-1022-4590-AF83-A1E29634F131"/>
    <w:docVar w:name="LW_COVERPAGE_TYPE" w:val="1"/>
    <w:docVar w:name="LW_CROSSREFERENCE" w:val="&lt;UNUSED&gt;"/>
    <w:docVar w:name="LW_DocType" w:val="EUROLOOK"/>
    <w:docVar w:name="LW_EMISSION" w:val="8.4.2020"/>
    <w:docVar w:name="LW_EMISSION_ISODATE" w:val="2020-04-08"/>
    <w:docVar w:name="LW_EMISSION_LOCATION" w:val="BRX"/>
    <w:docVar w:name="LW_EMISSION_PREFIX" w:val="Bryssel "/>
    <w:docVar w:name="LW_EMISSION_SUFFIX" w:val=" "/>
    <w:docVar w:name="LW_ID_DOCTYPE_NONLW" w:val="CP-035"/>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hun suuntautuvaa muuta kuin olennaista matkustamista koskevan väliaikaisen rajoituksen soveltamisen arvioinnista"/>
    <w:docVar w:name="LW_TYPE.DOC.CP" w:val="KOMISSION TIEDONANTO EUROOPAN PARLAMENTILLE, EUROOPPA-NEUVOSTOLLE JA NEUVOSTOLLE"/>
  </w:docVars>
  <w:rsids>
    <w:rsidRoot w:val="001F2F33"/>
    <w:rsid w:val="001F2F33"/>
    <w:rsid w:val="00CA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F867C5-4EC0-4552-A748-BA08282C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i-FI"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locked/>
    <w:rPr>
      <w:sz w:val="16"/>
      <w:szCs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Hyperlink">
    <w:name w:val="Hyperlink"/>
    <w:basedOn w:val="DefaultParagraphFont"/>
    <w:unhideWhenUsed/>
    <w:lock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7414">
      <w:bodyDiv w:val="1"/>
      <w:marLeft w:val="0"/>
      <w:marRight w:val="0"/>
      <w:marTop w:val="0"/>
      <w:marBottom w:val="0"/>
      <w:divBdr>
        <w:top w:val="none" w:sz="0" w:space="0" w:color="auto"/>
        <w:left w:val="none" w:sz="0" w:space="0" w:color="auto"/>
        <w:bottom w:val="none" w:sz="0" w:space="0" w:color="auto"/>
        <w:right w:val="none" w:sz="0" w:space="0" w:color="auto"/>
      </w:divBdr>
    </w:div>
    <w:div w:id="595795021">
      <w:bodyDiv w:val="1"/>
      <w:marLeft w:val="0"/>
      <w:marRight w:val="0"/>
      <w:marTop w:val="0"/>
      <w:marBottom w:val="0"/>
      <w:divBdr>
        <w:top w:val="none" w:sz="0" w:space="0" w:color="auto"/>
        <w:left w:val="none" w:sz="0" w:space="0" w:color="auto"/>
        <w:bottom w:val="none" w:sz="0" w:space="0" w:color="auto"/>
        <w:right w:val="none" w:sz="0" w:space="0" w:color="auto"/>
      </w:divBdr>
    </w:div>
    <w:div w:id="1012537930">
      <w:bodyDiv w:val="1"/>
      <w:marLeft w:val="0"/>
      <w:marRight w:val="0"/>
      <w:marTop w:val="0"/>
      <w:marBottom w:val="0"/>
      <w:divBdr>
        <w:top w:val="none" w:sz="0" w:space="0" w:color="auto"/>
        <w:left w:val="none" w:sz="0" w:space="0" w:color="auto"/>
        <w:bottom w:val="none" w:sz="0" w:space="0" w:color="auto"/>
        <w:right w:val="none" w:sz="0" w:space="0" w:color="auto"/>
      </w:divBdr>
    </w:div>
    <w:div w:id="1169907912">
      <w:bodyDiv w:val="1"/>
      <w:marLeft w:val="0"/>
      <w:marRight w:val="0"/>
      <w:marTop w:val="0"/>
      <w:marBottom w:val="0"/>
      <w:divBdr>
        <w:top w:val="none" w:sz="0" w:space="0" w:color="auto"/>
        <w:left w:val="none" w:sz="0" w:space="0" w:color="auto"/>
        <w:bottom w:val="none" w:sz="0" w:space="0" w:color="auto"/>
        <w:right w:val="none" w:sz="0" w:space="0" w:color="auto"/>
      </w:divBdr>
    </w:div>
    <w:div w:id="1257178052">
      <w:bodyDiv w:val="1"/>
      <w:marLeft w:val="0"/>
      <w:marRight w:val="0"/>
      <w:marTop w:val="0"/>
      <w:marBottom w:val="0"/>
      <w:divBdr>
        <w:top w:val="none" w:sz="0" w:space="0" w:color="auto"/>
        <w:left w:val="none" w:sz="0" w:space="0" w:color="auto"/>
        <w:bottom w:val="none" w:sz="0" w:space="0" w:color="auto"/>
        <w:right w:val="none" w:sz="0" w:space="0" w:color="auto"/>
      </w:divBdr>
    </w:div>
    <w:div w:id="1636373554">
      <w:bodyDiv w:val="1"/>
      <w:marLeft w:val="0"/>
      <w:marRight w:val="0"/>
      <w:marTop w:val="0"/>
      <w:marBottom w:val="0"/>
      <w:divBdr>
        <w:top w:val="none" w:sz="0" w:space="0" w:color="auto"/>
        <w:left w:val="none" w:sz="0" w:space="0" w:color="auto"/>
        <w:bottom w:val="none" w:sz="0" w:space="0" w:color="auto"/>
        <w:right w:val="none" w:sz="0" w:space="0" w:color="auto"/>
      </w:divBdr>
    </w:div>
    <w:div w:id="1712921097">
      <w:bodyDiv w:val="1"/>
      <w:marLeft w:val="0"/>
      <w:marRight w:val="0"/>
      <w:marTop w:val="0"/>
      <w:marBottom w:val="0"/>
      <w:divBdr>
        <w:top w:val="none" w:sz="0" w:space="0" w:color="auto"/>
        <w:left w:val="none" w:sz="0" w:space="0" w:color="auto"/>
        <w:bottom w:val="none" w:sz="0" w:space="0" w:color="auto"/>
        <w:right w:val="none" w:sz="0" w:space="0" w:color="auto"/>
      </w:divBdr>
    </w:div>
    <w:div w:id="2139227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cid:image001.png@01D60807.66203B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control.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3.xml><?xml version="1.0" encoding="utf-8"?>
<EurolookProperties>
  <ProductCustomizationId>EC</ProductCustomizationId>
  <Created>
    <Version>10.0.40769.0</Version>
    <Date>2020-03-16T09:09:33</Date>
    <Language>EN</Language>
  </Created>
  <Edited>
    <Version>10.0.40769.0</Version>
    <Date>2020-04-08T13:03:27</Date>
  </Edited>
  <DocumentModel>
    <Id>6cbda13a-4db2-46c6-876a-ef72275827ef</Id>
    <Name>Report</Name>
  </DocumentModel>
  <DocumentDate>2020-03-16T09:09:33</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C83636B-498D-4E97-A39B-3D76E941A9A0}">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9C12126A-1278-4F29-9633-3F9CA0D1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1393</Words>
  <Characters>7667</Characters>
  <Application>Microsoft Office Word</Application>
  <DocSecurity>0</DocSecurity>
  <PresentationFormat>Microsoft Word 14.0</PresentationFormat>
  <Lines>63</Lines>
  <Paragraphs>18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18</cp:revision>
  <cp:lastPrinted>2020-03-16T16:29:00Z</cp:lastPrinted>
  <dcterms:created xsi:type="dcterms:W3CDTF">2020-04-08T09:52:00Z</dcterms:created>
  <dcterms:modified xsi:type="dcterms:W3CDTF">2020-04-08T11:03:00Z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_LW_INVALIDATED__LW_INVALIDATED__LW_INVALIDATED__LW_INVALIDATED_ELDocType">
    <vt:lpwstr>rep.dot</vt:lpwstr>
  </property>
</Properties>
</file>