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B74" w:rsidRDefault="00A02888">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F64DC0D-8D4E-4A3F-868B-7E73A759BB0A" style="width:450.6pt;height:333.6pt">
            <v:imagedata r:id="rId11" o:title=""/>
          </v:shape>
        </w:pict>
      </w:r>
    </w:p>
    <w:bookmarkEnd w:id="0"/>
    <w:p w:rsidR="009E5B74" w:rsidRDefault="009E5B74">
      <w:pPr>
        <w:rPr>
          <w:noProof/>
        </w:rPr>
        <w:sectPr w:rsidR="009E5B74">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rsidR="009E5B74" w:rsidRDefault="00A02888">
      <w:pPr>
        <w:rPr>
          <w:b/>
          <w:noProof/>
          <w:szCs w:val="24"/>
        </w:rPr>
      </w:pPr>
      <w:r>
        <w:rPr>
          <w:b/>
          <w:noProof/>
        </w:rPr>
        <w:lastRenderedPageBreak/>
        <w:t>I</w:t>
      </w:r>
      <w:r>
        <w:rPr>
          <w:b/>
          <w:noProof/>
        </w:rPr>
        <w:tab/>
        <w:t xml:space="preserve">Wprowadzenie </w:t>
      </w:r>
    </w:p>
    <w:p w:rsidR="009E5B74" w:rsidRDefault="00A02888">
      <w:pPr>
        <w:rPr>
          <w:noProof/>
          <w:szCs w:val="24"/>
        </w:rPr>
      </w:pPr>
      <w:r>
        <w:rPr>
          <w:noProof/>
        </w:rPr>
        <w:t xml:space="preserve">W dniu 10 marca 2020 r. szefowie państw i rządów Unii Europejskiej podkreślili potrzebę wspólnego europejskiego podejścia do </w:t>
      </w:r>
      <w:r>
        <w:rPr>
          <w:noProof/>
        </w:rPr>
        <w:t>pandemii COVID-19 i konieczność ścisłej koordynacji z Komisją Europejską.</w:t>
      </w:r>
    </w:p>
    <w:p w:rsidR="009E5B74" w:rsidRDefault="00A02888">
      <w:pPr>
        <w:rPr>
          <w:noProof/>
          <w:szCs w:val="24"/>
        </w:rPr>
      </w:pPr>
      <w:r>
        <w:rPr>
          <w:noProof/>
        </w:rPr>
        <w:t>W dniu 16 marca 2020 r. Komisja przyjęła komunikat do Parlamentu Europejskiego, Rady Europejskiej i Rady zatytułowany „Tymczasowe ograniczenie innych niż niezbędne podróży do UE”</w:t>
      </w:r>
      <w:r>
        <w:rPr>
          <w:rStyle w:val="FootnoteReference"/>
          <w:noProof/>
        </w:rPr>
        <w:footnoteReference w:id="1"/>
      </w:r>
      <w:r>
        <w:rPr>
          <w:noProof/>
        </w:rPr>
        <w:t>. W</w:t>
      </w:r>
      <w:r>
        <w:rPr>
          <w:noProof/>
        </w:rPr>
        <w:t> komunikacie tym Komisja zaleciła Radzie Europejskiej podjęcie działań w celu szybkiego przyjęcia przez szefów państw lub rządów państw członkowskich należących do strefy Schengen wraz z ich odpowiednikami w państwach stowarzyszonych w ramach Schengen tymc</w:t>
      </w:r>
      <w:r>
        <w:rPr>
          <w:noProof/>
        </w:rPr>
        <w:t>zasowego ograniczenia innych niż niezbędne podróży z państw trzecich na obszar UE+</w:t>
      </w:r>
      <w:r>
        <w:rPr>
          <w:rStyle w:val="FootnoteReference"/>
          <w:noProof/>
        </w:rPr>
        <w:footnoteReference w:id="2"/>
      </w:r>
      <w:r>
        <w:rPr>
          <w:noProof/>
        </w:rPr>
        <w:t>.</w:t>
      </w:r>
    </w:p>
    <w:p w:rsidR="009E5B74" w:rsidRDefault="00A02888">
      <w:pPr>
        <w:rPr>
          <w:noProof/>
          <w:szCs w:val="24"/>
        </w:rPr>
      </w:pPr>
      <w:r>
        <w:rPr>
          <w:noProof/>
        </w:rPr>
        <w:t>W dniu 17 marca 2020 r. państwa te uzgodniły, na podstawie zalecenia Komisji, prowadzenie skoordynowanych działań na granicach zewnętrznych. Od tego czasu wszystkie państw</w:t>
      </w:r>
      <w:r>
        <w:rPr>
          <w:noProof/>
        </w:rPr>
        <w:t>a członkowskie UE (z wyjątkiem Irlandii) i państwa stowarzyszone w ramach Schengen</w:t>
      </w:r>
      <w:r>
        <w:rPr>
          <w:rStyle w:val="FootnoteReference"/>
          <w:noProof/>
        </w:rPr>
        <w:footnoteReference w:id="3"/>
      </w:r>
      <w:r>
        <w:rPr>
          <w:noProof/>
        </w:rPr>
        <w:t xml:space="preserve"> podjęły krajowe decyzje o wprowadzeniu ograniczeń podróży.</w:t>
      </w:r>
    </w:p>
    <w:p w:rsidR="009E5B74" w:rsidRDefault="00A02888">
      <w:pPr>
        <w:rPr>
          <w:noProof/>
          <w:szCs w:val="24"/>
        </w:rPr>
      </w:pPr>
      <w:r>
        <w:rPr>
          <w:noProof/>
        </w:rPr>
        <w:t>Tymczasowe ograniczenie podróży ma zastosowanie do wszystkich podróży innych niż niezbędne, odbywających się z pa</w:t>
      </w:r>
      <w:r>
        <w:rPr>
          <w:noProof/>
        </w:rPr>
        <w:t xml:space="preserve">ństw trzecich na obszar UE+. Jednocześnie, aby zapewnić przestrzeganie praw obywateli UE, obywateli państw stowarzyszonych w ramach Schengen i członków ich rodzin oraz obywateli państw trzecich zamieszkujących legalnie w UE, grupy te zwolniono z obowiązku </w:t>
      </w:r>
      <w:r>
        <w:rPr>
          <w:noProof/>
        </w:rPr>
        <w:t>ograniczenia podróży w celu powrotu do ich miejsc zamieszkania. Aby obniżyć do niezbędnego minimum wpływ tego ograniczenia na funkcjonowanie naszych społeczeństw, stwierdzono, że państwa członkowskie nie powinny stosować ograniczeń w odniesieniu do określo</w:t>
      </w:r>
      <w:r>
        <w:rPr>
          <w:noProof/>
        </w:rPr>
        <w:t>nych kategorii osób podróżujących w niezbędnym celu lub w związku z koniecznością.</w:t>
      </w:r>
    </w:p>
    <w:p w:rsidR="009E5B74" w:rsidRDefault="00A02888">
      <w:pPr>
        <w:rPr>
          <w:noProof/>
          <w:szCs w:val="24"/>
        </w:rPr>
      </w:pPr>
      <w:r>
        <w:rPr>
          <w:noProof/>
        </w:rPr>
        <w:t xml:space="preserve">Aby pomóc państwom członkowskim we wdrażaniu ograniczeń podróży, w dniu 30 marca 2020 r. Komisja przyjęła wskazówki dotyczące wprowadzenia w życie tymczasowego ograniczenia </w:t>
      </w:r>
      <w:r>
        <w:rPr>
          <w:noProof/>
        </w:rPr>
        <w:t>podróży, uproszczenia repatriacji z całego świata oraz postępowania w przypadku osób, których wizy straciły ważność wskutek ograniczeń podróży</w:t>
      </w:r>
      <w:r>
        <w:rPr>
          <w:rStyle w:val="FootnoteReference"/>
          <w:noProof/>
        </w:rPr>
        <w:footnoteReference w:id="4"/>
      </w:r>
      <w:r>
        <w:rPr>
          <w:noProof/>
        </w:rPr>
        <w:t>. Wskazówki te zostały opracowane przy udziale Europejskiej Agencji Straży Granicznej i Przybrzeżnej (Frontex), E</w:t>
      </w:r>
      <w:r>
        <w:rPr>
          <w:noProof/>
        </w:rPr>
        <w:t>uropejskiego Centrum ds. Zapobiegania i Kontroli Chorób (ECDC) oraz Europolu.</w:t>
      </w:r>
    </w:p>
    <w:p w:rsidR="009E5B74" w:rsidRDefault="00A02888">
      <w:pPr>
        <w:rPr>
          <w:noProof/>
          <w:szCs w:val="24"/>
        </w:rPr>
      </w:pPr>
      <w:r>
        <w:rPr>
          <w:noProof/>
        </w:rPr>
        <w:t>W komunikacie Komisji z dnia 16 marca 2020 r. zalecono, aby tymczasowe ograniczenia podróży początkowo obowiązywały przez 30 dni, a ewentualne przedłużenie tego okresu należy oce</w:t>
      </w:r>
      <w:r>
        <w:rPr>
          <w:noProof/>
        </w:rPr>
        <w:t>nić na podstawie dalszego rozwoju sytuacji. Decyzje państw członkowskich zostały podjęte w różnych terminach, ale większość z nich została wydana do dnia 20 marca 2020 r., co oznacza, że początkowy 30-dniowy okres stosowania wkrótce dobiegnie końca.</w:t>
      </w:r>
    </w:p>
    <w:p w:rsidR="009E5B74" w:rsidRDefault="00A02888">
      <w:pPr>
        <w:rPr>
          <w:noProof/>
          <w:szCs w:val="24"/>
        </w:rPr>
      </w:pPr>
      <w:r>
        <w:rPr>
          <w:noProof/>
        </w:rPr>
        <w:t>Działa</w:t>
      </w:r>
      <w:r>
        <w:rPr>
          <w:noProof/>
        </w:rPr>
        <w:t>nia na granicach zewnętrznych stanowiły uzupełnienie innych ważnych kroków podejmowanych przez państwa członkowskie w celu ograniczenia rozprzestrzeniania się COVID-19 i zaspokojenia potrzeb w zakresie opieki zdrowotnej. Do kroków tych należą różne rodzaje</w:t>
      </w:r>
      <w:r>
        <w:rPr>
          <w:noProof/>
        </w:rPr>
        <w:t xml:space="preserve"> izolacji, ograniczenie interakcji społecznych oraz środki wprowadzane na granicach wewnętrznych.</w:t>
      </w:r>
    </w:p>
    <w:p w:rsidR="009E5B74" w:rsidRDefault="00A02888" w:rsidP="00A02888">
      <w:pPr>
        <w:rPr>
          <w:b/>
          <w:noProof/>
          <w:szCs w:val="24"/>
        </w:rPr>
      </w:pPr>
      <w:r>
        <w:rPr>
          <w:noProof/>
        </w:rPr>
        <w:lastRenderedPageBreak/>
        <w:t xml:space="preserve">W niniejszym komunikacie przedstawiono ocenę rozwoju sytuacji od przyjęcia komunikatu z dnia 16 marca br. oraz ocenę tego, czy przedłużenie ograniczenia jest </w:t>
      </w:r>
      <w:r>
        <w:rPr>
          <w:noProof/>
        </w:rPr>
        <w:t>konieczne i uzasadnione.</w:t>
      </w:r>
      <w:bookmarkStart w:id="1" w:name="_GoBack"/>
      <w:bookmarkEnd w:id="1"/>
    </w:p>
    <w:p w:rsidR="009E5B74" w:rsidRDefault="00A02888">
      <w:pPr>
        <w:rPr>
          <w:b/>
          <w:noProof/>
          <w:szCs w:val="24"/>
        </w:rPr>
      </w:pPr>
      <w:r>
        <w:rPr>
          <w:b/>
          <w:noProof/>
        </w:rPr>
        <w:t>II</w:t>
      </w:r>
      <w:r>
        <w:rPr>
          <w:b/>
          <w:noProof/>
        </w:rPr>
        <w:tab/>
        <w:t>Rozwój sytuacji od czasu przyjęcia komunikatu</w:t>
      </w:r>
    </w:p>
    <w:p w:rsidR="009E5B74" w:rsidRDefault="00A02888">
      <w:pPr>
        <w:rPr>
          <w:noProof/>
          <w:szCs w:val="24"/>
        </w:rPr>
      </w:pPr>
      <w:r>
        <w:rPr>
          <w:noProof/>
        </w:rPr>
        <w:t>Celem ograniczeń na granicach zewnętrznych jest zmniejszenie ryzyka rozprzestrzeniania się choroby poprzez podróże do UE. W marcu odnotowano radykalne ograniczenie podróży na całym</w:t>
      </w:r>
      <w:r>
        <w:rPr>
          <w:noProof/>
        </w:rPr>
        <w:t xml:space="preserve"> świecie, w tym do UE i z UE, jak również w obrębie UE.</w:t>
      </w:r>
    </w:p>
    <w:p w:rsidR="009E5B74" w:rsidRDefault="00A02888">
      <w:pPr>
        <w:rPr>
          <w:noProof/>
          <w:szCs w:val="24"/>
        </w:rPr>
      </w:pPr>
      <w:r>
        <w:rPr>
          <w:noProof/>
        </w:rPr>
        <w:t>W dniu 31 marca 2020 r. Eurocontrol</w:t>
      </w:r>
      <w:r>
        <w:rPr>
          <w:rStyle w:val="FootnoteReference"/>
          <w:noProof/>
        </w:rPr>
        <w:footnoteReference w:id="5"/>
      </w:r>
      <w:r>
        <w:rPr>
          <w:noProof/>
        </w:rPr>
        <w:t xml:space="preserve"> odnotował ogólny spadek liczby lotów o 86,1 %, co przekłada się na 25 948 mniej lotów (w porównaniu ze stanem na dzień 31 marca 2019 r.)</w:t>
      </w:r>
      <w:r>
        <w:rPr>
          <w:rStyle w:val="FootnoteReference"/>
          <w:bCs/>
          <w:noProof/>
        </w:rPr>
        <w:footnoteReference w:id="6"/>
      </w:r>
      <w:r>
        <w:rPr>
          <w:noProof/>
        </w:rPr>
        <w:t>. Ogólny ruch pasażerski z</w:t>
      </w:r>
      <w:r>
        <w:rPr>
          <w:noProof/>
        </w:rPr>
        <w:t>ostał ograniczony prawie do zera – realizowane obecnie loty to prawie wyłącznie loty towarowe i repatriacyjne.</w:t>
      </w:r>
    </w:p>
    <w:p w:rsidR="009E5B74" w:rsidRDefault="00A02888">
      <w:pPr>
        <w:rPr>
          <w:noProof/>
          <w:szCs w:val="24"/>
        </w:rPr>
      </w:pPr>
      <w:r>
        <w:rPr>
          <w:noProof/>
          <w:lang w:val="fr-BE" w:eastAsia="fr-BE"/>
        </w:rPr>
        <w:drawing>
          <wp:inline distT="0" distB="0" distL="0" distR="0">
            <wp:extent cx="5759450" cy="2756003"/>
            <wp:effectExtent l="0" t="0" r="0" b="6350"/>
            <wp:docPr id="2" name="Picture 2" descr="cid:image001.png@01D60801.F463D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0801.F463D0A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759450" cy="2756003"/>
                    </a:xfrm>
                    <a:prstGeom prst="rect">
                      <a:avLst/>
                    </a:prstGeom>
                    <a:noFill/>
                    <a:ln>
                      <a:noFill/>
                    </a:ln>
                  </pic:spPr>
                </pic:pic>
              </a:graphicData>
            </a:graphic>
          </wp:inline>
        </w:drawing>
      </w:r>
    </w:p>
    <w:p w:rsidR="009E5B74" w:rsidRDefault="00A02888">
      <w:pPr>
        <w:rPr>
          <w:noProof/>
        </w:rPr>
      </w:pPr>
      <w:r>
        <w:rPr>
          <w:noProof/>
        </w:rPr>
        <w:t>Podobną tendencję w zakresie ruchu pasażerskiego daje się zauważyć również w innych rodzajach transportu, takich jak transport promowy, autokar</w:t>
      </w:r>
      <w:r>
        <w:rPr>
          <w:noProof/>
        </w:rPr>
        <w:t>owy i kolejowy. Na przykład od początku marca praktycznie zaprzestano obsługi nowych rejsów wycieczkowych, a więc spadek liczby rejsów wynosi 100 % w porównaniu z rokiem ubiegłym, ponieważ z wyjątkiem powrotów do portu nie prowadzi się obecnie żadnej dział</w:t>
      </w:r>
      <w:r>
        <w:rPr>
          <w:noProof/>
        </w:rPr>
        <w:t xml:space="preserve">alności rejsowej. </w:t>
      </w:r>
    </w:p>
    <w:p w:rsidR="009E5B74" w:rsidRDefault="00A02888">
      <w:pPr>
        <w:rPr>
          <w:noProof/>
          <w:szCs w:val="24"/>
        </w:rPr>
      </w:pPr>
      <w:r>
        <w:rPr>
          <w:noProof/>
        </w:rPr>
        <w:t>Oprócz ograniczenia podróży na granicach zewnętrznych wszystkie państwa członkowskie UE i państwa stowarzyszone w ramach Schengen wprowadziły na swoich terytoriach środki mające na celu ograniczenie dalszego rozprzestrzeniania się wirusa</w:t>
      </w:r>
      <w:r>
        <w:rPr>
          <w:noProof/>
        </w:rPr>
        <w:t>, a niektóre z nich przywróciły nawet kontrole na granicach wewnętrznych. Środki ograniczające rozprzestrzenianie różnią się w zależności od sytuacji zdrowotnej w danym kraju, ale ogólnie rzecz biorąc wprowadzone środki mają na celu ograniczenie rozprzestr</w:t>
      </w:r>
      <w:r>
        <w:rPr>
          <w:noProof/>
        </w:rPr>
        <w:t>zeniania się wirusa poprzez zmniejszenie do minimum interakcji społecznych.</w:t>
      </w:r>
    </w:p>
    <w:p w:rsidR="009E5B74" w:rsidRDefault="00A02888">
      <w:pPr>
        <w:rPr>
          <w:noProof/>
          <w:szCs w:val="24"/>
        </w:rPr>
      </w:pPr>
      <w:r>
        <w:rPr>
          <w:noProof/>
        </w:rPr>
        <w:t>Przywrócenie kontroli na granicach wewnętrznych, w połączeniu z różnymi środkami w całej UE zaburzającymi normalną działalność przemysłu i usług, miało poważny wpływ na funkcjonowa</w:t>
      </w:r>
      <w:r>
        <w:rPr>
          <w:noProof/>
        </w:rPr>
        <w:t>nie rynku wewnętrznego. Takie środki mają wpływ na łańcuch dostaw i powodują, że istotne produkty, takie jak żywność, leki i sprzęt ochronny, nie docierają do miejsca przeznaczenia lub docierają ze znacznym opóźnieniem. Aby rozwiązać ten problem i ogranicz</w:t>
      </w:r>
      <w:r>
        <w:rPr>
          <w:noProof/>
        </w:rPr>
        <w:t>yć w jak największym stopniu jego wpływ na funkcjonowanie rynku wewnętrznego, Komisja nieustannie pracuje z państwami członkowskimi, mobilizuje wszelkie niezbędne zasoby i zapewnia koordynację na szczeblu UE. Komisja przedstawiła również praktyczne wytyczn</w:t>
      </w:r>
      <w:r>
        <w:rPr>
          <w:noProof/>
        </w:rPr>
        <w:t>e mające na celu zapewnienie nieprzerwanego przepływu takich kluczowych towarów w całej UE za pośrednictwem uprzywilejowanych korytarzy</w:t>
      </w:r>
      <w:r>
        <w:rPr>
          <w:rStyle w:val="FootnoteReference"/>
          <w:noProof/>
        </w:rPr>
        <w:footnoteReference w:id="7"/>
      </w:r>
      <w:r>
        <w:rPr>
          <w:noProof/>
        </w:rPr>
        <w:t>, ułatwienie operacji lotniczego transportu towarowego</w:t>
      </w:r>
      <w:r>
        <w:rPr>
          <w:rStyle w:val="FootnoteReference"/>
          <w:noProof/>
        </w:rPr>
        <w:footnoteReference w:id="8"/>
      </w:r>
      <w:r>
        <w:rPr>
          <w:noProof/>
        </w:rPr>
        <w:t xml:space="preserve"> oraz zagwarantowanie swobodnego przepływu pracowników</w:t>
      </w:r>
      <w:r>
        <w:rPr>
          <w:rStyle w:val="FootnoteReference"/>
          <w:noProof/>
        </w:rPr>
        <w:footnoteReference w:id="9"/>
      </w:r>
      <w:r>
        <w:rPr>
          <w:noProof/>
        </w:rPr>
        <w:t>.</w:t>
      </w:r>
    </w:p>
    <w:p w:rsidR="009E5B74" w:rsidRDefault="009E5B74">
      <w:pPr>
        <w:rPr>
          <w:noProof/>
          <w:szCs w:val="24"/>
        </w:rPr>
      </w:pPr>
    </w:p>
    <w:p w:rsidR="009E5B74" w:rsidRDefault="00A02888">
      <w:pPr>
        <w:rPr>
          <w:b/>
          <w:noProof/>
          <w:szCs w:val="24"/>
        </w:rPr>
      </w:pPr>
      <w:r>
        <w:rPr>
          <w:b/>
          <w:noProof/>
        </w:rPr>
        <w:t>III</w:t>
      </w:r>
      <w:r>
        <w:rPr>
          <w:b/>
          <w:noProof/>
        </w:rPr>
        <w:tab/>
      </w:r>
      <w:r>
        <w:rPr>
          <w:b/>
          <w:noProof/>
        </w:rPr>
        <w:t xml:space="preserve">Przedłużenie tymczasowego ograniczenia podróży na obszar UE+ </w:t>
      </w:r>
    </w:p>
    <w:p w:rsidR="009E5B74" w:rsidRDefault="00A02888">
      <w:pPr>
        <w:rPr>
          <w:noProof/>
          <w:szCs w:val="24"/>
        </w:rPr>
      </w:pPr>
      <w:r>
        <w:rPr>
          <w:noProof/>
        </w:rPr>
        <w:t xml:space="preserve">Zalecenie Komisji z dnia 16 marca 2020 r. dotyczyło stosowania środków przez 30 dni, z możliwością przedłużenia tego okresu. </w:t>
      </w:r>
    </w:p>
    <w:p w:rsidR="009E5B74" w:rsidRDefault="00A02888">
      <w:pPr>
        <w:rPr>
          <w:b/>
          <w:noProof/>
          <w:szCs w:val="24"/>
        </w:rPr>
      </w:pPr>
      <w:r>
        <w:rPr>
          <w:noProof/>
        </w:rPr>
        <w:t>Doświadczenia państw członkowskich i innych krajów dotkniętych pande</w:t>
      </w:r>
      <w:r>
        <w:rPr>
          <w:noProof/>
        </w:rPr>
        <w:t>mią pokazują, że środki stosowane w celu zwalczania rozprzestrzeniania się pandemii, aby były skuteczne i przyniosły oczekiwane rezultaty, muszą być stosowane przez okres dłuższy niż 30 dni. Znajduje to obecnie potwierdzenie w sytuacji w UE. Od dnia 16 mar</w:t>
      </w:r>
      <w:r>
        <w:rPr>
          <w:noProof/>
        </w:rPr>
        <w:t>ca br. sytuacja epidemiologiczna w UE pogorszyła się. Obecna sytuacja wskazuje na stały wzrost liczby nowych przypadków zakażenia i zgonów zgłoszonych na terenie UE+. Europejskie Centrum ds. Zapobiegania i Kontroli Chorób ocenia, że ryzyko zakażenia jest u</w:t>
      </w:r>
      <w:r>
        <w:rPr>
          <w:noProof/>
        </w:rPr>
        <w:t>miarkowane w przypadku stosowania środków ograniczających ryzyko oraz bardzo wysokie w przypadku stosowania niewystarczających środków ograniczających ryzyko. Ryzyko przeciążenia systemów opieki zdrowotnej i społecznej ocenia jako wysokie, nawet jeśli stos</w:t>
      </w:r>
      <w:r>
        <w:rPr>
          <w:noProof/>
        </w:rPr>
        <w:t>owane są środki ograniczające ryzyko</w:t>
      </w:r>
      <w:r>
        <w:rPr>
          <w:rStyle w:val="FootnoteReference"/>
          <w:noProof/>
        </w:rPr>
        <w:footnoteReference w:id="10"/>
      </w:r>
      <w:r>
        <w:rPr>
          <w:noProof/>
        </w:rPr>
        <w:t xml:space="preserve">. </w:t>
      </w:r>
    </w:p>
    <w:p w:rsidR="009E5B74" w:rsidRDefault="00A02888">
      <w:pPr>
        <w:rPr>
          <w:noProof/>
          <w:szCs w:val="24"/>
        </w:rPr>
      </w:pPr>
      <w:r>
        <w:rPr>
          <w:noProof/>
        </w:rPr>
        <w:t>Pandemia trwa również poza granicami UE, w tym w krajach o bardzo dużym ruchu podróżujących do i z UE. W najbliższych tygodniach sytuacja w wielu państwach trzecich będzie się zmieniać w zależności od wprowadzonych ś</w:t>
      </w:r>
      <w:r>
        <w:rPr>
          <w:noProof/>
        </w:rPr>
        <w:t>rodków i zdolności tych krajów do powstrzymania rozprzestrzeniania się wirusa.</w:t>
      </w:r>
    </w:p>
    <w:p w:rsidR="009E5B74" w:rsidRDefault="00A02888">
      <w:pPr>
        <w:rPr>
          <w:noProof/>
        </w:rPr>
      </w:pPr>
      <w:r>
        <w:rPr>
          <w:noProof/>
        </w:rPr>
        <w:t>Aby uzupełnić wysiłki państw członkowskich UE i państw strefy Schengen na rzecz ograniczenia dalszego rozprzestrzeniania się wirusa na terenie UE+, a także aby zapobiec dalszemu</w:t>
      </w:r>
      <w:r>
        <w:rPr>
          <w:noProof/>
        </w:rPr>
        <w:t xml:space="preserve"> rozprzestrzenianiu się wirusa między UE a innymi państwami, konieczne jest utrzymanie równoległych i skoordynowanych działań na zewnętrznych granicach UE+. Takie działania będą zasadniczym aspektem uzgodnionej unijnej strategii wyjścia i stopniowego znosz</w:t>
      </w:r>
      <w:r>
        <w:rPr>
          <w:noProof/>
        </w:rPr>
        <w:t xml:space="preserve">enia środków ograniczających rozprzestrzenianie na terenie UE+. </w:t>
      </w:r>
    </w:p>
    <w:p w:rsidR="009E5B74" w:rsidRDefault="00A02888">
      <w:pPr>
        <w:rPr>
          <w:noProof/>
        </w:rPr>
      </w:pPr>
      <w:r>
        <w:rPr>
          <w:noProof/>
        </w:rPr>
        <w:t>Działania na granicach zewnętrznych będą skuteczne tylko wówczas, gdy będą podejmowane i wdrażane przez wszystkie państwa członkowskie UE i państwa strefy Schengen na wszystkich granicach zew</w:t>
      </w:r>
      <w:r>
        <w:rPr>
          <w:noProof/>
        </w:rPr>
        <w:t>nętrznych w tych samych terminach i w jednolity sposób.</w:t>
      </w:r>
    </w:p>
    <w:p w:rsidR="009E5B74" w:rsidRDefault="00A02888">
      <w:pPr>
        <w:rPr>
          <w:noProof/>
          <w:szCs w:val="24"/>
        </w:rPr>
      </w:pPr>
      <w:r>
        <w:rPr>
          <w:noProof/>
        </w:rPr>
        <w:t>W związku z tym Komisja</w:t>
      </w:r>
      <w:r>
        <w:rPr>
          <w:b/>
          <w:noProof/>
        </w:rPr>
        <w:t xml:space="preserve"> zwraca się do państw członkowskich strefy Schengen i państw stowarzyszonych w ramach Schengen o skoordynowane przedłużenie stosowania ograniczenia podróży innych niż niezbędne </w:t>
      </w:r>
      <w:r>
        <w:rPr>
          <w:b/>
          <w:noProof/>
        </w:rPr>
        <w:t>z państw trzecich na obszar UE+ o kolejne 30 dni, do dnia 15 maja 2020 r.</w:t>
      </w:r>
      <w:r>
        <w:rPr>
          <w:noProof/>
        </w:rPr>
        <w:t xml:space="preserve"> Konieczność ewentualnego kolejnego przedłużenia tego okresu będzie trzeba ponownie ocenić na podstawie dalszego rozwoju sytuacji epidemiologicznej.</w:t>
      </w:r>
    </w:p>
    <w:p w:rsidR="009E5B74" w:rsidRDefault="00A02888">
      <w:pPr>
        <w:rPr>
          <w:noProof/>
          <w:szCs w:val="24"/>
        </w:rPr>
      </w:pPr>
      <w:r>
        <w:rPr>
          <w:noProof/>
        </w:rPr>
        <w:t>Zakres przedłużenia tymczasowego o</w:t>
      </w:r>
      <w:r>
        <w:rPr>
          <w:noProof/>
        </w:rPr>
        <w:t>graniczenia podróży powinien być taki sam, jak zakres określony w komunikacie Komisji z dnia 16 marca 2020 r. Przy stosowaniu tymczasowego ograniczenia podróży państwa członkowskie powinny przestrzegać wskazówek Komisji z dnia 30 marca 2020 r. Komisja przy</w:t>
      </w:r>
      <w:r>
        <w:rPr>
          <w:noProof/>
        </w:rPr>
        <w:t>pomina ponadto o pkt 15 komunikatu z dnia 23 marca 2020 r. w sprawie wdrożenia uprzywilejowanych korytarzy i wzywa wszystkie państwa i podmioty w nim wymienione do kontynuowania współpracy i stosowania w jak największym stopniu wytycznych dotyczących wdraż</w:t>
      </w:r>
      <w:r>
        <w:rPr>
          <w:noProof/>
        </w:rPr>
        <w:t xml:space="preserve">ania uprzywilejowanych korytarzy na granicach zewnętrznych. </w:t>
      </w:r>
    </w:p>
    <w:p w:rsidR="009E5B74" w:rsidRDefault="00A02888">
      <w:pPr>
        <w:rPr>
          <w:noProof/>
          <w:szCs w:val="24"/>
        </w:rPr>
      </w:pPr>
      <w:r>
        <w:rPr>
          <w:noProof/>
        </w:rPr>
        <w:t>Ograniczenia podróży innych niż niezbędne wprowadzone na granicach zewnętrznych UE oraz środki stosowane na terytorium państw członkowskich UE i państw stowarzyszonych w ramach Schengen mają wspó</w:t>
      </w:r>
      <w:r>
        <w:rPr>
          <w:noProof/>
        </w:rPr>
        <w:t>lny cel, jakim jest ograniczenie interakcji społecznych w celu spowolnienia rozprzestrzeniania się wirusa i zaspokojenia potrzeb w zakresie opieki zdrowotnej. Zniesienie tych środków w taki sposób, aby w jak największym stopniu zapewnić osiągnięcie tego ce</w:t>
      </w:r>
      <w:r>
        <w:rPr>
          <w:noProof/>
        </w:rPr>
        <w:t xml:space="preserve">lu, będzie musiało opierać się na skoordynowanym i stopniowym podejściu UE. </w:t>
      </w:r>
    </w:p>
    <w:sectPr w:rsidR="009E5B74">
      <w:headerReference w:type="even" r:id="rId20"/>
      <w:headerReference w:type="default" r:id="rId21"/>
      <w:footerReference w:type="even" r:id="rId22"/>
      <w:footerReference w:type="default" r:id="rId23"/>
      <w:headerReference w:type="first" r:id="rId24"/>
      <w:footerReference w:type="first" r:id="rId25"/>
      <w:pgSz w:w="11906" w:h="16838" w:code="9"/>
      <w:pgMar w:top="851" w:right="1418" w:bottom="851"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B74" w:rsidRDefault="00A02888">
      <w:pPr>
        <w:spacing w:after="0"/>
      </w:pPr>
      <w:r>
        <w:separator/>
      </w:r>
    </w:p>
  </w:endnote>
  <w:endnote w:type="continuationSeparator" w:id="0">
    <w:p w:rsidR="009E5B74" w:rsidRDefault="00A028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74" w:rsidRDefault="009E5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74" w:rsidRDefault="00A02888">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74" w:rsidRDefault="009E5B74">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74" w:rsidRDefault="00A02888">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74" w:rsidRDefault="00A02888">
    <w:pPr>
      <w:pStyle w:val="FooterLine"/>
      <w:jc w:val="center"/>
      <w:rPr>
        <w:sz w:val="24"/>
        <w:szCs w:val="24"/>
      </w:rPr>
    </w:pPr>
    <w:r>
      <w:rPr>
        <w:sz w:val="24"/>
        <w:szCs w:val="24"/>
      </w:rPr>
      <w:fldChar w:fldCharType="begin"/>
    </w:r>
    <w:r>
      <w:rPr>
        <w:sz w:val="24"/>
        <w:szCs w:val="24"/>
      </w:rPr>
      <w:instrText>PAGE   \* MERGEFORMAT</w:instrText>
    </w:r>
    <w:r>
      <w:rPr>
        <w:sz w:val="24"/>
        <w:szCs w:val="24"/>
      </w:rPr>
      <w:fldChar w:fldCharType="separate"/>
    </w:r>
    <w:r>
      <w:rPr>
        <w:noProof/>
        <w:sz w:val="24"/>
        <w:szCs w:val="24"/>
      </w:rPr>
      <w:t>3</w:t>
    </w:r>
    <w:r>
      <w:rPr>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74" w:rsidRDefault="009E5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B74" w:rsidRDefault="00A02888">
      <w:pPr>
        <w:spacing w:after="0"/>
      </w:pPr>
      <w:r>
        <w:separator/>
      </w:r>
    </w:p>
  </w:footnote>
  <w:footnote w:type="continuationSeparator" w:id="0">
    <w:p w:rsidR="009E5B74" w:rsidRDefault="00A02888">
      <w:pPr>
        <w:spacing w:after="0"/>
      </w:pPr>
      <w:r>
        <w:continuationSeparator/>
      </w:r>
    </w:p>
  </w:footnote>
  <w:footnote w:id="1">
    <w:p w:rsidR="009E5B74" w:rsidRDefault="00A02888">
      <w:pPr>
        <w:pStyle w:val="FootnoteText"/>
        <w:spacing w:after="0"/>
      </w:pPr>
      <w:r>
        <w:rPr>
          <w:rStyle w:val="FootnoteReference"/>
        </w:rPr>
        <w:footnoteRef/>
      </w:r>
      <w:r>
        <w:t xml:space="preserve"> </w:t>
      </w:r>
      <w:r>
        <w:tab/>
        <w:t>COM(2020) 115 z dnia 16 marca 2020 r.</w:t>
      </w:r>
    </w:p>
  </w:footnote>
  <w:footnote w:id="2">
    <w:p w:rsidR="009E5B74" w:rsidRDefault="00A02888">
      <w:pPr>
        <w:pStyle w:val="FootnoteText"/>
        <w:spacing w:after="0"/>
      </w:pPr>
      <w:r>
        <w:rPr>
          <w:rStyle w:val="FootnoteReference"/>
        </w:rPr>
        <w:footnoteRef/>
      </w:r>
      <w:r>
        <w:tab/>
        <w:t>Obszar „UE+” powinien obejmować wszystkie państwa członkowskie strefy Scheng</w:t>
      </w:r>
      <w:r>
        <w:t xml:space="preserve">en (w tym Bułgarię, Chorwację, Cypr i Rumunię), a także cztery państwa stowarzyszone w ramach Schengen. Może on obejmować również Irlandię i Zjednoczone Królestwo, jeżeli państwa te zdecydują się na dostosowanie. </w:t>
      </w:r>
    </w:p>
  </w:footnote>
  <w:footnote w:id="3">
    <w:p w:rsidR="009E5B74" w:rsidRDefault="00A02888">
      <w:pPr>
        <w:pStyle w:val="FootnoteText"/>
        <w:spacing w:after="0"/>
      </w:pPr>
      <w:r>
        <w:rPr>
          <w:rStyle w:val="FootnoteReference"/>
        </w:rPr>
        <w:footnoteRef/>
      </w:r>
      <w:r>
        <w:tab/>
        <w:t>Islandia, Liechtenstein, Norwegia, Szwaj</w:t>
      </w:r>
      <w:r>
        <w:t>caria.</w:t>
      </w:r>
    </w:p>
  </w:footnote>
  <w:footnote w:id="4">
    <w:p w:rsidR="009E5B74" w:rsidRDefault="00A02888">
      <w:pPr>
        <w:pStyle w:val="FootnoteText"/>
        <w:spacing w:after="0"/>
      </w:pPr>
      <w:r>
        <w:rPr>
          <w:rStyle w:val="FootnoteReference"/>
        </w:rPr>
        <w:footnoteRef/>
      </w:r>
      <w:r>
        <w:tab/>
        <w:t>C(2020) 2050 z dnia 30 marca 2020 r.</w:t>
      </w:r>
    </w:p>
  </w:footnote>
  <w:footnote w:id="5">
    <w:p w:rsidR="009E5B74" w:rsidRDefault="00A02888">
      <w:pPr>
        <w:pStyle w:val="FootnoteText"/>
        <w:spacing w:after="0"/>
      </w:pPr>
      <w:r>
        <w:rPr>
          <w:rStyle w:val="FootnoteReference"/>
        </w:rPr>
        <w:footnoteRef/>
      </w:r>
      <w:r>
        <w:tab/>
        <w:t>Do organizacji Eurocontrol należy 41 państw z całego świata.</w:t>
      </w:r>
    </w:p>
  </w:footnote>
  <w:footnote w:id="6">
    <w:p w:rsidR="009E5B74" w:rsidRDefault="00A02888">
      <w:pPr>
        <w:pStyle w:val="FootnoteText"/>
        <w:spacing w:after="0"/>
      </w:pPr>
      <w:r>
        <w:rPr>
          <w:rStyle w:val="FootnoteReference"/>
        </w:rPr>
        <w:footnoteRef/>
      </w:r>
      <w:r>
        <w:t xml:space="preserve"> </w:t>
      </w:r>
      <w:r>
        <w:tab/>
      </w:r>
      <w:hyperlink r:id="rId1" w:history="1">
        <w:r>
          <w:rPr>
            <w:rStyle w:val="Hyperlink"/>
          </w:rPr>
          <w:t>www.eurocontrol.int</w:t>
        </w:r>
      </w:hyperlink>
      <w:r>
        <w:t xml:space="preserve"> </w:t>
      </w:r>
    </w:p>
  </w:footnote>
  <w:footnote w:id="7">
    <w:p w:rsidR="009E5B74" w:rsidRDefault="00A02888">
      <w:pPr>
        <w:pStyle w:val="FootnoteText"/>
        <w:spacing w:after="0"/>
      </w:pPr>
      <w:r>
        <w:rPr>
          <w:rStyle w:val="FootnoteReference"/>
        </w:rPr>
        <w:footnoteRef/>
      </w:r>
      <w:r>
        <w:tab/>
        <w:t>C(2020) 1897.</w:t>
      </w:r>
    </w:p>
  </w:footnote>
  <w:footnote w:id="8">
    <w:p w:rsidR="009E5B74" w:rsidRDefault="00A02888">
      <w:pPr>
        <w:pStyle w:val="FootnoteText"/>
        <w:spacing w:after="0"/>
      </w:pPr>
      <w:r>
        <w:rPr>
          <w:rStyle w:val="FootnoteReference"/>
        </w:rPr>
        <w:footnoteRef/>
      </w:r>
      <w:r>
        <w:tab/>
        <w:t>C(2020) 2010.</w:t>
      </w:r>
    </w:p>
  </w:footnote>
  <w:footnote w:id="9">
    <w:p w:rsidR="009E5B74" w:rsidRDefault="00A02888">
      <w:pPr>
        <w:pStyle w:val="FootnoteText"/>
        <w:spacing w:after="0"/>
      </w:pPr>
      <w:r>
        <w:rPr>
          <w:rStyle w:val="FootnoteReference"/>
        </w:rPr>
        <w:footnoteRef/>
      </w:r>
      <w:r>
        <w:tab/>
        <w:t>C(2020) 2051.</w:t>
      </w:r>
    </w:p>
  </w:footnote>
  <w:footnote w:id="10">
    <w:p w:rsidR="009E5B74" w:rsidRDefault="00A02888">
      <w:pPr>
        <w:pStyle w:val="FootnoteText"/>
      </w:pPr>
      <w:r>
        <w:rPr>
          <w:rStyle w:val="FootnoteReference"/>
        </w:rPr>
        <w:footnoteRef/>
      </w:r>
      <w:r>
        <w:tab/>
      </w:r>
      <w:r>
        <w:t>https://www.ecdc.europa.eu/en/publications-data/rapid-risk-assessment-coronavirus-disease-2019-covid-19-pandemic-eighth-update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74" w:rsidRDefault="009E5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74" w:rsidRDefault="009E5B74">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74" w:rsidRDefault="009E5B74">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74" w:rsidRDefault="009E5B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74" w:rsidRDefault="009E5B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74" w:rsidRDefault="009E5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7894"/>
    <w:multiLevelType w:val="hybridMultilevel"/>
    <w:tmpl w:val="1C6E1240"/>
    <w:lvl w:ilvl="0" w:tplc="D08415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951"/>
    <w:multiLevelType w:val="hybridMultilevel"/>
    <w:tmpl w:val="8604E9A6"/>
    <w:lvl w:ilvl="0" w:tplc="DFB6F242">
      <w:start w:val="4"/>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0A2900F7"/>
    <w:multiLevelType w:val="multilevel"/>
    <w:tmpl w:val="E570A578"/>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EFB7115"/>
    <w:multiLevelType w:val="multilevel"/>
    <w:tmpl w:val="FD7661FA"/>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7201"/>
    <w:multiLevelType w:val="multilevel"/>
    <w:tmpl w:val="8B06077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DE785534"/>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3A00664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2B78164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C7B624F"/>
    <w:multiLevelType w:val="multilevel"/>
    <w:tmpl w:val="B074C7F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C8DFDF8"/>
    <w:multiLevelType w:val="multilevel"/>
    <w:tmpl w:val="EF5072A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E3"/>
    <w:multiLevelType w:val="multilevel"/>
    <w:tmpl w:val="2B5CEB6A"/>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5912BEB"/>
    <w:multiLevelType w:val="hybridMultilevel"/>
    <w:tmpl w:val="307E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24F1E"/>
    <w:multiLevelType w:val="multilevel"/>
    <w:tmpl w:val="8522D78C"/>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7CB1E1C"/>
    <w:multiLevelType w:val="multilevel"/>
    <w:tmpl w:val="40EC2474"/>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A7730C4"/>
    <w:multiLevelType w:val="multilevel"/>
    <w:tmpl w:val="60F2824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29E662A"/>
    <w:multiLevelType w:val="multilevel"/>
    <w:tmpl w:val="F37C879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982C"/>
    <w:multiLevelType w:val="multilevel"/>
    <w:tmpl w:val="90BCED9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072619B"/>
    <w:multiLevelType w:val="multilevel"/>
    <w:tmpl w:val="D09A603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6977472E"/>
    <w:multiLevelType w:val="multilevel"/>
    <w:tmpl w:val="5BC867F8"/>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71EA5E7E"/>
    <w:multiLevelType w:val="hybridMultilevel"/>
    <w:tmpl w:val="370C1932"/>
    <w:lvl w:ilvl="0" w:tplc="D0167F0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0" w15:restartNumberingAfterBreak="0">
    <w:nsid w:val="7C65145E"/>
    <w:multiLevelType w:val="multilevel"/>
    <w:tmpl w:val="C234EF1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1"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22" w15:restartNumberingAfterBreak="0">
    <w:nsid w:val="7ED4607A"/>
    <w:multiLevelType w:val="hybridMultilevel"/>
    <w:tmpl w:val="FD96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13"/>
  </w:num>
  <w:num w:numId="5">
    <w:abstractNumId w:val="17"/>
  </w:num>
  <w:num w:numId="6">
    <w:abstractNumId w:val="18"/>
  </w:num>
  <w:num w:numId="7">
    <w:abstractNumId w:val="3"/>
  </w:num>
  <w:num w:numId="8">
    <w:abstractNumId w:val="7"/>
  </w:num>
  <w:num w:numId="9">
    <w:abstractNumId w:val="15"/>
  </w:num>
  <w:num w:numId="10">
    <w:abstractNumId w:val="4"/>
  </w:num>
  <w:num w:numId="11">
    <w:abstractNumId w:val="5"/>
  </w:num>
  <w:num w:numId="12">
    <w:abstractNumId w:val="6"/>
  </w:num>
  <w:num w:numId="13">
    <w:abstractNumId w:val="9"/>
  </w:num>
  <w:num w:numId="14">
    <w:abstractNumId w:val="14"/>
  </w:num>
  <w:num w:numId="15">
    <w:abstractNumId w:val="16"/>
  </w:num>
  <w:num w:numId="16">
    <w:abstractNumId w:val="20"/>
  </w:num>
  <w:num w:numId="17">
    <w:abstractNumId w:val="10"/>
  </w:num>
  <w:num w:numId="18">
    <w:abstractNumId w:val="21"/>
  </w:num>
  <w:num w:numId="19">
    <w:abstractNumId w:val="19"/>
  </w:num>
  <w:num w:numId="20">
    <w:abstractNumId w:val="22"/>
  </w:num>
  <w:num w:numId="21">
    <w:abstractNumId w:val="0"/>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GB" w:vendorID="64" w:dllVersion="131078" w:nlCheck="1" w:checkStyle="0"/>
  <w:activeWritingStyle w:appName="MSWord" w:lang="en-US"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de-DE"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F64DC0D-8D4E-4A3F-868B-7E73A759BB0A"/>
    <w:docVar w:name="LW_COVERPAGE_TYPE" w:val="1"/>
    <w:docVar w:name="LW_CROSSREFERENCE" w:val="&lt;UNUSED&gt;"/>
    <w:docVar w:name="LW_DocType" w:val="EUROLOOK"/>
    <w:docVar w:name="LW_EMISSION" w:val="8.4.2020"/>
    <w:docVar w:name="LW_EMISSION_ISODATE" w:val="2020-04-08"/>
    <w:docVar w:name="LW_EMISSION_LOCATION" w:val="BRX"/>
    <w:docVar w:name="LW_EMISSION_PREFIX" w:val="Bruksela, dnia "/>
    <w:docVar w:name="LW_EMISSION_SUFFIX" w:val=" r."/>
    <w:docVar w:name="LW_ID_DOCTYPE_NONLW" w:val="CP-035"/>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1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w sprawie oceny stosowania tymczasowego ograniczenia dotycz\u261?cego innych ni\u380? niezb\u281?dne podró\u380?y do UE_x000d__x000b_"/>
    <w:docVar w:name="LW_TYPE.DOC.CP" w:val="KOMUNIKAT KOMISJI DO PARLAMENTU EUROPEJSKIEGO, RADY EUROPEJSKIEJ I RADY"/>
  </w:docVars>
  <w:rsids>
    <w:rsidRoot w:val="009E5B74"/>
    <w:rsid w:val="009E5B74"/>
    <w:rsid w:val="00A0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53759CB-7ABF-4C14-B3C8-52068C7D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pl-PL"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unhideWhenUsed="1"/>
    <w:lsdException w:name="footer"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styleId="FootnoteText">
    <w:name w:val="footnote text"/>
    <w:basedOn w:val="Normal"/>
    <w:link w:val="FootnoteTextChar"/>
    <w:uiPriority w:val="99"/>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character" w:customStyle="1" w:styleId="FootnoteTextChar">
    <w:name w:val="Footnote Text Char"/>
    <w:basedOn w:val="DefaultParagraphFont"/>
    <w:link w:val="FootnoteText"/>
    <w:uiPriority w:val="99"/>
    <w:semiHidden/>
    <w:rPr>
      <w:sz w:val="20"/>
    </w:rPr>
  </w:style>
  <w:style w:type="character" w:styleId="FootnoteReference">
    <w:name w:val="footnote reference"/>
    <w:basedOn w:val="DefaultParagraphFont"/>
    <w:uiPriority w:val="99"/>
    <w:semiHidden/>
    <w:unhideWhenUsed/>
    <w:locked/>
    <w:rPr>
      <w:vertAlign w:val="superscript"/>
    </w:rPr>
  </w:style>
  <w:style w:type="paragraph" w:styleId="ListParagraph">
    <w:name w:val="List Paragraph"/>
    <w:basedOn w:val="Normal"/>
    <w:uiPriority w:val="34"/>
    <w:qFormat/>
    <w:locked/>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CommentReference">
    <w:name w:val="annotation reference"/>
    <w:basedOn w:val="DefaultParagraphFont"/>
    <w:semiHidden/>
    <w:unhideWhenUsed/>
    <w:locked/>
    <w:rPr>
      <w:sz w:val="16"/>
      <w:szCs w:val="16"/>
    </w:rPr>
  </w:style>
  <w:style w:type="paragraph" w:styleId="CommentText">
    <w:name w:val="annotation text"/>
    <w:basedOn w:val="Normal"/>
    <w:link w:val="CommentTextChar"/>
    <w:semiHidden/>
    <w:unhideWhenUsed/>
    <w:locked/>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unhideWhenUsed/>
    <w:locked/>
    <w:rPr>
      <w:b/>
      <w:bCs/>
    </w:rPr>
  </w:style>
  <w:style w:type="character" w:customStyle="1" w:styleId="CommentSubjectChar">
    <w:name w:val="Comment Subject Char"/>
    <w:basedOn w:val="CommentTextChar"/>
    <w:link w:val="CommentSubject"/>
    <w:semiHidden/>
    <w:rPr>
      <w:b/>
      <w:bCs/>
      <w:sz w:val="20"/>
    </w:rPr>
  </w:style>
  <w:style w:type="character" w:styleId="Hyperlink">
    <w:name w:val="Hyperlink"/>
    <w:basedOn w:val="DefaultParagraphFont"/>
    <w:unhideWhenUsed/>
    <w:lock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17414">
      <w:bodyDiv w:val="1"/>
      <w:marLeft w:val="0"/>
      <w:marRight w:val="0"/>
      <w:marTop w:val="0"/>
      <w:marBottom w:val="0"/>
      <w:divBdr>
        <w:top w:val="none" w:sz="0" w:space="0" w:color="auto"/>
        <w:left w:val="none" w:sz="0" w:space="0" w:color="auto"/>
        <w:bottom w:val="none" w:sz="0" w:space="0" w:color="auto"/>
        <w:right w:val="none" w:sz="0" w:space="0" w:color="auto"/>
      </w:divBdr>
    </w:div>
    <w:div w:id="595795021">
      <w:bodyDiv w:val="1"/>
      <w:marLeft w:val="0"/>
      <w:marRight w:val="0"/>
      <w:marTop w:val="0"/>
      <w:marBottom w:val="0"/>
      <w:divBdr>
        <w:top w:val="none" w:sz="0" w:space="0" w:color="auto"/>
        <w:left w:val="none" w:sz="0" w:space="0" w:color="auto"/>
        <w:bottom w:val="none" w:sz="0" w:space="0" w:color="auto"/>
        <w:right w:val="none" w:sz="0" w:space="0" w:color="auto"/>
      </w:divBdr>
    </w:div>
    <w:div w:id="1012537930">
      <w:bodyDiv w:val="1"/>
      <w:marLeft w:val="0"/>
      <w:marRight w:val="0"/>
      <w:marTop w:val="0"/>
      <w:marBottom w:val="0"/>
      <w:divBdr>
        <w:top w:val="none" w:sz="0" w:space="0" w:color="auto"/>
        <w:left w:val="none" w:sz="0" w:space="0" w:color="auto"/>
        <w:bottom w:val="none" w:sz="0" w:space="0" w:color="auto"/>
        <w:right w:val="none" w:sz="0" w:space="0" w:color="auto"/>
      </w:divBdr>
    </w:div>
    <w:div w:id="1169907912">
      <w:bodyDiv w:val="1"/>
      <w:marLeft w:val="0"/>
      <w:marRight w:val="0"/>
      <w:marTop w:val="0"/>
      <w:marBottom w:val="0"/>
      <w:divBdr>
        <w:top w:val="none" w:sz="0" w:space="0" w:color="auto"/>
        <w:left w:val="none" w:sz="0" w:space="0" w:color="auto"/>
        <w:bottom w:val="none" w:sz="0" w:space="0" w:color="auto"/>
        <w:right w:val="none" w:sz="0" w:space="0" w:color="auto"/>
      </w:divBdr>
    </w:div>
    <w:div w:id="1257178052">
      <w:bodyDiv w:val="1"/>
      <w:marLeft w:val="0"/>
      <w:marRight w:val="0"/>
      <w:marTop w:val="0"/>
      <w:marBottom w:val="0"/>
      <w:divBdr>
        <w:top w:val="none" w:sz="0" w:space="0" w:color="auto"/>
        <w:left w:val="none" w:sz="0" w:space="0" w:color="auto"/>
        <w:bottom w:val="none" w:sz="0" w:space="0" w:color="auto"/>
        <w:right w:val="none" w:sz="0" w:space="0" w:color="auto"/>
      </w:divBdr>
    </w:div>
    <w:div w:id="1636373554">
      <w:bodyDiv w:val="1"/>
      <w:marLeft w:val="0"/>
      <w:marRight w:val="0"/>
      <w:marTop w:val="0"/>
      <w:marBottom w:val="0"/>
      <w:divBdr>
        <w:top w:val="none" w:sz="0" w:space="0" w:color="auto"/>
        <w:left w:val="none" w:sz="0" w:space="0" w:color="auto"/>
        <w:bottom w:val="none" w:sz="0" w:space="0" w:color="auto"/>
        <w:right w:val="none" w:sz="0" w:space="0" w:color="auto"/>
      </w:divBdr>
    </w:div>
    <w:div w:id="1712921097">
      <w:bodyDiv w:val="1"/>
      <w:marLeft w:val="0"/>
      <w:marRight w:val="0"/>
      <w:marTop w:val="0"/>
      <w:marBottom w:val="0"/>
      <w:divBdr>
        <w:top w:val="none" w:sz="0" w:space="0" w:color="auto"/>
        <w:left w:val="none" w:sz="0" w:space="0" w:color="auto"/>
        <w:bottom w:val="none" w:sz="0" w:space="0" w:color="auto"/>
        <w:right w:val="none" w:sz="0" w:space="0" w:color="auto"/>
      </w:divBdr>
    </w:div>
    <w:div w:id="2139227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cid:image001.png@01D60807.66203B7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rocontrol.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10.0.40769.0</Version>
    <Date>2020-03-16T09:09:33</Date>
    <Language>EN</Language>
  </Created>
  <Edited>
    <Version>10.0.40769.0</Version>
    <Date>2020-04-08T13:10:46</Date>
  </Edited>
  <DocumentModel>
    <Id>6cbda13a-4db2-46c6-876a-ef72275827ef</Id>
    <Name>Report</Name>
  </DocumentModel>
  <DocumentDate>2020-03-16T09:09:33</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2.xml><?xml version="1.0" encoding="utf-8"?>
<Author Role="Creator" AuthorRoleName="Writer" AuthorRoleId="a4fbaff4-b07c-48b4-a21e-e7b9eedf3796">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ADCode=""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226d3ed1-ce15-488c-9606-fb4a6a782851</Id>
    <LogicalLevel>2</LogicalLevel>
    <Name>SG.B</Name>
    <HeadLine1>Directorate B - Decision-making &amp; Collegiality</HeadLine1>
    <HeadLine2/>
    <PrimaryAddressId>f03b5801-04c9-4931-aa17-c6d6c70bc579</PrimaryAddressId>
    <SecondaryAddressId/>
    <WebAddress/>
    <InheritedWebAddress>WebAddress</InheritedWebAddress>
    <ShowInHeader>true</ShowInHeader>
  </OrgaEntity2>
  <OrgaEntity3>
    <Id>a9c119bf-67eb-460c-976f-01375d32d078</Id>
    <LogicalLevel>3</LogicalLevel>
    <Name>SG.B.4</Name>
    <HeadLine1>SG.B.4 - Working methods &amp; Decision-making Process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+32 229-84108</Phone>
    <Office>BERL 05/096</Office>
  </MainWorkplace>
  <Workplaces>
    <Workplace IsMain="false">
      <AddressId>1264fb81-f6bb-475e-9f9d-a937d3be6ee2</AddressId>
      <Fax/>
      <Phone/>
      <Office/>
    </Workplace>
    <Workplace IsMain="true">
      <AddressId>f03b5801-04c9-4931-aa17-c6d6c70bc579</AddressId>
      <Fax/>
      <Phone>+32 229-84108</Phone>
      <Office>BERL 05/096</Office>
    </Workplace>
  </Workplaces>
</Author>
</file>

<file path=customXml/item3.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3C83636B-498D-4E97-A39B-3D76E941A9A0}">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96E42544-D9EC-44BA-91DB-E29894EB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5</Pages>
  <Words>1451</Words>
  <Characters>7981</Characters>
  <Application>Microsoft Office Word</Application>
  <DocSecurity>0</DocSecurity>
  <PresentationFormat>Microsoft Word 14.0</PresentationFormat>
  <Lines>66</Lines>
  <Paragraphs>18</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LAGES CARVALHO Patrick (SG)</cp:lastModifiedBy>
  <cp:revision>23</cp:revision>
  <cp:lastPrinted>2020-03-16T16:29:00Z</cp:lastPrinted>
  <dcterms:created xsi:type="dcterms:W3CDTF">2020-04-08T09:25:00Z</dcterms:created>
  <dcterms:modified xsi:type="dcterms:W3CDTF">2020-04-08T11:10:00Z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CP-035</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_LW_INVALIDATED__LW_INVALIDATED__LW_INVALIDATED__LW_INVALIDATED__LW_INVALIDATED__LW_INVALIDATED__LW_INVALIDATED__LW_INVALIDATED_EurolookVersion">
    <vt:lpwstr>10.0</vt:lpwstr>
  </property>
  <property fmtid="{D5CDD505-2E9C-101B-9397-08002B2CF9AE}" pid="10" name="_LW_INVALIDATED__LW_INVALIDATED__LW_INVALIDATED__LW_INVALIDATED__LW_INVALIDATED__LW_INVALIDATED__LW_INVALIDATED__LW_INVALIDATED__LW_INVALIDATED__LW_INVALIDATED__LW_INVALIDATED__LW_INVALIDATED__LW_INVALIDATED__LW_INVALIDATED__LW_INVALIDATED_ELDocType">
    <vt:lpwstr>rep.dot</vt:lpwstr>
  </property>
</Properties>
</file>