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FE" w:rsidRDefault="003611B3" w:rsidP="003611B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ED02C74-A3D9-4647-9AFD-84536B9D1D2D" style="width:450.75pt;height:6in">
            <v:imagedata r:id="rId8" o:title=""/>
          </v:shape>
        </w:pict>
      </w:r>
    </w:p>
    <w:p w:rsidR="009D32FE" w:rsidRDefault="009D32FE">
      <w:pPr>
        <w:rPr>
          <w:noProof/>
        </w:rPr>
        <w:sectPr w:rsidR="009D32FE" w:rsidSect="003611B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9D32FE" w:rsidRDefault="003611B3">
      <w:pPr>
        <w:pStyle w:val="Exposdesmotifstitre"/>
        <w:rPr>
          <w:noProof/>
        </w:rPr>
      </w:pPr>
      <w:bookmarkStart w:id="0" w:name="_GoBack"/>
      <w:bookmarkEnd w:id="0"/>
      <w:r>
        <w:rPr>
          <w:noProof/>
        </w:rPr>
        <w:lastRenderedPageBreak/>
        <w:t>SELETUSKIRI</w:t>
      </w:r>
    </w:p>
    <w:p w:rsidR="009D32FE" w:rsidRDefault="003611B3">
      <w:pPr>
        <w:pBdr>
          <w:top w:val="nil"/>
          <w:left w:val="nil"/>
          <w:bottom w:val="nil"/>
          <w:right w:val="nil"/>
          <w:between w:val="nil"/>
          <w:bar w:val="nil"/>
        </w:pBdr>
        <w:spacing w:before="0" w:after="240"/>
        <w:rPr>
          <w:noProof/>
          <w:highlight w:val="yellow"/>
        </w:rPr>
      </w:pPr>
      <w:r>
        <w:rPr>
          <w:noProof/>
        </w:rPr>
        <w:t>Euroopa Parlament ja nõukogu otsustasid 27. novembril 2019 komisjoni ettepaneku kohaselt võtta paindlikkusinstrumendist rubriigi 3 „Julgeolek</w:t>
      </w:r>
      <w:r>
        <w:rPr>
          <w:noProof/>
        </w:rPr>
        <w:t xml:space="preserve"> ja kodakondsus“ jaoks kasutusele 778,1 miljonit eurot.</w:t>
      </w:r>
    </w:p>
    <w:p w:rsidR="009D32FE" w:rsidRDefault="003611B3">
      <w:pPr>
        <w:rPr>
          <w:noProof/>
        </w:rPr>
      </w:pPr>
      <w:r>
        <w:rPr>
          <w:noProof/>
        </w:rPr>
        <w:t>Komisjon esitab käesolevaga paranduseelarve projekti nr 1/2020,</w:t>
      </w:r>
      <w:r>
        <w:rPr>
          <w:rStyle w:val="FootnoteReference"/>
          <w:noProof/>
        </w:rPr>
        <w:footnoteReference w:id="1"/>
      </w:r>
      <w:r>
        <w:rPr>
          <w:noProof/>
        </w:rPr>
        <w:t xml:space="preserve"> millega muu hulgas suurendatakse rubriigi 3 kulukohustuste assigneeringuid kokku 423,3 miljoni euro võrra, et katta rändesurvest tingit</w:t>
      </w:r>
      <w:r>
        <w:rPr>
          <w:noProof/>
        </w:rPr>
        <w:t>ud Kreeka vajadused, rahastada COVID-19 puhangust tingitud kiireloomulisi meetmeid ja suurendada Euroopa Prokuratuuri eelarvet.</w:t>
      </w:r>
    </w:p>
    <w:p w:rsidR="009D32FE" w:rsidRDefault="003611B3">
      <w:pPr>
        <w:rPr>
          <w:noProof/>
        </w:rPr>
      </w:pPr>
      <w:r>
        <w:rPr>
          <w:noProof/>
        </w:rPr>
        <w:t>Vastavalt nõukogu 2. detsembri 2013. aasta määrus (EL, Euratom) nr 1311/2013 (millega määratakse kindlaks mitmeaastane finantsra</w:t>
      </w:r>
      <w:r>
        <w:rPr>
          <w:noProof/>
        </w:rPr>
        <w:t>amistik aastateks 2014–2020)</w:t>
      </w:r>
      <w:r>
        <w:rPr>
          <w:rStyle w:val="FootnoteReference"/>
          <w:noProof/>
        </w:rPr>
        <w:footnoteReference w:id="2"/>
      </w:r>
      <w:r>
        <w:rPr>
          <w:noProof/>
        </w:rPr>
        <w:t xml:space="preserve"> artiklile 14 on paranduseelarve projektis esitatud ettepanek kasutada rändega seotud assigneeringute suurendamiseks 2018. aastal kasutamata jäänud kulukohustuste koguvaru (350 miljonit eurot). Teine osa assigneeringute suurend</w:t>
      </w:r>
      <w:r>
        <w:rPr>
          <w:noProof/>
        </w:rPr>
        <w:t>amiseks vajalikke vahendeid, mis ei kuulu kulukohustuste koguvaru alla (73,3 miljonit eurot), saadakse paindlikkusinstrumendist.</w:t>
      </w:r>
    </w:p>
    <w:p w:rsidR="009D32FE" w:rsidRDefault="003611B3">
      <w:pPr>
        <w:rPr>
          <w:bCs/>
          <w:noProof/>
        </w:rPr>
      </w:pPr>
      <w:r>
        <w:rPr>
          <w:noProof/>
        </w:rPr>
        <w:t>Seepärast esitatakse käesolev ettepanek koos paranduseelarve projektiga nr 1/2020. Sellega suurendatakse paindlikkusinstrumendi</w:t>
      </w:r>
      <w:r>
        <w:rPr>
          <w:noProof/>
        </w:rPr>
        <w:t xml:space="preserve">st kasutusele võetavaid summasid ja laiendatakse nende kasutusala. </w:t>
      </w:r>
    </w:p>
    <w:p w:rsidR="009D32FE" w:rsidRDefault="003611B3">
      <w:pPr>
        <w:rPr>
          <w:bCs/>
          <w:noProof/>
        </w:rPr>
      </w:pPr>
      <w:r>
        <w:rPr>
          <w:noProof/>
        </w:rPr>
        <w:t>Kohanduse tulemusel võetakse paindlikkusinstrumendist rubriigi 3 jaoks kasutusele 851,4 miljonit eurot 778,1 miljonil euro asemel.</w:t>
      </w:r>
    </w:p>
    <w:p w:rsidR="009D32FE" w:rsidRDefault="003611B3">
      <w:pPr>
        <w:rPr>
          <w:noProof/>
        </w:rPr>
      </w:pPr>
      <w:r>
        <w:rPr>
          <w:noProof/>
        </w:rPr>
        <w:t>Käesoleva kavandatava kasutuselevõtmisotsusega muudetakse</w:t>
      </w:r>
      <w:r>
        <w:rPr>
          <w:noProof/>
        </w:rPr>
        <w:t xml:space="preserve"> 27. novembri 2019. aasta otsust (EL) 2020/265</w:t>
      </w:r>
      <w:r>
        <w:rPr>
          <w:rStyle w:val="FootnoteReference"/>
          <w:bCs/>
          <w:noProof/>
        </w:rPr>
        <w:footnoteReference w:id="3"/>
      </w:r>
      <w:r>
        <w:rPr>
          <w:noProof/>
        </w:rPr>
        <w:t>.</w:t>
      </w:r>
    </w:p>
    <w:p w:rsidR="009D32FE" w:rsidRDefault="003611B3">
      <w:pPr>
        <w:rPr>
          <w:noProof/>
        </w:rPr>
      </w:pPr>
      <w:r>
        <w:rPr>
          <w:noProof/>
        </w:rPr>
        <w:t>Paindlikkusinstrumendist kasutusele võetavate maksete assigneeringute ajakohastatud prognoos on esitatud järgmises tabelis.</w:t>
      </w:r>
    </w:p>
    <w:p w:rsidR="009D32FE" w:rsidRDefault="003611B3">
      <w:pPr>
        <w:ind w:left="5040" w:firstLine="720"/>
        <w:jc w:val="left"/>
        <w:rPr>
          <w:noProof/>
        </w:rPr>
      </w:pPr>
      <w:r>
        <w:rPr>
          <w:i/>
          <w:iCs/>
          <w:noProof/>
          <w:sz w:val="16"/>
          <w:szCs w:val="16"/>
        </w:rPr>
        <w:t>(jooksevhinnad, miljonites eurodes)</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rsidR="009D32FE">
        <w:trPr>
          <w:jc w:val="center"/>
        </w:trPr>
        <w:tc>
          <w:tcPr>
            <w:tcW w:w="1560" w:type="dxa"/>
            <w:shd w:val="clear" w:color="auto" w:fill="D9D9D9"/>
          </w:tcPr>
          <w:p w:rsidR="009D32FE" w:rsidRDefault="003611B3">
            <w:pPr>
              <w:spacing w:before="30" w:after="30"/>
              <w:jc w:val="center"/>
              <w:rPr>
                <w:b/>
                <w:noProof/>
                <w:sz w:val="16"/>
                <w:szCs w:val="16"/>
              </w:rPr>
            </w:pPr>
            <w:r>
              <w:rPr>
                <w:b/>
                <w:noProof/>
                <w:sz w:val="16"/>
                <w:szCs w:val="16"/>
              </w:rPr>
              <w:t>Aasta</w:t>
            </w:r>
          </w:p>
        </w:tc>
        <w:tc>
          <w:tcPr>
            <w:tcW w:w="5604" w:type="dxa"/>
            <w:shd w:val="clear" w:color="auto" w:fill="D9D9D9"/>
          </w:tcPr>
          <w:p w:rsidR="009D32FE" w:rsidRDefault="003611B3">
            <w:pPr>
              <w:spacing w:before="30" w:after="30"/>
              <w:jc w:val="center"/>
              <w:rPr>
                <w:b/>
                <w:noProof/>
                <w:sz w:val="16"/>
                <w:szCs w:val="16"/>
              </w:rPr>
            </w:pPr>
            <w:r>
              <w:rPr>
                <w:b/>
                <w:noProof/>
                <w:sz w:val="16"/>
                <w:szCs w:val="16"/>
              </w:rPr>
              <w:t xml:space="preserve">2020. aastal paindlikkusinstrumendist </w:t>
            </w:r>
            <w:r>
              <w:rPr>
                <w:b/>
                <w:noProof/>
                <w:sz w:val="16"/>
                <w:szCs w:val="16"/>
              </w:rPr>
              <w:t>kasutusele võetavad maksete assigneeringud</w:t>
            </w:r>
          </w:p>
        </w:tc>
      </w:tr>
      <w:tr w:rsidR="009D32FE">
        <w:trPr>
          <w:jc w:val="center"/>
        </w:trPr>
        <w:tc>
          <w:tcPr>
            <w:tcW w:w="1560" w:type="dxa"/>
            <w:shd w:val="clear" w:color="auto" w:fill="auto"/>
          </w:tcPr>
          <w:p w:rsidR="009D32FE" w:rsidRDefault="003611B3">
            <w:pPr>
              <w:spacing w:before="30" w:after="30"/>
              <w:jc w:val="center"/>
              <w:rPr>
                <w:noProof/>
                <w:sz w:val="16"/>
                <w:szCs w:val="16"/>
              </w:rPr>
            </w:pPr>
            <w:r>
              <w:rPr>
                <w:noProof/>
                <w:sz w:val="16"/>
                <w:szCs w:val="16"/>
              </w:rPr>
              <w:t>2020</w:t>
            </w:r>
          </w:p>
        </w:tc>
        <w:tc>
          <w:tcPr>
            <w:tcW w:w="5604" w:type="dxa"/>
            <w:shd w:val="clear" w:color="auto" w:fill="auto"/>
          </w:tcPr>
          <w:p w:rsidR="009D32FE" w:rsidRDefault="003611B3">
            <w:pPr>
              <w:spacing w:before="30" w:after="30"/>
              <w:jc w:val="right"/>
              <w:rPr>
                <w:noProof/>
                <w:sz w:val="16"/>
                <w:szCs w:val="16"/>
              </w:rPr>
            </w:pPr>
            <w:r>
              <w:rPr>
                <w:noProof/>
                <w:sz w:val="16"/>
                <w:szCs w:val="16"/>
              </w:rPr>
              <w:t>450,7</w:t>
            </w:r>
          </w:p>
        </w:tc>
      </w:tr>
      <w:tr w:rsidR="009D32FE">
        <w:trPr>
          <w:jc w:val="center"/>
        </w:trPr>
        <w:tc>
          <w:tcPr>
            <w:tcW w:w="1560" w:type="dxa"/>
            <w:shd w:val="clear" w:color="auto" w:fill="auto"/>
          </w:tcPr>
          <w:p w:rsidR="009D32FE" w:rsidRDefault="003611B3">
            <w:pPr>
              <w:spacing w:before="30" w:after="30"/>
              <w:jc w:val="center"/>
              <w:rPr>
                <w:noProof/>
                <w:sz w:val="16"/>
                <w:szCs w:val="16"/>
              </w:rPr>
            </w:pPr>
            <w:r>
              <w:rPr>
                <w:noProof/>
                <w:sz w:val="16"/>
                <w:szCs w:val="16"/>
              </w:rPr>
              <w:t>2021</w:t>
            </w:r>
          </w:p>
        </w:tc>
        <w:tc>
          <w:tcPr>
            <w:tcW w:w="5604" w:type="dxa"/>
            <w:shd w:val="clear" w:color="auto" w:fill="auto"/>
          </w:tcPr>
          <w:p w:rsidR="009D32FE" w:rsidRDefault="003611B3">
            <w:pPr>
              <w:spacing w:before="30" w:after="30"/>
              <w:jc w:val="right"/>
              <w:rPr>
                <w:noProof/>
                <w:sz w:val="16"/>
                <w:szCs w:val="16"/>
              </w:rPr>
            </w:pPr>
            <w:r>
              <w:rPr>
                <w:noProof/>
                <w:sz w:val="16"/>
                <w:szCs w:val="16"/>
              </w:rPr>
              <w:t>342,2</w:t>
            </w:r>
          </w:p>
        </w:tc>
      </w:tr>
      <w:tr w:rsidR="009D32FE">
        <w:trPr>
          <w:jc w:val="center"/>
        </w:trPr>
        <w:tc>
          <w:tcPr>
            <w:tcW w:w="1560" w:type="dxa"/>
            <w:shd w:val="clear" w:color="auto" w:fill="auto"/>
          </w:tcPr>
          <w:p w:rsidR="009D32FE" w:rsidRDefault="003611B3">
            <w:pPr>
              <w:spacing w:before="30" w:after="30"/>
              <w:jc w:val="center"/>
              <w:rPr>
                <w:noProof/>
                <w:sz w:val="16"/>
                <w:szCs w:val="16"/>
              </w:rPr>
            </w:pPr>
            <w:r>
              <w:rPr>
                <w:noProof/>
                <w:sz w:val="16"/>
                <w:szCs w:val="16"/>
              </w:rPr>
              <w:t>2022</w:t>
            </w:r>
          </w:p>
        </w:tc>
        <w:tc>
          <w:tcPr>
            <w:tcW w:w="5604" w:type="dxa"/>
            <w:shd w:val="clear" w:color="auto" w:fill="auto"/>
          </w:tcPr>
          <w:p w:rsidR="009D32FE" w:rsidRDefault="003611B3">
            <w:pPr>
              <w:spacing w:before="30" w:after="30"/>
              <w:jc w:val="right"/>
              <w:rPr>
                <w:noProof/>
                <w:sz w:val="16"/>
                <w:szCs w:val="16"/>
              </w:rPr>
            </w:pPr>
            <w:r>
              <w:rPr>
                <w:noProof/>
                <w:sz w:val="16"/>
                <w:szCs w:val="16"/>
              </w:rPr>
              <w:t>42,4</w:t>
            </w:r>
          </w:p>
        </w:tc>
      </w:tr>
      <w:tr w:rsidR="009D32FE">
        <w:trPr>
          <w:jc w:val="center"/>
        </w:trPr>
        <w:tc>
          <w:tcPr>
            <w:tcW w:w="1560" w:type="dxa"/>
            <w:shd w:val="clear" w:color="auto" w:fill="auto"/>
          </w:tcPr>
          <w:p w:rsidR="009D32FE" w:rsidRDefault="003611B3">
            <w:pPr>
              <w:spacing w:before="30" w:after="30"/>
              <w:jc w:val="center"/>
              <w:rPr>
                <w:noProof/>
                <w:sz w:val="16"/>
                <w:szCs w:val="16"/>
              </w:rPr>
            </w:pPr>
            <w:r>
              <w:rPr>
                <w:noProof/>
                <w:sz w:val="16"/>
                <w:szCs w:val="16"/>
              </w:rPr>
              <w:t>2023</w:t>
            </w:r>
          </w:p>
        </w:tc>
        <w:tc>
          <w:tcPr>
            <w:tcW w:w="5604" w:type="dxa"/>
            <w:shd w:val="clear" w:color="auto" w:fill="auto"/>
          </w:tcPr>
          <w:p w:rsidR="009D32FE" w:rsidRDefault="003611B3">
            <w:pPr>
              <w:spacing w:before="30" w:after="30"/>
              <w:jc w:val="right"/>
              <w:rPr>
                <w:noProof/>
                <w:sz w:val="16"/>
                <w:szCs w:val="16"/>
              </w:rPr>
            </w:pPr>
            <w:r>
              <w:rPr>
                <w:noProof/>
                <w:sz w:val="16"/>
                <w:szCs w:val="16"/>
              </w:rPr>
              <w:t>16,1</w:t>
            </w:r>
          </w:p>
        </w:tc>
      </w:tr>
      <w:tr w:rsidR="009D32FE">
        <w:trPr>
          <w:jc w:val="center"/>
        </w:trPr>
        <w:tc>
          <w:tcPr>
            <w:tcW w:w="1560" w:type="dxa"/>
            <w:shd w:val="clear" w:color="auto" w:fill="D9D9D9"/>
          </w:tcPr>
          <w:p w:rsidR="009D32FE" w:rsidRDefault="003611B3">
            <w:pPr>
              <w:spacing w:before="30" w:after="30"/>
              <w:jc w:val="right"/>
              <w:rPr>
                <w:b/>
                <w:noProof/>
                <w:sz w:val="16"/>
                <w:szCs w:val="16"/>
              </w:rPr>
            </w:pPr>
            <w:r>
              <w:rPr>
                <w:b/>
                <w:noProof/>
                <w:sz w:val="16"/>
                <w:szCs w:val="16"/>
              </w:rPr>
              <w:t>Kokku</w:t>
            </w:r>
          </w:p>
        </w:tc>
        <w:tc>
          <w:tcPr>
            <w:tcW w:w="5604" w:type="dxa"/>
            <w:shd w:val="clear" w:color="auto" w:fill="D9D9D9"/>
          </w:tcPr>
          <w:p w:rsidR="009D32FE" w:rsidRDefault="003611B3">
            <w:pPr>
              <w:spacing w:before="30" w:after="30"/>
              <w:jc w:val="right"/>
              <w:rPr>
                <w:b/>
                <w:noProof/>
                <w:sz w:val="16"/>
                <w:szCs w:val="16"/>
              </w:rPr>
            </w:pPr>
            <w:r>
              <w:rPr>
                <w:b/>
                <w:noProof/>
                <w:sz w:val="16"/>
                <w:szCs w:val="16"/>
              </w:rPr>
              <w:t>851,4</w:t>
            </w:r>
          </w:p>
        </w:tc>
      </w:tr>
    </w:tbl>
    <w:p w:rsidR="009D32FE" w:rsidRDefault="009D32FE">
      <w:pPr>
        <w:rPr>
          <w:noProof/>
        </w:rPr>
        <w:sectPr w:rsidR="009D32FE" w:rsidSect="003611B3">
          <w:footerReference w:type="default" r:id="rId15"/>
          <w:footerReference w:type="first" r:id="rId16"/>
          <w:pgSz w:w="11907" w:h="16839"/>
          <w:pgMar w:top="1134" w:right="1417" w:bottom="1134" w:left="1417" w:header="709" w:footer="709" w:gutter="0"/>
          <w:cols w:space="708"/>
          <w:docGrid w:linePitch="360"/>
        </w:sectPr>
      </w:pPr>
    </w:p>
    <w:p w:rsidR="009D32FE" w:rsidRDefault="003611B3" w:rsidP="003611B3">
      <w:pPr>
        <w:pStyle w:val="Statut"/>
        <w:rPr>
          <w:noProof/>
        </w:rPr>
      </w:pPr>
      <w:r w:rsidRPr="003611B3">
        <w:lastRenderedPageBreak/>
        <w:t>Ettepanek:</w:t>
      </w:r>
    </w:p>
    <w:p w:rsidR="009D32FE" w:rsidRDefault="003611B3" w:rsidP="003611B3">
      <w:pPr>
        <w:pStyle w:val="Typedudocument"/>
        <w:rPr>
          <w:noProof/>
        </w:rPr>
      </w:pPr>
      <w:r w:rsidRPr="003611B3">
        <w:t>EUROOPA PARLAMENDI JA NÕUKOGU OTSUS,</w:t>
      </w:r>
    </w:p>
    <w:p w:rsidR="009D32FE" w:rsidRDefault="003611B3" w:rsidP="003611B3">
      <w:pPr>
        <w:pStyle w:val="Titreobjet"/>
        <w:rPr>
          <w:noProof/>
        </w:rPr>
      </w:pPr>
      <w:r w:rsidRPr="003611B3">
        <w:t>millega muudetakse otsust (EL) 2020/265, kohandades 2020. aastal rände, pagulaste sissevoolu ja julgeolekuohtudega seotud probleemide lahendamiseks ning COVID-19 puhangu tõttu võetavate kiireloomuliste meetmete ja Euroopa Prokuratuuri eelarve suurendamise jaoks kasutusele võetavaid paindlikkusinstrumendi summasid</w:t>
      </w:r>
    </w:p>
    <w:p w:rsidR="009D32FE" w:rsidRDefault="003611B3">
      <w:pPr>
        <w:pStyle w:val="Institutionquiagit"/>
        <w:rPr>
          <w:noProof/>
        </w:rPr>
      </w:pPr>
      <w:r>
        <w:rPr>
          <w:noProof/>
        </w:rPr>
        <w:t>E</w:t>
      </w:r>
      <w:r>
        <w:rPr>
          <w:noProof/>
        </w:rPr>
        <w:t>UROOPA PARLAMENT JA EUROOPA LIIDU NÕUKOGU,</w:t>
      </w:r>
    </w:p>
    <w:p w:rsidR="009D32FE" w:rsidRDefault="003611B3">
      <w:pPr>
        <w:rPr>
          <w:noProof/>
        </w:rPr>
      </w:pPr>
      <w:r>
        <w:rPr>
          <w:noProof/>
        </w:rPr>
        <w:t>võttes arvesse Euroopa Liidu toimimise lepingut,</w:t>
      </w:r>
    </w:p>
    <w:p w:rsidR="009D32FE" w:rsidRDefault="003611B3">
      <w:pPr>
        <w:rPr>
          <w:noProof/>
        </w:rPr>
      </w:pPr>
      <w:r>
        <w:rPr>
          <w:noProof/>
        </w:rPr>
        <w:t>võttes arvesse 2. detsembri 2013. aasta institutsioonidevahelist kokkulepet Euroopa Parlamendi, nõukogu ja komisjoni vahel eelarvedists</w:t>
      </w:r>
      <w:r>
        <w:rPr>
          <w:noProof/>
        </w:rPr>
        <w:t>ipliini, eelarvealase koostöö ning usaldusväärse finantsjuhtimise kohta,</w:t>
      </w:r>
      <w:r>
        <w:rPr>
          <w:rStyle w:val="FootnoteReference"/>
          <w:noProof/>
        </w:rPr>
        <w:footnoteReference w:id="4"/>
      </w:r>
      <w:r>
        <w:rPr>
          <w:noProof/>
        </w:rPr>
        <w:t xml:space="preserve"> eriti selle punkti 12,</w:t>
      </w:r>
    </w:p>
    <w:p w:rsidR="009D32FE" w:rsidRDefault="003611B3">
      <w:pPr>
        <w:rPr>
          <w:noProof/>
        </w:rPr>
      </w:pPr>
      <w:r>
        <w:rPr>
          <w:noProof/>
        </w:rPr>
        <w:t>võttes arvesse Euroopa Komisjoni ettepanekut</w:t>
      </w:r>
    </w:p>
    <w:p w:rsidR="009D32FE" w:rsidRDefault="003611B3">
      <w:pPr>
        <w:rPr>
          <w:noProof/>
        </w:rPr>
      </w:pPr>
      <w:r>
        <w:rPr>
          <w:noProof/>
        </w:rPr>
        <w:t>ning arvestades järgmist:</w:t>
      </w:r>
    </w:p>
    <w:p w:rsidR="009D32FE" w:rsidRDefault="003611B3">
      <w:pPr>
        <w:pStyle w:val="ManualConsidrant"/>
        <w:rPr>
          <w:noProof/>
        </w:rPr>
      </w:pPr>
      <w:r>
        <w:rPr>
          <w:noProof/>
        </w:rPr>
        <w:t>1.</w:t>
      </w:r>
      <w:r>
        <w:rPr>
          <w:noProof/>
        </w:rPr>
        <w:tab/>
        <w:t>Paindlikkusinstrumendist saab rahastada selgelt määratletud kulusid, mida ei saa raha</w:t>
      </w:r>
      <w:r>
        <w:rPr>
          <w:noProof/>
        </w:rPr>
        <w:t>stada liidu üldeelarve ühe või mitme muu rubriigi ülemmäärade piires.</w:t>
      </w:r>
    </w:p>
    <w:p w:rsidR="009D32FE" w:rsidRDefault="003611B3">
      <w:pPr>
        <w:pStyle w:val="ManualConsidrant"/>
        <w:rPr>
          <w:noProof/>
        </w:rPr>
      </w:pPr>
      <w:r>
        <w:rPr>
          <w:noProof/>
        </w:rPr>
        <w:t>2.</w:t>
      </w:r>
      <w:r>
        <w:rPr>
          <w:noProof/>
        </w:rPr>
        <w:tab/>
        <w:t>Nõukogu määruse (EL, Euratom) nr 1311/2013</w:t>
      </w:r>
      <w:r>
        <w:rPr>
          <w:rStyle w:val="FootnoteReference"/>
          <w:noProof/>
        </w:rPr>
        <w:footnoteReference w:id="5"/>
      </w:r>
      <w:r>
        <w:rPr>
          <w:noProof/>
        </w:rPr>
        <w:t xml:space="preserve"> artiklis 11 sätestatud paindlikkusinstrumendi aastast ülemmäära 600 000 000 eurot (2011. aasta hindades) suurendatakse vajaduse korral tühi</w:t>
      </w:r>
      <w:r>
        <w:rPr>
          <w:noProof/>
        </w:rPr>
        <w:t xml:space="preserve">statud summade võrra, mis on tehtud kättesaadavaks kooskõlas nimetatud artikli lõike 1 teise lõiguga. </w:t>
      </w:r>
    </w:p>
    <w:p w:rsidR="009D32FE" w:rsidRDefault="003611B3">
      <w:pPr>
        <w:pStyle w:val="ManualConsidrant"/>
        <w:rPr>
          <w:noProof/>
        </w:rPr>
      </w:pPr>
      <w:r>
        <w:rPr>
          <w:noProof/>
        </w:rPr>
        <w:t>3.</w:t>
      </w:r>
      <w:r>
        <w:rPr>
          <w:noProof/>
        </w:rPr>
        <w:tab/>
        <w:t>Euroopa Parlament ja nõukogu võtsid 27. novembril 2019 vastu otsuse (EL) 2020/265,</w:t>
      </w:r>
      <w:r>
        <w:rPr>
          <w:rStyle w:val="FootnoteReference"/>
          <w:noProof/>
        </w:rPr>
        <w:footnoteReference w:id="6"/>
      </w:r>
      <w:r>
        <w:rPr>
          <w:noProof/>
        </w:rPr>
        <w:t xml:space="preserve"> millega paigutatakse paindlikkusinstrumendist 2020. aastaks rubrii</w:t>
      </w:r>
      <w:r>
        <w:rPr>
          <w:noProof/>
        </w:rPr>
        <w:t>ki 3 „Julgeolek ja kodakondsus“ kulukohustuste assigneeringutena 778 074 489 eurot rände, pagulaste ja julgeoleku valdkonna meetmete rahastamiseks.</w:t>
      </w:r>
    </w:p>
    <w:p w:rsidR="009D32FE" w:rsidRDefault="003611B3">
      <w:pPr>
        <w:pStyle w:val="ManualConsidrant"/>
        <w:rPr>
          <w:noProof/>
        </w:rPr>
      </w:pPr>
      <w:r>
        <w:rPr>
          <w:noProof/>
        </w:rPr>
        <w:t>4.</w:t>
      </w:r>
      <w:r>
        <w:rPr>
          <w:noProof/>
        </w:rPr>
        <w:tab/>
        <w:t>Paranduseelarve projektiga nr 1/2020</w:t>
      </w:r>
      <w:r>
        <w:rPr>
          <w:rStyle w:val="FootnoteReference"/>
          <w:noProof/>
        </w:rPr>
        <w:footnoteReference w:id="7"/>
      </w:r>
      <w:r>
        <w:rPr>
          <w:noProof/>
        </w:rPr>
        <w:t xml:space="preserve"> suurendatakse rubriigi 3 kulukohustuste assigneeringuid 423,3 miljo</w:t>
      </w:r>
      <w:r>
        <w:rPr>
          <w:noProof/>
        </w:rPr>
        <w:t xml:space="preserve">ni euro võrra. Neist 350,0 miljonit eurot, mis on ette nähtud lisakuludeks, et tulla toime rändesurvega Kreekas, saadakse nõukogu määruse (EL, Euratom) nr 1311/2013 artiklis 14 sätestatud kulukohustuste koguvarust. Ülejäänud 73,3 miljonit eurot ei ole aga </w:t>
      </w:r>
      <w:r>
        <w:rPr>
          <w:noProof/>
        </w:rPr>
        <w:t xml:space="preserve">kulukohustuste koguvaruga kaetud, mistõttu tuleb 2020. aastal kasutusele võtta ka paindlikkusinstrument. Lisaks on vaja kohandada prognoositavat maksete tegemise ajakava. </w:t>
      </w:r>
    </w:p>
    <w:p w:rsidR="009D32FE" w:rsidRDefault="003611B3">
      <w:pPr>
        <w:pStyle w:val="ManualConsidrant"/>
        <w:rPr>
          <w:noProof/>
        </w:rPr>
      </w:pPr>
      <w:r>
        <w:rPr>
          <w:noProof/>
        </w:rPr>
        <w:t>5.</w:t>
      </w:r>
      <w:r>
        <w:rPr>
          <w:noProof/>
        </w:rPr>
        <w:tab/>
        <w:t>Seepärast tuleks otsust (EL) 2020/265 vastavalt muuta.</w:t>
      </w:r>
    </w:p>
    <w:p w:rsidR="009D32FE" w:rsidRDefault="003611B3">
      <w:pPr>
        <w:pStyle w:val="ManualConsidrant"/>
        <w:rPr>
          <w:noProof/>
        </w:rPr>
      </w:pPr>
      <w:r>
        <w:rPr>
          <w:noProof/>
        </w:rPr>
        <w:t>6.</w:t>
      </w:r>
      <w:r>
        <w:rPr>
          <w:noProof/>
        </w:rPr>
        <w:tab/>
        <w:t xml:space="preserve">Käesolev </w:t>
      </w:r>
      <w:r>
        <w:rPr>
          <w:noProof/>
        </w:rPr>
        <w:t>paindlikkusinstrumendi kasutuselevõtmise otsus tuleks võtta vastu samal ajal 2020. aasta paranduseelarvega, sest paindlikkusinstrumendist saab rahastada mõningaid meetmeid, mis ületavad mitmeaastase finantsraamistikuga ettenähtud ülemmäära. Et tagada selle</w:t>
      </w:r>
      <w:r>
        <w:rPr>
          <w:noProof/>
        </w:rPr>
        <w:t xml:space="preserve"> 2020. aasta paranduseelarve sidusus, peaks käesolev otsus jõustuma selle vastuvõtmise päeval,</w:t>
      </w:r>
    </w:p>
    <w:tbl>
      <w:tblPr>
        <w:tblW w:w="5000" w:type="pct"/>
        <w:tblCellMar>
          <w:left w:w="0" w:type="dxa"/>
          <w:right w:w="0" w:type="dxa"/>
        </w:tblCellMar>
        <w:tblLook w:val="04A0" w:firstRow="1" w:lastRow="0" w:firstColumn="1" w:lastColumn="0" w:noHBand="0" w:noVBand="1"/>
      </w:tblPr>
      <w:tblGrid>
        <w:gridCol w:w="4536"/>
        <w:gridCol w:w="4537"/>
      </w:tblGrid>
      <w:tr w:rsidR="009D32FE">
        <w:tc>
          <w:tcPr>
            <w:tcW w:w="0" w:type="auto"/>
            <w:shd w:val="clear" w:color="auto" w:fill="auto"/>
            <w:hideMark/>
          </w:tcPr>
          <w:p w:rsidR="009D32FE" w:rsidRDefault="009D32FE">
            <w:pPr>
              <w:spacing w:before="0" w:after="0"/>
              <w:jc w:val="left"/>
              <w:rPr>
                <w:rFonts w:eastAsia="Times New Roman"/>
                <w:noProof/>
                <w:sz w:val="20"/>
                <w:szCs w:val="24"/>
              </w:rPr>
            </w:pPr>
          </w:p>
        </w:tc>
        <w:tc>
          <w:tcPr>
            <w:tcW w:w="0" w:type="auto"/>
            <w:shd w:val="clear" w:color="auto" w:fill="auto"/>
            <w:hideMark/>
          </w:tcPr>
          <w:p w:rsidR="009D32FE" w:rsidRDefault="009D32FE">
            <w:pPr>
              <w:spacing w:after="0" w:line="312" w:lineRule="atLeast"/>
              <w:rPr>
                <w:rFonts w:ascii="&amp;quot" w:eastAsia="Times New Roman" w:hAnsi="&amp;quot"/>
                <w:noProof/>
                <w:color w:val="444444"/>
                <w:szCs w:val="24"/>
              </w:rPr>
            </w:pPr>
          </w:p>
        </w:tc>
      </w:tr>
    </w:tbl>
    <w:p w:rsidR="009D32FE" w:rsidRDefault="003611B3">
      <w:pPr>
        <w:pStyle w:val="Formuledadoption"/>
        <w:rPr>
          <w:noProof/>
        </w:rPr>
      </w:pPr>
      <w:r>
        <w:rPr>
          <w:noProof/>
        </w:rPr>
        <w:t xml:space="preserve">ON VASTU VÕTNUD KÄESOLEVA OTSUSE: </w:t>
      </w:r>
    </w:p>
    <w:p w:rsidR="009D32FE" w:rsidRDefault="003611B3">
      <w:pPr>
        <w:pStyle w:val="Titrearticle"/>
        <w:rPr>
          <w:noProof/>
        </w:rPr>
      </w:pPr>
      <w:r>
        <w:rPr>
          <w:noProof/>
        </w:rPr>
        <w:t>Artikkel 1</w:t>
      </w:r>
    </w:p>
    <w:p w:rsidR="009D32FE" w:rsidRDefault="003611B3">
      <w:pPr>
        <w:rPr>
          <w:noProof/>
        </w:rPr>
      </w:pPr>
      <w:r>
        <w:rPr>
          <w:noProof/>
        </w:rPr>
        <w:t>Otsuse (EL) 2020/265 artiklit 1 muudetakse järgmiselt.</w:t>
      </w:r>
    </w:p>
    <w:p w:rsidR="009D32FE" w:rsidRDefault="003611B3">
      <w:pPr>
        <w:rPr>
          <w:noProof/>
        </w:rPr>
      </w:pPr>
      <w:r>
        <w:rPr>
          <w:noProof/>
        </w:rPr>
        <w:t xml:space="preserve">Lõike 1 esimeses lõigus asendatakse 778 074 489 eurot </w:t>
      </w:r>
      <w:r>
        <w:rPr>
          <w:noProof/>
        </w:rPr>
        <w:t>summaga 851 374 489 eurot ning teine lõik asendatakse järgmisega: „Esimeses lõigus osutatud summat kasutatakse praeguste rände, pagulaste sissevoolu ja julgeolekuohtudega ning COVID-19 puhangust põhjustatud ELi tervishoiukriisiga seotud probleemide lahenda</w:t>
      </w:r>
      <w:r>
        <w:rPr>
          <w:noProof/>
        </w:rPr>
        <w:t>miseks võetavate meetmete rahastamiseks ja Euroopa Prokuratuuri suurenenud vajaduste katmiseks.“</w:t>
      </w:r>
    </w:p>
    <w:p w:rsidR="009D32FE" w:rsidRDefault="003611B3">
      <w:pPr>
        <w:rPr>
          <w:noProof/>
        </w:rPr>
      </w:pPr>
      <w:r>
        <w:rPr>
          <w:noProof/>
        </w:rPr>
        <w:t>Lõike 2 esimese lõigu punktid a ja b asendatakse järgmisega.</w:t>
      </w:r>
    </w:p>
    <w:p w:rsidR="009D32FE" w:rsidRDefault="003611B3">
      <w:pPr>
        <w:pStyle w:val="QuotedText"/>
        <w:rPr>
          <w:noProof/>
        </w:rPr>
      </w:pPr>
      <w:r>
        <w:rPr>
          <w:noProof/>
        </w:rPr>
        <w:t>„a)</w:t>
      </w:r>
      <w:r>
        <w:rPr>
          <w:noProof/>
        </w:rPr>
        <w:tab/>
        <w:t>2020. aastal 450 702 108 eurot;</w:t>
      </w:r>
    </w:p>
    <w:p w:rsidR="009D32FE" w:rsidRDefault="003611B3">
      <w:pPr>
        <w:pStyle w:val="QuotedText"/>
        <w:rPr>
          <w:noProof/>
        </w:rPr>
      </w:pPr>
      <w:r>
        <w:rPr>
          <w:noProof/>
        </w:rPr>
        <w:t>b)</w:t>
      </w:r>
      <w:r>
        <w:rPr>
          <w:noProof/>
        </w:rPr>
        <w:tab/>
        <w:t>2021. aastal 342 205 134 eurot;“</w:t>
      </w:r>
    </w:p>
    <w:p w:rsidR="009D32FE" w:rsidRDefault="003611B3">
      <w:pPr>
        <w:pStyle w:val="Titrearticle"/>
        <w:rPr>
          <w:noProof/>
        </w:rPr>
      </w:pPr>
      <w:r>
        <w:rPr>
          <w:noProof/>
        </w:rPr>
        <w:t>Artikkel 2</w:t>
      </w:r>
    </w:p>
    <w:p w:rsidR="009D32FE" w:rsidRDefault="003611B3">
      <w:pPr>
        <w:keepNext/>
        <w:keepLines/>
        <w:rPr>
          <w:noProof/>
        </w:rPr>
      </w:pPr>
      <w:r>
        <w:rPr>
          <w:noProof/>
        </w:rPr>
        <w:t xml:space="preserve">Käesolev otsus </w:t>
      </w:r>
      <w:r>
        <w:rPr>
          <w:noProof/>
        </w:rPr>
        <w:t xml:space="preserve">jõustub </w:t>
      </w:r>
      <w:r>
        <w:rPr>
          <w:i/>
          <w:iCs/>
          <w:noProof/>
        </w:rPr>
        <w:t>Euroopa Liidu Teatajas</w:t>
      </w:r>
      <w:r>
        <w:rPr>
          <w:noProof/>
        </w:rPr>
        <w:t xml:space="preserve"> avaldamise päeval.</w:t>
      </w:r>
    </w:p>
    <w:p w:rsidR="009D32FE" w:rsidRDefault="003611B3" w:rsidP="003611B3">
      <w:pPr>
        <w:pStyle w:val="Fait"/>
        <w:rPr>
          <w:noProof/>
        </w:rPr>
      </w:pPr>
      <w:r w:rsidRPr="003611B3">
        <w:t>Brüssel,</w:t>
      </w:r>
    </w:p>
    <w:p w:rsidR="009D32FE" w:rsidRDefault="003611B3">
      <w:pPr>
        <w:pStyle w:val="Institutionquisigne"/>
        <w:rPr>
          <w:noProof/>
        </w:rPr>
      </w:pPr>
      <w:r>
        <w:rPr>
          <w:noProof/>
        </w:rPr>
        <w:t>E</w:t>
      </w:r>
      <w:r>
        <w:rPr>
          <w:noProof/>
        </w:rPr>
        <w:t>uroopa Parlamendi nimel</w:t>
      </w:r>
      <w:r>
        <w:rPr>
          <w:noProof/>
        </w:rPr>
        <w:tab/>
        <w:t>Nõukogu nimel</w:t>
      </w:r>
    </w:p>
    <w:p w:rsidR="009D32FE" w:rsidRDefault="003611B3">
      <w:pPr>
        <w:pStyle w:val="Personnequisigne"/>
        <w:rPr>
          <w:noProof/>
        </w:rPr>
      </w:pPr>
      <w:r>
        <w:rPr>
          <w:noProof/>
        </w:rPr>
        <w:t>President</w:t>
      </w:r>
      <w:r>
        <w:rPr>
          <w:noProof/>
        </w:rPr>
        <w:tab/>
        <w:t>Eesistuja</w:t>
      </w:r>
    </w:p>
    <w:sectPr w:rsidR="009D32FE" w:rsidSect="003611B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FE" w:rsidRDefault="003611B3">
      <w:pPr>
        <w:spacing w:before="0" w:after="0"/>
      </w:pPr>
      <w:r>
        <w:separator/>
      </w:r>
    </w:p>
  </w:endnote>
  <w:endnote w:type="continuationSeparator" w:id="0">
    <w:p w:rsidR="009D32FE" w:rsidRDefault="003611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3" w:rsidRPr="003611B3" w:rsidRDefault="003611B3" w:rsidP="00361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FE" w:rsidRPr="003611B3" w:rsidRDefault="003611B3" w:rsidP="003611B3">
    <w:pPr>
      <w:pStyle w:val="Footer"/>
      <w:rPr>
        <w:rFonts w:ascii="Arial" w:hAnsi="Arial" w:cs="Arial"/>
        <w:b/>
        <w:sz w:val="48"/>
      </w:rPr>
    </w:pPr>
    <w:r w:rsidRPr="003611B3">
      <w:rPr>
        <w:rFonts w:ascii="Arial" w:hAnsi="Arial" w:cs="Arial"/>
        <w:b/>
        <w:sz w:val="48"/>
      </w:rPr>
      <w:t>ET</w:t>
    </w:r>
    <w:r w:rsidRPr="003611B3">
      <w:rPr>
        <w:rFonts w:ascii="Arial" w:hAnsi="Arial" w:cs="Arial"/>
        <w:b/>
        <w:sz w:val="48"/>
      </w:rPr>
      <w:tab/>
    </w:r>
    <w:r w:rsidRPr="003611B3">
      <w:rPr>
        <w:rFonts w:ascii="Arial" w:hAnsi="Arial" w:cs="Arial"/>
        <w:b/>
        <w:sz w:val="48"/>
      </w:rPr>
      <w:tab/>
    </w:r>
    <w:r w:rsidRPr="003611B3">
      <w:tab/>
    </w:r>
    <w:r w:rsidRPr="003611B3">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3" w:rsidRPr="003611B3" w:rsidRDefault="003611B3" w:rsidP="00361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3" w:rsidRPr="003611B3" w:rsidRDefault="003611B3" w:rsidP="003611B3">
    <w:pPr>
      <w:pStyle w:val="Footer"/>
      <w:rPr>
        <w:rFonts w:ascii="Arial" w:hAnsi="Arial" w:cs="Arial"/>
        <w:b/>
        <w:sz w:val="48"/>
      </w:rPr>
    </w:pPr>
    <w:r w:rsidRPr="003611B3">
      <w:rPr>
        <w:rFonts w:ascii="Arial" w:hAnsi="Arial" w:cs="Arial"/>
        <w:b/>
        <w:sz w:val="48"/>
      </w:rPr>
      <w:t>ET</w:t>
    </w:r>
    <w:r w:rsidRPr="003611B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3611B3">
      <w:tab/>
    </w:r>
    <w:r w:rsidRPr="003611B3">
      <w:rPr>
        <w:rFonts w:ascii="Arial" w:hAnsi="Arial" w:cs="Arial"/>
        <w:b/>
        <w:sz w:val="48"/>
      </w:rPr>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3" w:rsidRPr="003611B3" w:rsidRDefault="003611B3" w:rsidP="0036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FE" w:rsidRDefault="003611B3">
      <w:pPr>
        <w:spacing w:before="0" w:after="0"/>
      </w:pPr>
      <w:r>
        <w:separator/>
      </w:r>
    </w:p>
  </w:footnote>
  <w:footnote w:type="continuationSeparator" w:id="0">
    <w:p w:rsidR="009D32FE" w:rsidRDefault="003611B3">
      <w:pPr>
        <w:spacing w:before="0" w:after="0"/>
      </w:pPr>
      <w:r>
        <w:continuationSeparator/>
      </w:r>
    </w:p>
  </w:footnote>
  <w:footnote w:id="1">
    <w:p w:rsidR="009D32FE" w:rsidRDefault="003611B3">
      <w:pPr>
        <w:pStyle w:val="FootnoteText"/>
      </w:pPr>
      <w:r>
        <w:rPr>
          <w:rStyle w:val="FootnoteReference"/>
        </w:rPr>
        <w:footnoteRef/>
      </w:r>
      <w:r>
        <w:tab/>
        <w:t>COM(2020) 145, 27.3.2020.</w:t>
      </w:r>
    </w:p>
  </w:footnote>
  <w:footnote w:id="2">
    <w:p w:rsidR="009D32FE" w:rsidRDefault="003611B3">
      <w:pPr>
        <w:pStyle w:val="FootnoteText"/>
      </w:pPr>
      <w:r>
        <w:rPr>
          <w:rStyle w:val="FootnoteReference"/>
        </w:rPr>
        <w:footnoteRef/>
      </w:r>
      <w:r>
        <w:tab/>
        <w:t>ELT L 347, 20.12.2013, lk 884.</w:t>
      </w:r>
    </w:p>
  </w:footnote>
  <w:footnote w:id="3">
    <w:p w:rsidR="009D32FE" w:rsidRDefault="003611B3">
      <w:pPr>
        <w:pStyle w:val="FootnoteText"/>
      </w:pPr>
      <w:r>
        <w:rPr>
          <w:rStyle w:val="FootnoteReference"/>
        </w:rPr>
        <w:footnoteRef/>
      </w:r>
      <w:r>
        <w:tab/>
        <w:t>ELT L 58, 27.2.2020, lk 51.</w:t>
      </w:r>
    </w:p>
  </w:footnote>
  <w:footnote w:id="4">
    <w:p w:rsidR="009D32FE" w:rsidRDefault="003611B3">
      <w:pPr>
        <w:pStyle w:val="FootnoteText"/>
      </w:pPr>
      <w:r>
        <w:rPr>
          <w:rStyle w:val="FootnoteReference"/>
        </w:rPr>
        <w:footnoteRef/>
      </w:r>
      <w:r>
        <w:tab/>
        <w:t>ELT C 373, 20.12.2013, lk 1.</w:t>
      </w:r>
    </w:p>
  </w:footnote>
  <w:footnote w:id="5">
    <w:p w:rsidR="009D32FE" w:rsidRDefault="003611B3">
      <w:pPr>
        <w:pStyle w:val="FootnoteText"/>
      </w:pPr>
      <w:r>
        <w:rPr>
          <w:rStyle w:val="FootnoteReference"/>
        </w:rPr>
        <w:footnoteRef/>
      </w:r>
      <w:r>
        <w:tab/>
        <w:t>Nõukogu 2.</w:t>
      </w:r>
      <w:r>
        <w:t xml:space="preserve"> detsembri 2013. aasta määrus (EL, Euratom) nr 1311/2013, millega määratakse kindlaks mitmeaastane finantsraamistik aastateks 2014–2020 (ELT L 347, 20.12.2013, lk 884).</w:t>
      </w:r>
    </w:p>
  </w:footnote>
  <w:footnote w:id="6">
    <w:p w:rsidR="009D32FE" w:rsidRDefault="003611B3">
      <w:pPr>
        <w:pStyle w:val="doc-ti"/>
        <w:spacing w:before="0" w:beforeAutospacing="0" w:after="0" w:afterAutospacing="0"/>
        <w:ind w:left="709" w:hanging="709"/>
        <w:jc w:val="both"/>
      </w:pPr>
      <w:r>
        <w:rPr>
          <w:rStyle w:val="FootnoteReference"/>
        </w:rPr>
        <w:footnoteRef/>
      </w:r>
      <w:r>
        <w:tab/>
        <w:t>Euroopa Parlamendi ja nõukogu 27. novembri 2019. aasta otsus (EL) 2020/265 paindlikku</w:t>
      </w:r>
      <w:r>
        <w:t xml:space="preserve">sinstrumendi kasutuselevõtmise kohta praeguste rände, pagulaste sissevoolu ja julgeolekuohtudega seotud probleemide lahendamiseks võetavate kiireloomuliste eelarvemeetmete rahastamiseks </w:t>
      </w:r>
      <w:r>
        <w:rPr>
          <w:sz w:val="20"/>
          <w:szCs w:val="20"/>
        </w:rPr>
        <w:t>(ELT L 58, 27.2.2020, lk 51)</w:t>
      </w:r>
    </w:p>
  </w:footnote>
  <w:footnote w:id="7">
    <w:p w:rsidR="009D32FE" w:rsidRDefault="003611B3">
      <w:pPr>
        <w:pStyle w:val="FootnoteText"/>
      </w:pPr>
      <w:r>
        <w:rPr>
          <w:rStyle w:val="FootnoteReference"/>
        </w:rPr>
        <w:footnoteRef/>
      </w:r>
      <w:r>
        <w:tab/>
        <w:t>COM(2020) 145, 27.3.2020.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3" w:rsidRPr="003611B3" w:rsidRDefault="003611B3" w:rsidP="00361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3" w:rsidRPr="003611B3" w:rsidRDefault="003611B3" w:rsidP="00361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3" w:rsidRPr="003611B3" w:rsidRDefault="003611B3" w:rsidP="0036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3EEB6F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4F4D2D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538956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C4A549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D5C9A9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03E2AE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A721C8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BE49DD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8 13:42: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Yellow"/>
    <w:docVar w:name="DQCVersion" w:val="3"/>
    <w:docVar w:name="DQCWithWarnings" w:val="0"/>
    <w:docVar w:name="LW_CORRIGENDUM" w:val="This document corrects document COM(2020)140 final of 27 mars 2020. It concerns all language version. The first version was sent with acronym BUD. Since this acronym is not currently applicable to this type of documents, it is therefore deleted. _x000b_The text should read as follows:"/>
    <w:docVar w:name="LW_COVERPAGE_EXISTS" w:val="True"/>
    <w:docVar w:name="LW_COVERPAGE_GUID" w:val="0ED02C74-A3D9-4647-9AFD-84536B9D1D2D"/>
    <w:docVar w:name="LW_COVERPAGE_TYPE" w:val="1"/>
    <w:docVar w:name="LW_CROSSREFERENCE" w:val="&lt;UNUSED&gt;"/>
    <w:docVar w:name="LW_DocType" w:val="COM"/>
    <w:docVar w:name="LW_EMISSION" w:val="9.4.2020"/>
    <w:docVar w:name="LW_EMISSION_ISODATE" w:val="2020-04-09"/>
    <w:docVar w:name="LW_EMISSION_LOCATION" w:val="BRX"/>
    <w:docVar w:name="LW_EMISSION_PREFIX" w:val="Brüssel,"/>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2"/>
    <w:docVar w:name="LW_REF.INST.NEW_TEXT" w:val="(2020) 1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otsust (EL) 2020/265, kohandades 2020. aastal rände, pagulaste sissevoolu ja julgeolekuohtudega seotud probleemide lahendamiseks ning COVID-19 puhangu tõttu võetavate kiireloomuliste meetmete ja Euroopa Prokuratuuri eelarve suurendamise jaoks kasutusele võetavaid paindlikkusinstrumendi summasid"/>
    <w:docVar w:name="LW_TYPE.DOC.CP" w:val="EUROOPA PARLAMENDI JA NÕUKOGU OTSUS,"/>
  </w:docVars>
  <w:rsids>
    <w:rsidRoot w:val="009D32FE"/>
    <w:rsid w:val="003611B3"/>
    <w:rsid w:val="009D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156A378-447F-45B9-806C-9E532DB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epname">
    <w:name w:val="ep_name"/>
    <w:basedOn w:val="DefaultParagraphFont"/>
  </w:style>
  <w:style w:type="character" w:customStyle="1" w:styleId="epicon">
    <w:name w:val="ep_icon"/>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rsid w:val="003611B3"/>
    <w:pPr>
      <w:tabs>
        <w:tab w:val="center" w:pos="4535"/>
        <w:tab w:val="right" w:pos="9071"/>
      </w:tabs>
      <w:spacing w:before="0"/>
    </w:pPr>
  </w:style>
  <w:style w:type="character" w:customStyle="1" w:styleId="HeaderChar">
    <w:name w:val="Header Char"/>
    <w:basedOn w:val="DefaultParagraphFont"/>
    <w:link w:val="Header"/>
    <w:uiPriority w:val="99"/>
    <w:rsid w:val="003611B3"/>
    <w:rPr>
      <w:rFonts w:ascii="Times New Roman" w:hAnsi="Times New Roman" w:cs="Times New Roman"/>
      <w:sz w:val="24"/>
      <w:lang w:val="et-EE"/>
    </w:rPr>
  </w:style>
  <w:style w:type="paragraph" w:styleId="Footer">
    <w:name w:val="footer"/>
    <w:basedOn w:val="Normal"/>
    <w:link w:val="FooterChar"/>
    <w:uiPriority w:val="99"/>
    <w:unhideWhenUsed/>
    <w:rsid w:val="003611B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3611B3"/>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611B3"/>
    <w:pPr>
      <w:tabs>
        <w:tab w:val="center" w:pos="7285"/>
        <w:tab w:val="right" w:pos="14003"/>
      </w:tabs>
      <w:spacing w:before="0"/>
    </w:pPr>
  </w:style>
  <w:style w:type="paragraph" w:customStyle="1" w:styleId="FooterLandscape">
    <w:name w:val="FooterLandscape"/>
    <w:basedOn w:val="Normal"/>
    <w:rsid w:val="003611B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611B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3611B3"/>
    <w:pPr>
      <w:spacing w:before="0"/>
      <w:jc w:val="right"/>
    </w:pPr>
    <w:rPr>
      <w:sz w:val="28"/>
    </w:rPr>
  </w:style>
  <w:style w:type="paragraph" w:customStyle="1" w:styleId="FooterSensitivity">
    <w:name w:val="Footer Sensitivity"/>
    <w:basedOn w:val="Normal"/>
    <w:rsid w:val="003611B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981423205">
      <w:bodyDiv w:val="1"/>
      <w:marLeft w:val="0"/>
      <w:marRight w:val="0"/>
      <w:marTop w:val="0"/>
      <w:marBottom w:val="0"/>
      <w:divBdr>
        <w:top w:val="none" w:sz="0" w:space="0" w:color="auto"/>
        <w:left w:val="none" w:sz="0" w:space="0" w:color="auto"/>
        <w:bottom w:val="none" w:sz="0" w:space="0" w:color="auto"/>
        <w:right w:val="none" w:sz="0" w:space="0" w:color="auto"/>
      </w:divBdr>
    </w:div>
    <w:div w:id="1474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FE9C84-FB85-4C68-AA41-1ED1638F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TotalTime>
  <Pages>4</Pages>
  <Words>592</Words>
  <Characters>4453</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35</cp:revision>
  <cp:lastPrinted>2019-06-14T14:15:00Z</cp:lastPrinted>
  <dcterms:created xsi:type="dcterms:W3CDTF">2020-04-03T11:24:00Z</dcterms:created>
  <dcterms:modified xsi:type="dcterms:W3CDTF">2020-04-08T14:27:00Z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Yellow (DQC version 03)</vt:lpwstr>
  </property>
</Properties>
</file>