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74391CD1-EB8F-4284-A863-DC3449112130" style="width:451.25pt;height:430.3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bookmarkStart w:id="0" w:name="_GoBack"/>
      <w:bookmarkEnd w:id="0"/>
      <w:r>
        <w:rPr>
          <w:noProof/>
        </w:rPr>
        <w:lastRenderedPageBreak/>
        <w:t>2018/0154 (COD)</w:t>
      </w:r>
    </w:p>
    <w:p>
      <w:pPr>
        <w:pStyle w:val="Typedudocument"/>
        <w:rPr>
          <w:noProof/>
        </w:rPr>
      </w:pPr>
      <w:r>
        <w:rPr>
          <w:noProof/>
        </w:rPr>
        <w:t xml:space="preserve">TEACHTAIREACHT ÓN gCOIMISIÚN </w:t>
      </w:r>
      <w:r>
        <w:rPr>
          <w:noProof/>
        </w:rPr>
        <w:br/>
        <w:t>CHUIG PARLAIMINT NA hEORPA</w:t>
      </w:r>
      <w:r>
        <w:rPr>
          <w:noProof/>
        </w:rPr>
        <w:br/>
      </w:r>
      <w:r>
        <w:rPr>
          <w:noProof/>
        </w:rPr>
        <w:br/>
        <w:t>de bhun Airteagal 294(6) den Chonradh ar Fheidhmiú an Aontais Eorpaigh</w:t>
      </w:r>
      <w:r>
        <w:rPr>
          <w:noProof/>
        </w:rPr>
        <w:br/>
      </w:r>
      <w:r>
        <w:rPr>
          <w:noProof/>
        </w:rPr>
        <w:br/>
        <w:t>maidir leis</w:t>
      </w:r>
    </w:p>
    <w:p>
      <w:pPr>
        <w:pStyle w:val="Titreobjet"/>
        <w:rPr>
          <w:noProof/>
        </w:rPr>
      </w:pPr>
      <w:r>
        <w:rPr>
          <w:noProof/>
        </w:rPr>
        <w:t>an seasamh ón gComhairle i dtaca le glacadh Rialacháin ó Pharlaimint na hEorpa agus ón gComhairle lena leasaítear Rialachán (CE) Uimh. 862/2007 ó staidreamh Comhphobail ar an imirce agus ar chosaint idirnáisiúnta</w:t>
      </w:r>
      <w:r>
        <w:rPr>
          <w:noProof/>
        </w:rPr>
        <w:br/>
      </w:r>
      <w:r>
        <w:rPr>
          <w:noProof/>
        </w:rPr>
        <w:br/>
      </w:r>
    </w:p>
    <w:p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Cúlra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An dáta a seoladh an togra chuig Parlaimint na hEorpa agus chuig an gComhairle (doiciméad COM (2018) 307 final – 018/0154 COD): </w:t>
            </w:r>
          </w:p>
        </w:tc>
        <w:tc>
          <w:tcPr>
            <w:tcW w:w="2483" w:type="dxa"/>
          </w:tcPr>
          <w:p>
            <w:pPr>
              <w:pStyle w:val="Text1"/>
              <w:spacing w:after="0"/>
              <w:ind w:left="0"/>
              <w:rPr>
                <w:noProof/>
              </w:rPr>
            </w:pPr>
            <w:r>
              <w:rPr>
                <w:noProof/>
              </w:rPr>
              <w:t>16.5.2018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Dáta an tseasaimh ó Pharlaimint na hEorpa, an chéad léamh: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16.4.2019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An dáta a glacadh an seasamh ón gComhairle: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  <w:color w:val="0000FF"/>
              </w:rPr>
            </w:pPr>
            <w:r>
              <w:rPr>
                <w:noProof/>
              </w:rPr>
              <w:t>20.3.2020</w:t>
            </w:r>
          </w:p>
        </w:tc>
      </w:tr>
    </w:tbl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Cuspóir an togra ón gCoimisiún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</w:rPr>
      </w:pPr>
      <w:r>
        <w:rPr>
          <w:noProof/>
        </w:rPr>
        <w:t>Is é aidhm an togra seo: (i) tacú leis an gclár oibre Eorpach maidir leis an imirce ionas gur féidir leis staidreamh atá níos fearr agus níos tráthúla a sholáthar do lucht ceaptha beartas agus do chinnteoirí an Aontais Eorpaigh; agus (ii) chun an fhreagairt a neartú ar na dúshláin a thagann chun cinn de bharr na himirce. Go háirithe, déanfar uasghrádú ar staidreamh Eorpach maidir le tearmann agus imirce bhainistithe sa tionscnamh trí bhunús dleathach a chur ar fáil le haghaidh staidreamh atá á bhailiú faoi láthair ar bhonn deonach.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</w:rPr>
      </w:pPr>
      <w:r>
        <w:rPr>
          <w:noProof/>
        </w:rPr>
        <w:t>Ina theannta sin, cuirfidh an t</w:t>
      </w:r>
      <w:r>
        <w:rPr>
          <w:noProof/>
        </w:rPr>
        <w:noBreakHyphen/>
        <w:t xml:space="preserve">athbhreithniú ar Rialachán (CE) Uimh. 862/2007 feabhas ar iomláine, ar chruinneas, ar thráthúlacht agus ar chinnteacht na dtarchur sonraí deonacha a dhéanann údaráis náisiúnta cheana féin. Go háirithe, áireofar leis, go soláthrófar staidreamh i réimsí ina bhfuil riachtanais shoiléire léirithe ag páirtithe leasmhara - maidir le tearmann, fillteacha (áit a dtiomsófar staidreamh ar bhonn níos minice), athlonnú, ceadanna cónaithe agus leanaí ar imircigh iad. </w:t>
      </w:r>
    </w:p>
    <w:p>
      <w:pPr>
        <w:pStyle w:val="Point0"/>
        <w:rPr>
          <w:b/>
          <w:smallCaps/>
          <w:noProof/>
        </w:rPr>
      </w:pPr>
      <w:r>
        <w:rPr>
          <w:b/>
          <w:smallCaps/>
          <w:noProof/>
        </w:rPr>
        <w:t>3.</w:t>
      </w:r>
      <w:r>
        <w:rPr>
          <w:b/>
          <w:smallCaps/>
          <w:noProof/>
        </w:rPr>
        <w:tab/>
        <w:t xml:space="preserve">Tráchtanna maidir leis an seasamh ó Pharlaimint na </w:t>
      </w:r>
      <w:r>
        <w:rPr>
          <w:b/>
          <w:noProof/>
        </w:rPr>
        <w:t>h</w:t>
      </w:r>
      <w:r>
        <w:rPr>
          <w:b/>
          <w:smallCaps/>
          <w:noProof/>
        </w:rPr>
        <w:t>Eorpa</w:t>
      </w:r>
    </w:p>
    <w:p>
      <w:pPr>
        <w:rPr>
          <w:noProof/>
        </w:rPr>
      </w:pPr>
      <w:r>
        <w:rPr>
          <w:noProof/>
        </w:rPr>
        <w:t>Ghlac Parlaimint na hEorpa a seasamh ar an gcéad léamh an 16 Aibreán 2019 bunaithe ar an tuarascáil arna vótáil ag an gCoiste LIBE an 20 Samhain 2018 agus arna dearbhú an 11 Aibreáin 2019.</w:t>
      </w:r>
    </w:p>
    <w:p>
      <w:pPr>
        <w:rPr>
          <w:noProof/>
        </w:rPr>
      </w:pPr>
      <w:r>
        <w:rPr>
          <w:noProof/>
        </w:rPr>
        <w:t>Is iomaí leasú ar thogra an Choimisiúin a moladh sa seasamh sin ar an gcéad léamh agus é sin bunaithe ar riachtanais staidrimh, ar riachtanais bheartais agus ar indéantacht staidreamh a tháirgeadh. Ina theannta sin, bhí roinnt leasuithe ar an méid seo a leanas: (i) staidreamh nua a thabhairt isteach; agus (ii) athruithe ar mhinicíocht agus ar thráthúlacht an staidrimh.</w:t>
      </w:r>
    </w:p>
    <w:p>
      <w:pPr>
        <w:rPr>
          <w:noProof/>
        </w:rPr>
      </w:pPr>
      <w:r>
        <w:rPr>
          <w:noProof/>
        </w:rPr>
        <w:lastRenderedPageBreak/>
        <w:t>Mhol foireann chaibidlíochta nua Pharlaimint na hEorpa go gcuirfí an chaibidlíocht ar bun arís bunaithe ar thogra comhréitigh Uachtaránacht na Rómáine (</w:t>
      </w:r>
      <w:hyperlink r:id="rId16" w:history="1">
        <w:r>
          <w:rPr>
            <w:rStyle w:val="Hyperlink"/>
            <w:noProof/>
          </w:rPr>
          <w:t>doic. 7935/19</w:t>
        </w:r>
      </w:hyperlink>
      <w:r>
        <w:rPr>
          <w:rStyle w:val="Hyperlink"/>
          <w:noProof/>
        </w:rPr>
        <w:t xml:space="preserve"> an 1 Aibreán 2019</w:t>
      </w:r>
      <w:r>
        <w:rPr>
          <w:noProof/>
        </w:rPr>
        <w:t xml:space="preserve">). </w:t>
      </w:r>
    </w:p>
    <w:p>
      <w:pPr>
        <w:rPr>
          <w:noProof/>
        </w:rPr>
      </w:pPr>
      <w:r>
        <w:rPr>
          <w:noProof/>
        </w:rPr>
        <w:t>Tar éis don Chomhairle a seasamh a ghlacadh ar an gcéad léamh, meastar go ndéanfaidh Parlaimint na hEorpa an comhaontú ar thángthas air i gcruinnithe tríthaobhacha a fhormhuiniú go foirmiúil.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Tráchtanna maidir leis an seasamh ón </w:t>
      </w:r>
      <w:r>
        <w:rPr>
          <w:smallCaps w:val="0"/>
          <w:noProof/>
        </w:rPr>
        <w:t>g</w:t>
      </w:r>
      <w:r>
        <w:rPr>
          <w:noProof/>
        </w:rPr>
        <w:t>Comhairle</w:t>
      </w:r>
    </w:p>
    <w:p>
      <w:pPr>
        <w:widowControl w:val="0"/>
        <w:rPr>
          <w:noProof/>
        </w:rPr>
      </w:pPr>
      <w:r>
        <w:rPr>
          <w:noProof/>
        </w:rPr>
        <w:t>Léirítear leis an seasamh ón gComhairle an comhaontú ar thángthas air i gcruinnithe tríthaobhacha. Tacaíonn sé le togra an Choimisiúin agus déanann sé tuilleadh beachtaithe air, agus áirítear ann roinnt iarrataí ó Pharlaimint na hEorpa.</w:t>
      </w:r>
    </w:p>
    <w:p>
      <w:pPr>
        <w:widowControl w:val="0"/>
        <w:rPr>
          <w:noProof/>
        </w:rPr>
      </w:pPr>
      <w:r>
        <w:rPr>
          <w:noProof/>
        </w:rPr>
        <w:t>Go háirithe, maidir leis an gComhairle sa chéad léamh a rinne sí :</w:t>
      </w:r>
    </w:p>
    <w:p>
      <w:pPr>
        <w:pStyle w:val="Tiret0"/>
        <w:numPr>
          <w:ilvl w:val="0"/>
          <w:numId w:val="9"/>
        </w:numPr>
        <w:rPr>
          <w:noProof/>
        </w:rPr>
      </w:pPr>
      <w:r>
        <w:rPr>
          <w:noProof/>
        </w:rPr>
        <w:t xml:space="preserve">léirítear ann: (i) gur cheart indéantacht roinnt athróga nua atá beartaithe a thástáil trí bhíthin na staidéar píolótach seachas tabhairt faoi bhailiú sonraí láithreach; agus (ii) nár cheart sonraí nua a bhailiú ach amháin más dearfach atá toradh na meastóireachta ar thorthaí na staidéar píolótach; </w:t>
      </w:r>
    </w:p>
    <w:p>
      <w:pPr>
        <w:pStyle w:val="Tiret0"/>
        <w:rPr>
          <w:noProof/>
        </w:rPr>
      </w:pPr>
      <w:r>
        <w:rPr>
          <w:noProof/>
        </w:rPr>
        <w:t>go ndéanfaí minicíocht catagóir amháin den bhailiú sonraí a athrú ó bhailiú míosúil go bailiú bliantúil, agus san am céanna táthar á moladh ann go ndéanfaidh an staidéar píolótach meastóireacht ar sholáthar na sonraí ar bhonn míosúil;</w:t>
      </w:r>
    </w:p>
    <w:p>
      <w:pPr>
        <w:pStyle w:val="Tiret0"/>
        <w:rPr>
          <w:noProof/>
        </w:rPr>
      </w:pPr>
      <w:r>
        <w:rPr>
          <w:noProof/>
        </w:rPr>
        <w:t>áirítear air sin mír nua ar an maoiniú lena soláthrófar tacaíocht airgeadais le haghaidh uirlisí bailithe sonraí agus tuilleadh próiseas bailithe sonraí;</w:t>
      </w:r>
    </w:p>
    <w:p>
      <w:pPr>
        <w:pStyle w:val="Tiret0"/>
        <w:rPr>
          <w:noProof/>
        </w:rPr>
      </w:pPr>
      <w:r>
        <w:rPr>
          <w:noProof/>
        </w:rPr>
        <w:t>áirítear air sin mír nua le go mbeidh na Ballstáit in ann maoluithe ón mbailiú sonraí a iarraidh go ceann suas le 3 bliana, agus maolú go ceann 2 bhliain eile.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Conclúid</w:t>
      </w:r>
    </w:p>
    <w:p>
      <w:pPr>
        <w:keepNext/>
        <w:rPr>
          <w:noProof/>
        </w:rPr>
      </w:pPr>
      <w:r>
        <w:rPr>
          <w:noProof/>
        </w:rPr>
        <w:t>Glacann an Coimisiún leis an seasamh ón gComhairle. Tá tacaíocht airgeadais do na Ballstáit faoi réir an choinníll go gcuirfí a ndóthain acmhainní ar fáil faoin gcreat airgeadais ilbhliantúil le haghaidh 2021-2027.</w:t>
      </w:r>
    </w:p>
    <w:p>
      <w:pPr>
        <w:rPr>
          <w:noProof/>
          <w:szCs w:val="24"/>
        </w:rPr>
      </w:pPr>
    </w:p>
    <w:sectPr>
      <w:footerReference w:type="default" r:id="rId17"/>
      <w:footerReference w:type="first" r:id="rId18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67B0AC" w16cid:durableId="2208E0BD"/>
  <w16cid:commentId w16cid:paraId="5B0C20C9" w16cid:durableId="2208E0BE"/>
  <w16cid:commentId w16cid:paraId="308B8F82" w16cid:durableId="2208E0E6"/>
  <w16cid:commentId w16cid:paraId="261175CD" w16cid:durableId="2208E0BF"/>
  <w16cid:commentId w16cid:paraId="29A0B0C4" w16cid:durableId="2208E0C0"/>
  <w16cid:commentId w16cid:paraId="0BAD59EF" w16cid:durableId="2208E13D"/>
  <w16cid:commentId w16cid:paraId="7DD8BA55" w16cid:durableId="2208E0C1"/>
  <w16cid:commentId w16cid:paraId="3E64DFDA" w16cid:durableId="2208E1DF"/>
  <w16cid:commentId w16cid:paraId="518003A3" w16cid:durableId="2208E0C2"/>
  <w16cid:commentId w16cid:paraId="0AE6D11D" w16cid:durableId="2208E229"/>
  <w16cid:commentId w16cid:paraId="58B67FA9" w16cid:durableId="2208E0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94845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C4A2C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11E92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0DA40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1DE4F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950E1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1CAF1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7761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4-07 17:41:0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74391CD1-EB8F-4284-A863-DC3449112130"/>
    <w:docVar w:name="LW_COVERPAGE_TYPE" w:val="1"/>
    <w:docVar w:name="LW_CROSSREFERENCE" w:val="&lt;UNUSED&gt;"/>
    <w:docVar w:name="LW_DocType" w:val="COM"/>
    <w:docVar w:name="LW_EMISSION" w:val="15.4.2020"/>
    <w:docVar w:name="LW_EMISSION_ISODATE" w:val="2020-04-15"/>
    <w:docVar w:name="LW_EMISSION_LOCATION" w:val="BRX"/>
    <w:docVar w:name="LW_EMISSION_PREFIX" w:val="An Bhruiséil,"/>
    <w:docVar w:name="LW_EMISSION_SUFFIX" w:val=" "/>
    <w:docVar w:name="LW_ID_DOCMODEL" w:val="SJ-028"/>
    <w:docVar w:name="LW_ID_DOCSTRUCTURE" w:val="COM/PL/CODEC"/>
    <w:docVar w:name="LW_ID_DOCTYPE" w:val="SJ-028"/>
    <w:docVar w:name="LW_INTERETEEE.CP" w:val="&lt;UNUSED&gt;"/>
    <w:docVar w:name="LW_LANGUE" w:val="GA"/>
    <w:docVar w:name="LW_LEVEL_OF_SENSITIVITY" w:val="Standard treatment"/>
    <w:docVar w:name="LW_NOM.INST" w:val="AN COIMISIÚN EORPACH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54"/>
    <w:docVar w:name="LW_REF.II.NEW.CP_YEAR" w:val="2018"/>
    <w:docVar w:name="LW_REF.INST.NEW" w:val="COM"/>
    <w:docVar w:name="LW_REF.INST.NEW_ADOPTED" w:val="final"/>
    <w:docVar w:name="LW_REF.INST.NEW_TEXT" w:val="(2020) 1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an seasamh ón gComhairle i dtaca le glacadh Rialacháin ó Pharlaimint na hEorpa agus ón gComhairle lena leasaítear Rialachán (CE) Uimh. 862/2007 ó staidreamh Comhphobail ar an imirce agus ar chosaint idirnáisiúnta_x000b__x000b_"/>
    <w:docVar w:name="LW_TYPE.DOC.CP" w:val="TEACHTAIREACHT ÓN gCOIMISIÚN _x000b_CHUIG PARLAIMINT NA hEORPA_x000b__x000b_de bhun Airteagal 294(6) den Chonradh ar Fheidhmiú an Aontais Eorpaigh_x000b__x000b_maidir lei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ga-IE"/>
    </w:rPr>
  </w:style>
  <w:style w:type="character" w:styleId="Hyperlink">
    <w:name w:val="Hyperlink"/>
    <w:rPr>
      <w:color w:val="0000FF"/>
      <w:u w:val="single"/>
    </w:rPr>
  </w:style>
  <w:style w:type="character" w:customStyle="1" w:styleId="Text1Char">
    <w:name w:val="Text 1 Char"/>
    <w:rPr>
      <w:rFonts w:ascii="Times New Roman" w:hAnsi="Times New Roman" w:cs="Times New Roman"/>
      <w:sz w:val="24"/>
      <w:lang w:val="ga-IE"/>
    </w:rPr>
  </w:style>
  <w:style w:type="paragraph" w:customStyle="1" w:styleId="PointManual1">
    <w:name w:val="Point Manual (1)"/>
    <w:basedOn w:val="Normal"/>
    <w:pPr>
      <w:spacing w:line="360" w:lineRule="auto"/>
      <w:ind w:left="1134" w:hanging="567"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ga-IE"/>
    </w:rPr>
  </w:style>
  <w:style w:type="character" w:styleId="Hyperlink">
    <w:name w:val="Hyperlink"/>
    <w:rPr>
      <w:color w:val="0000FF"/>
      <w:u w:val="single"/>
    </w:rPr>
  </w:style>
  <w:style w:type="character" w:customStyle="1" w:styleId="Text1Char">
    <w:name w:val="Text 1 Char"/>
    <w:rPr>
      <w:rFonts w:ascii="Times New Roman" w:hAnsi="Times New Roman" w:cs="Times New Roman"/>
      <w:sz w:val="24"/>
      <w:lang w:val="ga-IE"/>
    </w:rPr>
  </w:style>
  <w:style w:type="paragraph" w:customStyle="1" w:styleId="PointManual1">
    <w:name w:val="Point Manual (1)"/>
    <w:basedOn w:val="Normal"/>
    <w:pPr>
      <w:spacing w:line="360" w:lineRule="auto"/>
      <w:ind w:left="1134" w:hanging="567"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data.consilium.europa.eu/doc/document/ST-7935-2019-INIT/EN/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BF2BDAA-3AFC-4D6C-8CBB-474933A7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3</Pages>
  <Words>666</Words>
  <Characters>3568</Characters>
  <Application>Microsoft Office Word</Application>
  <DocSecurity>0</DocSecurity>
  <Lines>72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18</cp:revision>
  <cp:lastPrinted>2020-03-02T16:03:00Z</cp:lastPrinted>
  <dcterms:created xsi:type="dcterms:W3CDTF">2020-04-07T08:08:00Z</dcterms:created>
  <dcterms:modified xsi:type="dcterms:W3CDTF">2020-04-07T15:41:00Z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SJ-028</vt:lpwstr>
  </property>
  <property fmtid="{D5CDD505-2E9C-101B-9397-08002B2CF9AE}" pid="10" name="DQCStatus">
    <vt:lpwstr>Green (DQC version 03)</vt:lpwstr>
  </property>
</Properties>
</file>