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5BE57C7-0EDB-414B-B829-BA539AEDE0AB" style="width:450.75pt;height:418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2018/0169 (COD)</w:t>
      </w:r>
    </w:p>
    <w:p>
      <w:pPr>
        <w:pStyle w:val="Typedudocument"/>
        <w:rPr>
          <w:noProof/>
        </w:rPr>
      </w:pPr>
      <w:r>
        <w:rPr>
          <w:noProof/>
        </w:rPr>
        <w:t>KOMUNIKAZZJONI TAL-KUMMISSJONI LILL-PARLAMENT EWROPEW</w:t>
      </w:r>
      <w:r>
        <w:rPr>
          <w:noProof/>
        </w:rPr>
        <w:br/>
      </w:r>
      <w:r>
        <w:rPr>
          <w:noProof/>
        </w:rPr>
        <w:br/>
        <w:t>skont l-Artikolu 294(6) tat-Trattat dwar il-Funzjonament tal-Unjoni Ewropea</w:t>
      </w:r>
      <w:r>
        <w:rPr>
          <w:noProof/>
        </w:rPr>
        <w:br/>
      </w:r>
      <w:r>
        <w:rPr>
          <w:noProof/>
        </w:rPr>
        <w:br/>
        <w:t>dwar</w:t>
      </w:r>
    </w:p>
    <w:p>
      <w:pPr>
        <w:pStyle w:val="Titreobjet"/>
        <w:rPr>
          <w:noProof/>
        </w:rPr>
      </w:pPr>
      <w:r>
        <w:rPr>
          <w:noProof/>
        </w:rPr>
        <w:t>il-pożizzjoni tal-Kunsill dwar l-adozzjoni ta’ Regolament tal-Parlament Ewropew u tal-Kunsill dwar rekwiżiti minimi għall-użu mill-ġdid tal-ilma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Sfond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Id-data meta l-proposta ntbagħtet lill-Parlament Ewropew u lill-Kunsill (id-dokument COM(2018) 337 final – 2018/0169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it-28 ta’ Mejju 2018</w:t>
            </w:r>
          </w:p>
        </w:tc>
      </w:tr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Id-data meta l-Kumitat tar-Reġjuni adotta l-Opinjoni tiegħu dwar il-proposta: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is-6 ta’ Diċembru 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meta l-Kumitat Ekonomiku u Soċjali Ewropew adotta l-Opinjoni tiegħu dwar il-proposta: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it-12 ta’ Diċembru 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tal-pożizzjoni tal-Parlament Ewropew, fl-ewwel qari: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it-12 ta’ Frar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Id-data tal-ftehim tal-Kunsill dwar approċċ ġenerali: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is-26 ta’ Ġunju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Id-dati tat-trilogi: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l-10 ta’ Ottubru 2019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it-12 ta’ Novembru 2019 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it-2 ta’ Diċembru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meta l-Kumitat tar-Rappreżentanti Permanenti kkonferma l-ftehim ta’ kompromess: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it-18 ta’ Diċembru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Id-data meta l-Kumitat ENVI tal-Parlament Ewropew ivvota favur l-approvazzjoni tal-ftehim ta’ kompromess: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il-21 ta’ Jannar 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tal-ftehim politiku fil-Kumitat tar-Rappreżentanti Permanenti (il-Punt I/A):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il-5 ta’ Frar 2020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tal-ftehim politiku fil-Kunsill (il-Punt I/A):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it-18 ta’ Frar 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Id-data meta l-Kumitat tar-Rappreżentanti Permanenti adotta l-pożizzjoni tal-Kunsill (il-Punt I/A):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l-20 ta’ Marzu 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tal-adozzjoni tal-pożizzjoni tal-Kunsill fl-ewwel qari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is-7 ta’ April 2020</w:t>
            </w:r>
          </w:p>
        </w:tc>
      </w:tr>
    </w:tbl>
    <w:p>
      <w:pPr>
        <w:pStyle w:val="ManualHeading1"/>
        <w:rPr>
          <w:noProof/>
          <w:szCs w:val="24"/>
        </w:rPr>
      </w:pPr>
      <w:r>
        <w:rPr>
          <w:noProof/>
        </w:rPr>
        <w:lastRenderedPageBreak/>
        <w:t>2.</w:t>
      </w:r>
      <w:r>
        <w:rPr>
          <w:noProof/>
        </w:rPr>
        <w:tab/>
        <w:t>Objettiv tal-proposta tal-Kummissjoni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L-ilma huwa riżorsa limitata fl-UE u terz mit-territorju tal-UE qed jesperjenza stress idriku. Il-bżonnijiet dejjem jikbru tal-popolazzjonijiet, flimkien mat-tibdil fil-klima, se jwasslu biex fil-ġejjieni d-disponibbiltà tal-ilma bi kwantità u bi kwalità suffiċjenti tkun sfida ferm ikbar fl-Ewropa.</w:t>
      </w:r>
    </w:p>
    <w:p>
      <w:pPr>
        <w:rPr>
          <w:noProof/>
          <w:szCs w:val="24"/>
        </w:rPr>
      </w:pPr>
      <w:r>
        <w:rPr>
          <w:noProof/>
        </w:rPr>
        <w:t xml:space="preserve">L-objettiv tal-proposta dwar ir-rekwiżiti minimi għall-użu mill-ġdid tal-ilma huwa li tikkontribwixxi biex titnaqqas l-iskarsezza tal-ilma fl-UE kollha, fil-kuntest tal-adattament għat-tibdil fil-klima, billi titħaddem iżjed il-prattika li l-ilma jintuża mill-ġdid fl-irrigazzjoni agrikola. </w:t>
      </w:r>
    </w:p>
    <w:p>
      <w:pPr>
        <w:rPr>
          <w:noProof/>
          <w:szCs w:val="24"/>
        </w:rPr>
      </w:pPr>
      <w:r>
        <w:rPr>
          <w:noProof/>
        </w:rPr>
        <w:t xml:space="preserve">Minbarra l-miżuri ta’ ġestjoni tad-domanda u ta’ effiċjenza, l-użu mill-ġdid tal-ilma huwa għodda importanti fil-kuntest tal-ġestjoni integrata tal-ilma. Dan għandu jiġi mħeġġeġ kull fejn ikun rilevanti u kosteffettiv, filwaqt li tiġi ssalvagwardjata s-saħħa pubblika u tiġi żgurata l-protezzjoni ambjentali. </w:t>
      </w:r>
    </w:p>
    <w:p>
      <w:pPr>
        <w:rPr>
          <w:noProof/>
          <w:szCs w:val="24"/>
        </w:rPr>
      </w:pPr>
      <w:r>
        <w:rPr>
          <w:noProof/>
        </w:rPr>
        <w:t xml:space="preserve">Il-proposta tistabbilixxi r-rekwiżiti minimi armonizzati tal-kwalità tal-ilma għall-użu mill-ġdid sikur tal-ilma urban mormi ttrattat fl-irrigazzjoni agrikola. Sabiex ikun adattat għall-użu fl-agrikoltura, l-ilma urban mormi ttrattat li jkunu diġà sarulu ċerti trattamenti skont ir-regoli tad-Direttiva dwar it-Trattament tal-Ilma Urban Mormi jkun jeħtieġ trattament ulterjuri biex jissodisfa l-parametri ta’ kwalità minima. </w:t>
      </w:r>
    </w:p>
    <w:p>
      <w:pPr>
        <w:rPr>
          <w:noProof/>
          <w:szCs w:val="24"/>
        </w:rPr>
      </w:pPr>
      <w:r>
        <w:rPr>
          <w:noProof/>
        </w:rPr>
        <w:t>Permezz tal-istabbiliment ta’ rekwiżiti minimi, il-proposta tipprevedi approċċ armonizzat għall-użu mill-ġdid tal-ilma għall-irrigazzjoni fl-UE kollha. Dan se jiżgura kundizzjonijiet ekwivalenti ta’ kompetizzjoni kemm għall-operaturi li jipproduċu u li jipprovdu l-ilmijiet reklamati kif ukoll għall-bdiewa.</w:t>
      </w:r>
    </w:p>
    <w:p>
      <w:pPr>
        <w:rPr>
          <w:noProof/>
          <w:szCs w:val="24"/>
        </w:rPr>
      </w:pPr>
      <w:r>
        <w:rPr>
          <w:noProof/>
        </w:rPr>
        <w:t xml:space="preserve">Huwa stmat li l-istrument propost jista’ jwassal għal madwar 6,6 biljun m³ ta’ ilma użat mill-ġdid fis-sena fl-irrigazzjoni agrikola, meta mqabbel ma’ 1,7 biljun m³ fis-sena fin-nuqqas ta’ xi qafas legali tal-UE. L-użu mill-ġdid ta’ iktar minn 50 % tal-volum totali tal-ilma teorikament disponibbli għall-irrigazzjoni mill-impjanti tat-trattament tal-ilma mormi fl-UE kieku jevita iktar minn 5 % tal-astrazzjoni diretta mill-korpi tal-ilma u mill-ilma tal-pjan. Dan kieku jwassal għal tnaqqis ta’ iktar minn 5 % tal-istress idriku kumplessiv.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Kummenti dwar il-pożizzjoni tal-Parlament Ewropew</w:t>
      </w:r>
    </w:p>
    <w:p>
      <w:pPr>
        <w:pStyle w:val="Text1"/>
        <w:spacing w:before="240"/>
        <w:ind w:left="0"/>
        <w:rPr>
          <w:noProof/>
          <w:szCs w:val="24"/>
        </w:rPr>
      </w:pPr>
      <w:r>
        <w:rPr>
          <w:noProof/>
        </w:rPr>
        <w:t xml:space="preserve">Il-pożizzjoni fl-ewwel qari tal-Parlament Ewropew, adottata fit-12 ta’ Frar 2019, issuġġeriet emendi għall-proposta tal-Kummissjoni, b’mod partikolari: </w:t>
      </w: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referenzi għal twessigħ tal-kamp ta’ applikazzjoni tal-leġiżlazzjoni fil-ġejjieni; </w:t>
      </w:r>
    </w:p>
    <w:p>
      <w:pPr>
        <w:pStyle w:val="Tiret0"/>
        <w:rPr>
          <w:noProof/>
        </w:rPr>
      </w:pPr>
      <w:r>
        <w:rPr>
          <w:noProof/>
        </w:rPr>
        <w:t xml:space="preserve">responsabbiltajiet ġodda għall-atturi fis-sistema tal-użu mill-ġdid tal-ilma għajr l-operaturi tal-impjanti tar-reklamazzjoni; u </w:t>
      </w:r>
    </w:p>
    <w:p>
      <w:pPr>
        <w:pStyle w:val="Tiret0"/>
        <w:rPr>
          <w:noProof/>
        </w:rPr>
      </w:pPr>
      <w:r>
        <w:rPr>
          <w:noProof/>
        </w:rPr>
        <w:t xml:space="preserve">rwol iktar prominenti għall-awtoritajiet kompetenti. </w:t>
      </w:r>
    </w:p>
    <w:p>
      <w:pPr>
        <w:pStyle w:val="Text1"/>
        <w:spacing w:before="240"/>
        <w:ind w:left="0"/>
        <w:rPr>
          <w:noProof/>
          <w:szCs w:val="24"/>
        </w:rPr>
      </w:pPr>
      <w:r>
        <w:rPr>
          <w:noProof/>
        </w:rPr>
        <w:t>Barra minn hekk, il-Parlament Ewropew introduċa dispożizzjonijiet speċifiċi biex jiġu indirizzati r-riskji potenzjali tal-mikroplastiċi. Bħala parti mill-ftehim li ntlaħaq fit-trilogu, il-Kummissjoni rrikonoxxiet li kulma jmur il-kwistjoni tal-mikroplastiċi qed issir waħda ta’ tħassib u ħadet l-impenn li tkompli bl-isforzi tagħha biex il-kwistjoni tiġi indirizzata. Għal dan l-għan, il-Kummissjoni qablet li toħroġ id-dikjarazzjoni li ġejja: “</w:t>
      </w:r>
      <w:r>
        <w:rPr>
          <w:i/>
          <w:noProof/>
        </w:rPr>
        <w:t xml:space="preserve">Il-Kummissjoni tirrikonoxxi li l-mikroplastiċi huma sustanzi li kulma jmur qed iqajmu tħassib b’rabta mal-kwalità tal-ilma. Fid-dawl ta’ dan, u filwaqt li jitqies li din hija kwistjoni ġenerali li mhijiex </w:t>
      </w:r>
      <w:r>
        <w:rPr>
          <w:i/>
          <w:noProof/>
        </w:rPr>
        <w:lastRenderedPageBreak/>
        <w:t xml:space="preserve">limitata għall-ilma reklamat biss, il-Kummissjoni ħadet l-impenn li tkompli bl-isforzi tagħha biex din il-kwistjoni importanti tiġi indirizzata.” </w:t>
      </w:r>
    </w:p>
    <w:p>
      <w:pPr>
        <w:pStyle w:val="Text1"/>
        <w:spacing w:before="240"/>
        <w:ind w:left="0"/>
        <w:rPr>
          <w:noProof/>
          <w:szCs w:val="24"/>
        </w:rPr>
      </w:pPr>
      <w:r>
        <w:rPr>
          <w:noProof/>
        </w:rPr>
        <w:t>Wara li l-Kunsill adotta l-pożizzjoni tiegħu fl-ewwel qari, huwa mistenni li l-Parlament Ewropew japprova formalment il-ftehim li ntlaħaq fit-trilogi.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Kummenti dwar il-pożizzjoni tal-Kunsill</w:t>
      </w:r>
    </w:p>
    <w:p>
      <w:pPr>
        <w:widowControl w:val="0"/>
        <w:rPr>
          <w:noProof/>
        </w:rPr>
      </w:pPr>
      <w:r>
        <w:rPr>
          <w:noProof/>
        </w:rPr>
        <w:t xml:space="preserve">Il-pożizzjoni tal-Kunsill tirrifletti l-ftehim li ntlaħaq fit-trilogi. Fost l-iktar bidliet importanti li ġew introdotti meta mqabbla mal-proposta tal-Kummissjoni hemm: </w:t>
      </w:r>
    </w:p>
    <w:p>
      <w:pPr>
        <w:pStyle w:val="Tiret0"/>
        <w:rPr>
          <w:noProof/>
        </w:rPr>
      </w:pPr>
      <w:r>
        <w:rPr>
          <w:noProof/>
        </w:rPr>
        <w:t xml:space="preserve">klawżola diskrezzjonali li tippermetti lill-Istati Membri jiddeċiedu jekk l-użu mill-ġdid tal-ilma għandux ikun permess fit-territorju tagħhom jew f’parti mit-territorju tagħhom, soġġetta għal kundizzjonijiet stretti u għal ħtieġa li tali deċiżjonijiet jiġu ġġustifikati u rieżaminati regolarment; </w:t>
      </w:r>
    </w:p>
    <w:p>
      <w:pPr>
        <w:pStyle w:val="Tiret0"/>
        <w:rPr>
          <w:noProof/>
        </w:rPr>
      </w:pPr>
      <w:r>
        <w:rPr>
          <w:noProof/>
        </w:rPr>
        <w:t xml:space="preserve">l-introduzzjoni tal-kunċett ta’ “sistema tal-użu mill-ġdid tal-ilma”, li tista’ tinkludi diversi atturi mill-operatur tal-impjant tar-reklamazzjoni sal-utent finali; </w:t>
      </w:r>
    </w:p>
    <w:p>
      <w:pPr>
        <w:pStyle w:val="Tiret0"/>
        <w:rPr>
          <w:noProof/>
        </w:rPr>
      </w:pPr>
      <w:r>
        <w:rPr>
          <w:noProof/>
        </w:rPr>
        <w:t xml:space="preserve">rwol iktar prominenti għall-awtoritajiet pubbliċi fil-ġestjoni tar-riskji; u </w:t>
      </w:r>
    </w:p>
    <w:p>
      <w:pPr>
        <w:pStyle w:val="Tiret0"/>
        <w:rPr>
          <w:noProof/>
        </w:rPr>
      </w:pPr>
      <w:r>
        <w:rPr>
          <w:noProof/>
        </w:rPr>
        <w:t xml:space="preserve">flessibbiltà ikbar għall-Istati Membri fl-organizzazzjoni tas-sistema tal-ġestjoni tar-riskji u tal-għoti tal-permessi. </w:t>
      </w:r>
    </w:p>
    <w:p>
      <w:pPr>
        <w:widowControl w:val="0"/>
        <w:rPr>
          <w:noProof/>
        </w:rPr>
      </w:pPr>
      <w:r>
        <w:rPr>
          <w:noProof/>
        </w:rPr>
        <w:t xml:space="preserve">B’mod ġenerali, il-ftehim li ntlaħaq jippreserva l-objettivi tal-proposta oriġinali tal-Kummissjoni, u jżomm il-livell ta’ ambizzjoni tar-rekwiżiti minimi iżda jippermetti l-flessibbiltà mixtieqa mill-Istati Membri fl-implimentazzjoni tar-regoli l-ġodda. </w:t>
      </w: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Konklużjoni</w:t>
      </w:r>
    </w:p>
    <w:p>
      <w:pPr>
        <w:keepNext/>
        <w:rPr>
          <w:noProof/>
        </w:rPr>
      </w:pPr>
      <w:r>
        <w:rPr>
          <w:noProof/>
        </w:rPr>
        <w:t>Il-Kummissjoni taċċetta l-pożizzjoni tal-Kunsill.</w:t>
      </w:r>
    </w:p>
    <w:p>
      <w:pPr>
        <w:rPr>
          <w:noProof/>
        </w:rPr>
      </w:pP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347E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57491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C0B5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D468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AA13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FE3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89A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24F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4-14 15:53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5BE57C7-0EDB-414B-B829-BA539AEDE0AB"/>
    <w:docVar w:name="LW_COVERPAGE_TYPE" w:val="1"/>
    <w:docVar w:name="LW_CROSSREFERENCE" w:val="&lt;UNUSED&gt;"/>
    <w:docVar w:name="LW_DocType" w:val="COM"/>
    <w:docVar w:name="LW_EMISSION" w:val="15.4.2020"/>
    <w:docVar w:name="LW_EMISSION_ISODATE" w:val="2020-04-15"/>
    <w:docVar w:name="LW_EMISSION_LOCATION" w:val="BRX"/>
    <w:docVar w:name="LW_EMISSION_PREFIX" w:val="Brussel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69"/>
    <w:docVar w:name="LW_REF.II.NEW.CP_YEAR" w:val="2018"/>
    <w:docVar w:name="LW_REF.INST.NEW" w:val="COM"/>
    <w:docVar w:name="LW_REF.INST.NEW_ADOPTED" w:val="final"/>
    <w:docVar w:name="LW_REF.INST.NEW_TEXT" w:val="(2020) 1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il-po\u380?izzjoni tal-Kunsill dwar l-adozzjoni ta\u8217? Regolament tal-Parlament Ewropew u tal-Kunsill dwar rekwi\u380?iti minimi g\u295?all-u\u380?u mill-\u289?did tal-ilma"/>
    <w:docVar w:name="LW_TYPE.DOC.CP" w:val="KOMUNIKAZZJONI TAL-KUMMISSJONI LILL-PARLAMENT EWROPEW_x000b__x000b_skont l-Artikolu 294(6) tat-Trattat dwar il-Funzjonament tal-Unjoni Ewropea_x000b__x000b_dwar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E27E42-0B32-4A3B-BB7D-BBD20D1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758</Words>
  <Characters>5671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2020-04-09T11:48:00Z</dcterms:created>
  <dcterms:modified xsi:type="dcterms:W3CDTF">2020-04-14T13:53:00Z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